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B9E55">
      <w:pPr>
        <w:pStyle w:val="87"/>
        <w:ind w:left="108"/>
        <w:jc w:val="center"/>
        <w:rPr>
          <w:rFonts w:hint="eastAsia"/>
          <w:b/>
          <w:sz w:val="48"/>
          <w:szCs w:val="48"/>
          <w:lang w:val="en-US" w:bidi="ar-SA"/>
        </w:rPr>
      </w:pPr>
    </w:p>
    <w:p w14:paraId="446BA532">
      <w:pPr>
        <w:pStyle w:val="87"/>
        <w:jc w:val="center"/>
        <w:rPr>
          <w:rFonts w:hint="eastAsia"/>
          <w:b/>
          <w:sz w:val="72"/>
          <w:szCs w:val="72"/>
          <w:lang w:val="en-US" w:bidi="ar-SA"/>
        </w:rPr>
      </w:pPr>
    </w:p>
    <w:p w14:paraId="6BAF300D">
      <w:pPr>
        <w:pStyle w:val="87"/>
        <w:jc w:val="center"/>
        <w:outlineLvl w:val="9"/>
        <w:rPr>
          <w:rFonts w:hint="eastAsia"/>
          <w:b/>
          <w:sz w:val="72"/>
          <w:szCs w:val="72"/>
          <w:lang w:val="en-US" w:bidi="ar-SA"/>
        </w:rPr>
      </w:pPr>
      <w:bookmarkStart w:id="0" w:name="_Toc25263"/>
      <w:bookmarkStart w:id="1" w:name="_Toc29603"/>
      <w:bookmarkStart w:id="2" w:name="_Toc19623"/>
      <w:bookmarkStart w:id="3" w:name="_Toc2735"/>
      <w:r>
        <w:rPr>
          <w:rFonts w:hint="eastAsia"/>
          <w:b/>
          <w:sz w:val="72"/>
          <w:szCs w:val="72"/>
          <w:lang w:val="en-US" w:bidi="ar-SA"/>
        </w:rPr>
        <w:t>陇南市政府集中采购</w:t>
      </w:r>
      <w:bookmarkEnd w:id="0"/>
      <w:bookmarkEnd w:id="1"/>
      <w:bookmarkEnd w:id="2"/>
      <w:bookmarkEnd w:id="3"/>
    </w:p>
    <w:p w14:paraId="7B62A8CC">
      <w:pPr>
        <w:jc w:val="center"/>
        <w:outlineLvl w:val="9"/>
        <w:rPr>
          <w:rFonts w:hint="eastAsia" w:ascii="宋体" w:hAnsi="宋体"/>
          <w:b/>
          <w:sz w:val="96"/>
          <w:szCs w:val="96"/>
        </w:rPr>
      </w:pPr>
    </w:p>
    <w:p w14:paraId="37F243D1">
      <w:pPr>
        <w:jc w:val="center"/>
        <w:outlineLvl w:val="9"/>
        <w:rPr>
          <w:rFonts w:hint="eastAsia" w:ascii="宋体" w:hAnsi="宋体"/>
          <w:b/>
          <w:sz w:val="72"/>
          <w:szCs w:val="72"/>
        </w:rPr>
      </w:pPr>
      <w:r>
        <w:rPr>
          <w:rFonts w:hint="eastAsia" w:ascii="宋体" w:hAnsi="宋体"/>
          <w:b/>
          <w:sz w:val="72"/>
          <w:szCs w:val="72"/>
        </w:rPr>
        <w:t>招标文件</w:t>
      </w:r>
    </w:p>
    <w:p w14:paraId="7CD3A017">
      <w:pPr>
        <w:spacing w:line="360" w:lineRule="auto"/>
        <w:outlineLvl w:val="9"/>
        <w:rPr>
          <w:rFonts w:hint="eastAsia" w:ascii="宋体" w:hAnsi="宋体" w:cs="方正小标宋简体"/>
          <w:bCs/>
          <w:sz w:val="28"/>
          <w:szCs w:val="28"/>
        </w:rPr>
      </w:pPr>
    </w:p>
    <w:p w14:paraId="6492EADA">
      <w:pPr>
        <w:adjustRightInd w:val="0"/>
        <w:snapToGrid w:val="0"/>
        <w:spacing w:line="360" w:lineRule="auto"/>
        <w:jc w:val="center"/>
        <w:outlineLvl w:val="9"/>
        <w:rPr>
          <w:rFonts w:hint="eastAsia" w:hAnsi="宋体"/>
          <w:b/>
          <w:bCs/>
          <w:color w:val="auto"/>
          <w:spacing w:val="20"/>
          <w:sz w:val="36"/>
          <w:szCs w:val="36"/>
          <w:highlight w:val="none"/>
        </w:rPr>
      </w:pPr>
      <w:r>
        <w:rPr>
          <w:rFonts w:hint="eastAsia" w:hAnsi="宋体"/>
          <w:b/>
          <w:bCs/>
          <w:color w:val="auto"/>
          <w:spacing w:val="20"/>
          <w:sz w:val="36"/>
          <w:szCs w:val="36"/>
          <w:highlight w:val="none"/>
          <w:lang w:val="en" w:eastAsia="zh-CN"/>
        </w:rPr>
        <w:t>（专门面向中小企业采购</w:t>
      </w:r>
      <w:r>
        <w:rPr>
          <w:rFonts w:hint="eastAsia" w:hAnsi="宋体"/>
          <w:b/>
          <w:bCs/>
          <w:color w:val="auto"/>
          <w:spacing w:val="20"/>
          <w:sz w:val="36"/>
          <w:szCs w:val="36"/>
          <w:highlight w:val="none"/>
          <w:lang w:eastAsia="zh-CN"/>
        </w:rPr>
        <w:t>）</w:t>
      </w:r>
    </w:p>
    <w:p w14:paraId="274DA5BE">
      <w:pPr>
        <w:adjustRightInd w:val="0"/>
        <w:snapToGrid w:val="0"/>
        <w:spacing w:line="360" w:lineRule="auto"/>
        <w:jc w:val="center"/>
        <w:outlineLvl w:val="9"/>
        <w:rPr>
          <w:rFonts w:hAnsi="宋体"/>
          <w:b/>
          <w:bCs/>
          <w:color w:val="auto"/>
          <w:spacing w:val="20"/>
          <w:sz w:val="52"/>
          <w:szCs w:val="52"/>
          <w:highlight w:val="none"/>
        </w:rPr>
      </w:pPr>
      <w:r>
        <w:rPr>
          <w:rFonts w:hint="eastAsia" w:hAnsi="宋体"/>
          <w:b/>
          <w:bCs/>
          <w:color w:val="auto"/>
          <w:spacing w:val="20"/>
          <w:sz w:val="36"/>
          <w:szCs w:val="36"/>
          <w:highlight w:val="none"/>
          <w:lang w:eastAsia="zh-CN"/>
        </w:rPr>
        <w:t>（</w:t>
      </w:r>
      <w:r>
        <w:rPr>
          <w:rFonts w:hint="eastAsia" w:hAnsi="宋体"/>
          <w:b/>
          <w:bCs/>
          <w:color w:val="auto"/>
          <w:spacing w:val="20"/>
          <w:sz w:val="36"/>
          <w:szCs w:val="36"/>
          <w:highlight w:val="none"/>
          <w:lang w:val="en-US" w:eastAsia="zh-CN"/>
        </w:rPr>
        <w:t>服务</w:t>
      </w:r>
      <w:r>
        <w:rPr>
          <w:rFonts w:hint="eastAsia" w:hAnsi="宋体"/>
          <w:b/>
          <w:bCs/>
          <w:color w:val="auto"/>
          <w:spacing w:val="20"/>
          <w:sz w:val="36"/>
          <w:szCs w:val="36"/>
          <w:highlight w:val="none"/>
          <w:lang w:eastAsia="zh-CN"/>
        </w:rPr>
        <w:t>类）</w:t>
      </w:r>
    </w:p>
    <w:p w14:paraId="3D1D708E">
      <w:pPr>
        <w:adjustRightInd w:val="0"/>
        <w:snapToGrid w:val="0"/>
        <w:spacing w:line="360" w:lineRule="auto"/>
        <w:outlineLvl w:val="9"/>
        <w:rPr>
          <w:rFonts w:hint="eastAsia"/>
        </w:rPr>
      </w:pPr>
      <w:r>
        <w:rPr>
          <w:rFonts w:hint="eastAsia" w:hAnsi="宋体"/>
          <w:b/>
          <w:color w:val="auto"/>
          <w:sz w:val="36"/>
          <w:szCs w:val="36"/>
          <w:highlight w:val="none"/>
        </w:rPr>
        <w:t xml:space="preserve">        </w:t>
      </w:r>
    </w:p>
    <w:p w14:paraId="5FDB3910">
      <w:pPr>
        <w:pStyle w:val="17"/>
        <w:outlineLvl w:val="9"/>
        <w:rPr>
          <w:rFonts w:hint="eastAsia" w:ascii="宋体" w:hAnsi="宋体" w:cs="方正小标宋简体"/>
          <w:bCs/>
          <w:sz w:val="28"/>
          <w:szCs w:val="28"/>
        </w:rPr>
      </w:pPr>
    </w:p>
    <w:p w14:paraId="64DA6C2D">
      <w:pPr>
        <w:pStyle w:val="18"/>
        <w:outlineLvl w:val="9"/>
        <w:rPr>
          <w:rFonts w:hint="eastAsia"/>
        </w:rPr>
      </w:pPr>
    </w:p>
    <w:p w14:paraId="40478C73">
      <w:pPr>
        <w:spacing w:line="360" w:lineRule="auto"/>
        <w:outlineLvl w:val="9"/>
        <w:rPr>
          <w:rFonts w:hint="default" w:ascii="宋体" w:hAnsi="宋体" w:eastAsia="宋体" w:cs="方正小标宋简体"/>
          <w:b/>
          <w:bCs w:val="0"/>
          <w:sz w:val="28"/>
          <w:szCs w:val="28"/>
          <w:lang w:val="en-US" w:eastAsia="zh-CN"/>
        </w:rPr>
      </w:pPr>
      <w:r>
        <w:rPr>
          <w:rFonts w:hint="eastAsia" w:ascii="宋体" w:hAnsi="宋体" w:cs="方正小标宋简体"/>
          <w:b/>
          <w:bCs w:val="0"/>
          <w:sz w:val="28"/>
          <w:szCs w:val="28"/>
        </w:rPr>
        <w:t>项目编号：</w:t>
      </w:r>
      <w:r>
        <w:rPr>
          <w:rFonts w:hint="eastAsia" w:ascii="宋体" w:hAnsi="宋体" w:eastAsia="宋体" w:cs="方正小标宋简体"/>
          <w:b/>
          <w:bCs w:val="0"/>
          <w:color w:val="000000"/>
          <w:kern w:val="2"/>
          <w:sz w:val="28"/>
          <w:szCs w:val="28"/>
          <w:lang w:val="en-US" w:eastAsia="zh-CN" w:bidi="ar-SA"/>
        </w:rPr>
        <w:t>135001JH6212025</w:t>
      </w:r>
    </w:p>
    <w:p w14:paraId="769D792A">
      <w:pPr>
        <w:spacing w:line="360" w:lineRule="auto"/>
        <w:outlineLvl w:val="9"/>
        <w:rPr>
          <w:rFonts w:hint="default" w:ascii="宋体" w:hAnsi="宋体" w:eastAsia="宋体" w:cs="方正小标宋简体"/>
          <w:b/>
          <w:bCs w:val="0"/>
          <w:sz w:val="28"/>
          <w:szCs w:val="28"/>
          <w:lang w:val="en-US" w:eastAsia="zh-CN"/>
        </w:rPr>
      </w:pPr>
      <w:r>
        <w:rPr>
          <w:rFonts w:hint="eastAsia" w:ascii="宋体" w:hAnsi="宋体" w:cs="方正小标宋简体"/>
          <w:b/>
          <w:bCs w:val="0"/>
          <w:sz w:val="28"/>
          <w:szCs w:val="28"/>
        </w:rPr>
        <w:t>项目名称：</w:t>
      </w:r>
      <w:r>
        <w:rPr>
          <w:rFonts w:hint="eastAsia" w:ascii="宋体" w:hAnsi="宋体" w:eastAsia="宋体" w:cs="方正小标宋简体"/>
          <w:b/>
          <w:bCs w:val="0"/>
          <w:color w:val="000000"/>
          <w:kern w:val="2"/>
          <w:sz w:val="28"/>
          <w:szCs w:val="28"/>
          <w:lang w:val="en-US" w:eastAsia="zh-CN" w:bidi="ar-SA"/>
        </w:rPr>
        <w:t>陇南市政务服务中心政府采购综合窗口工作人员服务项目</w:t>
      </w:r>
    </w:p>
    <w:p w14:paraId="385FF933">
      <w:pPr>
        <w:spacing w:line="360" w:lineRule="auto"/>
        <w:outlineLvl w:val="9"/>
        <w:rPr>
          <w:rFonts w:hint="eastAsia" w:ascii="宋体" w:hAnsi="宋体" w:cs="方正小标宋简体"/>
          <w:b/>
          <w:bCs w:val="0"/>
          <w:sz w:val="28"/>
          <w:szCs w:val="28"/>
        </w:rPr>
      </w:pPr>
      <w:r>
        <w:rPr>
          <w:rFonts w:hint="eastAsia" w:ascii="宋体" w:hAnsi="宋体" w:cs="方正小标宋简体"/>
          <w:b/>
          <w:bCs w:val="0"/>
          <w:sz w:val="28"/>
          <w:szCs w:val="28"/>
        </w:rPr>
        <w:t>采 购 人：</w:t>
      </w:r>
      <w:r>
        <w:rPr>
          <w:rFonts w:hint="eastAsia" w:ascii="宋体" w:hAnsi="宋体" w:eastAsia="宋体" w:cs="方正小标宋简体"/>
          <w:b/>
          <w:bCs w:val="0"/>
          <w:color w:val="000000"/>
          <w:kern w:val="2"/>
          <w:sz w:val="28"/>
          <w:szCs w:val="28"/>
          <w:lang w:val="en-US" w:eastAsia="zh-CN" w:bidi="ar-SA"/>
        </w:rPr>
        <w:t>陇南市政务服务中心</w:t>
      </w:r>
    </w:p>
    <w:p w14:paraId="457E8E49">
      <w:pPr>
        <w:pStyle w:val="38"/>
        <w:jc w:val="left"/>
        <w:outlineLvl w:val="9"/>
        <w:rPr>
          <w:rFonts w:hint="default" w:hAnsi="宋体" w:eastAsia="宋体" w:cs="方正小标宋简体"/>
          <w:b/>
          <w:bCs w:val="0"/>
          <w:sz w:val="28"/>
          <w:szCs w:val="28"/>
          <w:lang w:val="en-US" w:eastAsia="zh-CN"/>
        </w:rPr>
      </w:pPr>
      <w:bookmarkStart w:id="4" w:name="_Toc7855"/>
      <w:r>
        <w:rPr>
          <w:rFonts w:hint="eastAsia" w:hAnsi="宋体" w:cs="方正小标宋简体"/>
          <w:b/>
          <w:bCs w:val="0"/>
          <w:sz w:val="28"/>
          <w:szCs w:val="28"/>
        </w:rPr>
        <w:t>集采机构：</w:t>
      </w:r>
      <w:r>
        <w:rPr>
          <w:rFonts w:hint="eastAsia" w:hAnsi="宋体" w:cs="方正小标宋简体"/>
          <w:b/>
          <w:bCs w:val="0"/>
          <w:sz w:val="28"/>
          <w:szCs w:val="28"/>
          <w:lang w:val="en-US" w:eastAsia="zh-CN"/>
        </w:rPr>
        <w:t>陇南市公共资源交易中心</w:t>
      </w:r>
      <w:bookmarkEnd w:id="4"/>
    </w:p>
    <w:p w14:paraId="29B32D9C">
      <w:pPr>
        <w:pStyle w:val="38"/>
        <w:jc w:val="left"/>
        <w:outlineLvl w:val="9"/>
        <w:rPr>
          <w:rFonts w:hint="eastAsia" w:hAnsi="宋体" w:cs="方正小标宋简体"/>
          <w:bCs/>
          <w:sz w:val="28"/>
          <w:szCs w:val="28"/>
        </w:rPr>
      </w:pPr>
    </w:p>
    <w:p w14:paraId="7F8FFA5C">
      <w:pPr>
        <w:spacing w:line="360" w:lineRule="auto"/>
        <w:jc w:val="center"/>
        <w:outlineLvl w:val="9"/>
      </w:pP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11月</w:t>
      </w:r>
    </w:p>
    <w:p w14:paraId="76E65E66">
      <w:pPr>
        <w:keepNext w:val="0"/>
        <w:keepLines w:val="0"/>
        <w:pageBreakBefore/>
        <w:widowControl w:val="0"/>
        <w:kinsoku/>
        <w:wordWrap/>
        <w:overflowPunct/>
        <w:topLinePunct w:val="0"/>
        <w:autoSpaceDE/>
        <w:autoSpaceDN/>
        <w:bidi w:val="0"/>
        <w:adjustRightInd/>
        <w:snapToGrid/>
        <w:spacing w:line="360" w:lineRule="exact"/>
        <w:textAlignment w:val="auto"/>
        <w:rPr>
          <w:rFonts w:ascii="宋体" w:hAnsi="宋体"/>
          <w:b/>
          <w:sz w:val="36"/>
          <w:szCs w:val="28"/>
        </w:rPr>
      </w:pPr>
      <w:r>
        <w:rPr>
          <w:rFonts w:ascii="宋体" w:hAnsi="宋体"/>
          <w:b/>
          <w:sz w:val="36"/>
          <w:szCs w:val="28"/>
        </w:rPr>
        <w:t>特别提示：</w:t>
      </w:r>
    </w:p>
    <w:p w14:paraId="3B8442D0">
      <w:pPr>
        <w:adjustRightInd w:val="0"/>
        <w:snapToGrid w:val="0"/>
        <w:spacing w:line="360" w:lineRule="auto"/>
        <w:ind w:firstLine="708" w:firstLineChars="196"/>
        <w:rPr>
          <w:rFonts w:ascii="宋体" w:hAnsi="宋体"/>
          <w:b/>
          <w:sz w:val="36"/>
          <w:szCs w:val="28"/>
        </w:rPr>
      </w:pPr>
    </w:p>
    <w:p w14:paraId="55E86C64">
      <w:pPr>
        <w:adjustRightInd w:val="0"/>
        <w:snapToGrid w:val="0"/>
        <w:spacing w:line="360" w:lineRule="auto"/>
        <w:ind w:firstLine="708" w:firstLineChars="196"/>
        <w:rPr>
          <w:rFonts w:hint="eastAsia" w:ascii="宋体" w:hAnsi="宋体"/>
          <w:b/>
          <w:sz w:val="56"/>
          <w:szCs w:val="48"/>
        </w:rPr>
      </w:pPr>
      <w:r>
        <w:rPr>
          <w:rFonts w:ascii="宋体" w:hAnsi="宋体"/>
          <w:b/>
          <w:sz w:val="36"/>
          <w:szCs w:val="28"/>
        </w:rPr>
        <w:t>请各参与项目的供应商认真阅读</w:t>
      </w:r>
      <w:r>
        <w:rPr>
          <w:rFonts w:hint="eastAsia" w:ascii="宋体" w:hAnsi="宋体"/>
          <w:b/>
          <w:sz w:val="36"/>
          <w:szCs w:val="28"/>
        </w:rPr>
        <w:t>招标</w:t>
      </w:r>
      <w:r>
        <w:rPr>
          <w:rFonts w:ascii="宋体" w:hAnsi="宋体"/>
          <w:b/>
          <w:sz w:val="36"/>
          <w:szCs w:val="28"/>
        </w:rPr>
        <w:t>文件的所有条款，严格按交易</w:t>
      </w:r>
      <w:r>
        <w:rPr>
          <w:rFonts w:hint="eastAsia" w:ascii="宋体" w:hAnsi="宋体"/>
          <w:b/>
          <w:sz w:val="36"/>
          <w:szCs w:val="28"/>
        </w:rPr>
        <w:t>流程</w:t>
      </w:r>
      <w:r>
        <w:rPr>
          <w:rFonts w:ascii="宋体" w:hAnsi="宋体"/>
          <w:b/>
          <w:sz w:val="36"/>
          <w:szCs w:val="28"/>
        </w:rPr>
        <w:t>完成各阶段的投标工作，及时查看甘肃</w:t>
      </w:r>
      <w:r>
        <w:rPr>
          <w:rFonts w:hint="eastAsia" w:ascii="宋体" w:hAnsi="宋体"/>
          <w:b/>
          <w:sz w:val="36"/>
          <w:szCs w:val="28"/>
        </w:rPr>
        <w:t>省</w:t>
      </w:r>
      <w:r>
        <w:rPr>
          <w:rFonts w:ascii="宋体" w:hAnsi="宋体"/>
          <w:b/>
          <w:sz w:val="36"/>
          <w:szCs w:val="28"/>
        </w:rPr>
        <w:t>政府采购网上的关于该项目相关信息，</w:t>
      </w:r>
      <w:r>
        <w:rPr>
          <w:rFonts w:hint="eastAsia" w:ascii="宋体" w:hAnsi="宋体"/>
          <w:b/>
          <w:sz w:val="36"/>
          <w:szCs w:val="28"/>
        </w:rPr>
        <w:t>否则造成后果由投标人自负</w:t>
      </w:r>
      <w:r>
        <w:rPr>
          <w:rFonts w:ascii="宋体" w:hAnsi="宋体"/>
          <w:b/>
          <w:sz w:val="36"/>
          <w:szCs w:val="28"/>
        </w:rPr>
        <w:t>。</w:t>
      </w:r>
    </w:p>
    <w:p w14:paraId="52ECA4D4">
      <w:pPr>
        <w:jc w:val="center"/>
        <w:rPr>
          <w:rFonts w:ascii="宋体" w:hAnsi="Times New Roman" w:eastAsia="宋体" w:cs="Times New Roman"/>
          <w:b/>
          <w:bCs/>
          <w:sz w:val="44"/>
          <w:szCs w:val="44"/>
        </w:rPr>
      </w:pPr>
      <w:r>
        <w:rPr>
          <w:rFonts w:ascii="宋体" w:hAnsi="宋体"/>
          <w:sz w:val="32"/>
        </w:rPr>
        <w:br w:type="page"/>
      </w:r>
      <w:bookmarkStart w:id="5" w:name="_Toc484102374"/>
      <w:bookmarkStart w:id="6" w:name="_Toc7612"/>
      <w:bookmarkStart w:id="7" w:name="_Toc10913"/>
      <w:r>
        <w:rPr>
          <w:rFonts w:hint="eastAsia" w:ascii="宋体" w:hAnsi="宋体" w:eastAsia="宋体" w:cs="宋体"/>
          <w:b/>
          <w:bCs/>
          <w:sz w:val="40"/>
          <w:szCs w:val="40"/>
        </w:rPr>
        <w:t>目</w:t>
      </w:r>
      <w:r>
        <w:rPr>
          <w:rFonts w:ascii="宋体" w:hAnsi="宋体" w:eastAsia="宋体" w:cs="宋体"/>
          <w:b/>
          <w:bCs/>
          <w:sz w:val="40"/>
          <w:szCs w:val="40"/>
        </w:rPr>
        <w:t xml:space="preserve">  </w:t>
      </w:r>
      <w:r>
        <w:rPr>
          <w:rFonts w:hint="eastAsia" w:ascii="宋体" w:hAnsi="宋体" w:eastAsia="宋体" w:cs="宋体"/>
          <w:b/>
          <w:bCs/>
          <w:sz w:val="40"/>
          <w:szCs w:val="40"/>
        </w:rPr>
        <w:t>录</w:t>
      </w:r>
    </w:p>
    <w:sdt>
      <w:sdtPr>
        <w:rPr>
          <w:rFonts w:ascii="宋体" w:hAnsi="宋体" w:eastAsia="宋体" w:cs="Times New Roman"/>
          <w:kern w:val="2"/>
          <w:sz w:val="21"/>
          <w:szCs w:val="24"/>
          <w:lang w:val="en-US" w:eastAsia="zh-CN" w:bidi="ar-SA"/>
        </w:rPr>
        <w:id w:val="14745102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414DA549">
          <w:pPr>
            <w:spacing w:before="0" w:beforeLines="0" w:after="0" w:afterLines="0" w:line="240" w:lineRule="auto"/>
            <w:ind w:left="0" w:leftChars="0" w:right="0" w:rightChars="0" w:firstLine="0" w:firstLineChars="0"/>
            <w:jc w:val="center"/>
            <w:rPr>
              <w:rFonts w:hint="eastAsia" w:ascii="宋体" w:hAnsi="宋体" w:eastAsia="宋体" w:cs="宋体"/>
              <w:b/>
              <w:bCs/>
              <w:caps/>
              <w:kern w:val="0"/>
              <w:sz w:val="24"/>
              <w:szCs w:val="48"/>
              <w:lang w:val="en-US" w:eastAsia="zh-CN" w:bidi="ar-SA"/>
            </w:rPr>
          </w:pP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TOC \o "1-1" \h \u </w:instrText>
          </w:r>
          <w:r>
            <w:rPr>
              <w:rFonts w:hint="eastAsia" w:ascii="宋体" w:hAnsi="宋体" w:eastAsia="宋体" w:cs="宋体"/>
              <w:b/>
              <w:bCs/>
              <w:caps/>
              <w:kern w:val="0"/>
              <w:sz w:val="24"/>
              <w:szCs w:val="48"/>
              <w:lang w:val="en-US" w:eastAsia="zh-CN" w:bidi="ar-SA"/>
            </w:rPr>
            <w:fldChar w:fldCharType="separate"/>
          </w:r>
        </w:p>
        <w:p w14:paraId="30236D8F">
          <w:pPr>
            <w:pStyle w:val="1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aps/>
              <w:kern w:val="0"/>
              <w:sz w:val="24"/>
              <w:szCs w:val="48"/>
              <w:lang w:val="en-US" w:eastAsia="zh-CN" w:bidi="ar-SA"/>
            </w:rPr>
          </w:pP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HYPERLINK \l _Toc27140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第一章  招标公告</w:t>
          </w:r>
          <w:r>
            <w:rPr>
              <w:rFonts w:hint="eastAsia" w:ascii="宋体" w:hAnsi="宋体" w:eastAsia="宋体" w:cs="宋体"/>
              <w:b/>
              <w:bCs/>
              <w:caps/>
              <w:kern w:val="0"/>
              <w:sz w:val="24"/>
              <w:szCs w:val="48"/>
              <w:lang w:val="en-US" w:eastAsia="zh-CN" w:bidi="ar-SA"/>
            </w:rPr>
            <w:tab/>
          </w: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PAGEREF _Toc27140 \h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4</w:t>
          </w:r>
          <w:r>
            <w:rPr>
              <w:rFonts w:hint="eastAsia" w:ascii="宋体" w:hAnsi="宋体" w:eastAsia="宋体" w:cs="宋体"/>
              <w:b/>
              <w:bCs/>
              <w:caps/>
              <w:kern w:val="0"/>
              <w:sz w:val="24"/>
              <w:szCs w:val="48"/>
              <w:lang w:val="en-US" w:eastAsia="zh-CN" w:bidi="ar-SA"/>
            </w:rPr>
            <w:fldChar w:fldCharType="end"/>
          </w:r>
          <w:r>
            <w:rPr>
              <w:rFonts w:hint="eastAsia" w:ascii="宋体" w:hAnsi="宋体" w:eastAsia="宋体" w:cs="宋体"/>
              <w:b/>
              <w:bCs/>
              <w:caps/>
              <w:kern w:val="0"/>
              <w:sz w:val="24"/>
              <w:szCs w:val="48"/>
              <w:lang w:val="en-US" w:eastAsia="zh-CN" w:bidi="ar-SA"/>
            </w:rPr>
            <w:fldChar w:fldCharType="end"/>
          </w:r>
        </w:p>
        <w:p w14:paraId="45F3A93E">
          <w:pPr>
            <w:pStyle w:val="12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b/>
              <w:bCs/>
              <w:caps/>
              <w:kern w:val="0"/>
              <w:sz w:val="24"/>
              <w:szCs w:val="48"/>
              <w:lang w:val="en-US" w:eastAsia="zh-CN" w:bidi="ar-SA"/>
            </w:rPr>
          </w:pP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HYPERLINK \l _Toc32136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第二章 供应商须知及前附表</w:t>
          </w:r>
          <w:r>
            <w:rPr>
              <w:rFonts w:hint="eastAsia" w:ascii="宋体" w:hAnsi="宋体" w:eastAsia="宋体" w:cs="宋体"/>
              <w:b/>
              <w:bCs/>
              <w:caps/>
              <w:kern w:val="0"/>
              <w:sz w:val="24"/>
              <w:szCs w:val="48"/>
              <w:lang w:val="en-US" w:eastAsia="zh-CN" w:bidi="ar-SA"/>
            </w:rPr>
            <w:tab/>
          </w: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PAGEREF _Toc32136 \h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5</w:t>
          </w:r>
          <w:r>
            <w:rPr>
              <w:rFonts w:hint="eastAsia" w:ascii="宋体" w:hAnsi="宋体" w:eastAsia="宋体" w:cs="宋体"/>
              <w:b/>
              <w:bCs/>
              <w:caps/>
              <w:kern w:val="0"/>
              <w:sz w:val="24"/>
              <w:szCs w:val="48"/>
              <w:lang w:val="en-US" w:eastAsia="zh-CN" w:bidi="ar-SA"/>
            </w:rPr>
            <w:fldChar w:fldCharType="end"/>
          </w:r>
          <w:r>
            <w:rPr>
              <w:rFonts w:hint="eastAsia" w:ascii="宋体" w:hAnsi="宋体" w:eastAsia="宋体" w:cs="宋体"/>
              <w:b/>
              <w:bCs/>
              <w:caps/>
              <w:kern w:val="0"/>
              <w:sz w:val="24"/>
              <w:szCs w:val="48"/>
              <w:lang w:val="en-US" w:eastAsia="zh-CN" w:bidi="ar-SA"/>
            </w:rPr>
            <w:fldChar w:fldCharType="end"/>
          </w:r>
        </w:p>
        <w:p w14:paraId="57BEAEAF">
          <w:pPr>
            <w:pStyle w:val="1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aps/>
              <w:kern w:val="0"/>
              <w:sz w:val="24"/>
              <w:szCs w:val="48"/>
              <w:lang w:val="en-US" w:eastAsia="zh-CN" w:bidi="ar-SA"/>
            </w:rPr>
          </w:pP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HYPERLINK \l _Toc4516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第三章 采购需求及要求</w:t>
          </w:r>
          <w:r>
            <w:rPr>
              <w:rFonts w:hint="eastAsia" w:ascii="宋体" w:hAnsi="宋体" w:eastAsia="宋体" w:cs="宋体"/>
              <w:b/>
              <w:bCs/>
              <w:caps/>
              <w:kern w:val="0"/>
              <w:sz w:val="24"/>
              <w:szCs w:val="48"/>
              <w:lang w:val="en-US" w:eastAsia="zh-CN" w:bidi="ar-SA"/>
            </w:rPr>
            <w:tab/>
          </w: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PAGEREF _Toc4516 \h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31</w:t>
          </w:r>
          <w:r>
            <w:rPr>
              <w:rFonts w:hint="eastAsia" w:ascii="宋体" w:hAnsi="宋体" w:eastAsia="宋体" w:cs="宋体"/>
              <w:b/>
              <w:bCs/>
              <w:caps/>
              <w:kern w:val="0"/>
              <w:sz w:val="24"/>
              <w:szCs w:val="48"/>
              <w:lang w:val="en-US" w:eastAsia="zh-CN" w:bidi="ar-SA"/>
            </w:rPr>
            <w:fldChar w:fldCharType="end"/>
          </w:r>
          <w:r>
            <w:rPr>
              <w:rFonts w:hint="eastAsia" w:ascii="宋体" w:hAnsi="宋体" w:eastAsia="宋体" w:cs="宋体"/>
              <w:b/>
              <w:bCs/>
              <w:caps/>
              <w:kern w:val="0"/>
              <w:sz w:val="24"/>
              <w:szCs w:val="48"/>
              <w:lang w:val="en-US" w:eastAsia="zh-CN" w:bidi="ar-SA"/>
            </w:rPr>
            <w:fldChar w:fldCharType="end"/>
          </w:r>
        </w:p>
        <w:p w14:paraId="465CE6FD">
          <w:pPr>
            <w:pStyle w:val="1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aps/>
              <w:kern w:val="0"/>
              <w:sz w:val="24"/>
              <w:szCs w:val="48"/>
              <w:lang w:val="en-US" w:eastAsia="zh-CN" w:bidi="ar-SA"/>
            </w:rPr>
          </w:pP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HYPERLINK \l _Toc7106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第四章 评标办法</w:t>
          </w:r>
          <w:r>
            <w:rPr>
              <w:rFonts w:hint="eastAsia" w:ascii="宋体" w:hAnsi="宋体" w:eastAsia="宋体" w:cs="宋体"/>
              <w:b/>
              <w:bCs/>
              <w:caps/>
              <w:kern w:val="0"/>
              <w:sz w:val="24"/>
              <w:szCs w:val="48"/>
              <w:lang w:val="en-US" w:eastAsia="zh-CN" w:bidi="ar-SA"/>
            </w:rPr>
            <w:tab/>
          </w: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PAGEREF _Toc7106 \h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40</w:t>
          </w:r>
          <w:r>
            <w:rPr>
              <w:rFonts w:hint="eastAsia" w:ascii="宋体" w:hAnsi="宋体" w:eastAsia="宋体" w:cs="宋体"/>
              <w:b/>
              <w:bCs/>
              <w:caps/>
              <w:kern w:val="0"/>
              <w:sz w:val="24"/>
              <w:szCs w:val="48"/>
              <w:lang w:val="en-US" w:eastAsia="zh-CN" w:bidi="ar-SA"/>
            </w:rPr>
            <w:fldChar w:fldCharType="end"/>
          </w:r>
          <w:r>
            <w:rPr>
              <w:rFonts w:hint="eastAsia" w:ascii="宋体" w:hAnsi="宋体" w:eastAsia="宋体" w:cs="宋体"/>
              <w:b/>
              <w:bCs/>
              <w:caps/>
              <w:kern w:val="0"/>
              <w:sz w:val="24"/>
              <w:szCs w:val="48"/>
              <w:lang w:val="en-US" w:eastAsia="zh-CN" w:bidi="ar-SA"/>
            </w:rPr>
            <w:fldChar w:fldCharType="end"/>
          </w:r>
        </w:p>
        <w:p w14:paraId="36CE47C8">
          <w:pPr>
            <w:pStyle w:val="1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aps/>
              <w:kern w:val="0"/>
              <w:sz w:val="24"/>
              <w:szCs w:val="48"/>
              <w:lang w:val="en-US" w:eastAsia="zh-CN" w:bidi="ar-SA"/>
            </w:rPr>
          </w:pP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HYPERLINK \l _Toc21186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第五章 投标文件格式</w:t>
          </w:r>
          <w:r>
            <w:rPr>
              <w:rFonts w:hint="eastAsia" w:ascii="宋体" w:hAnsi="宋体" w:eastAsia="宋体" w:cs="宋体"/>
              <w:b/>
              <w:bCs/>
              <w:caps/>
              <w:kern w:val="0"/>
              <w:sz w:val="24"/>
              <w:szCs w:val="48"/>
              <w:lang w:val="en-US" w:eastAsia="zh-CN" w:bidi="ar-SA"/>
            </w:rPr>
            <w:tab/>
          </w: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PAGEREF _Toc21186 \h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46</w:t>
          </w:r>
          <w:r>
            <w:rPr>
              <w:rFonts w:hint="eastAsia" w:ascii="宋体" w:hAnsi="宋体" w:eastAsia="宋体" w:cs="宋体"/>
              <w:b/>
              <w:bCs/>
              <w:caps/>
              <w:kern w:val="0"/>
              <w:sz w:val="24"/>
              <w:szCs w:val="48"/>
              <w:lang w:val="en-US" w:eastAsia="zh-CN" w:bidi="ar-SA"/>
            </w:rPr>
            <w:fldChar w:fldCharType="end"/>
          </w:r>
          <w:r>
            <w:rPr>
              <w:rFonts w:hint="eastAsia" w:ascii="宋体" w:hAnsi="宋体" w:eastAsia="宋体" w:cs="宋体"/>
              <w:b/>
              <w:bCs/>
              <w:caps/>
              <w:kern w:val="0"/>
              <w:sz w:val="24"/>
              <w:szCs w:val="48"/>
              <w:lang w:val="en-US" w:eastAsia="zh-CN" w:bidi="ar-SA"/>
            </w:rPr>
            <w:fldChar w:fldCharType="end"/>
          </w:r>
        </w:p>
        <w:p w14:paraId="24D70621">
          <w:pPr>
            <w:pStyle w:val="12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bCs/>
              <w:caps/>
              <w:kern w:val="0"/>
              <w:sz w:val="24"/>
              <w:szCs w:val="48"/>
              <w:lang w:val="en-US" w:eastAsia="zh-CN" w:bidi="ar-SA"/>
            </w:rPr>
          </w:pP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HYPERLINK \l _Toc29608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第六章 合同条款及格式</w:t>
          </w:r>
          <w:r>
            <w:rPr>
              <w:rFonts w:hint="eastAsia" w:ascii="宋体" w:hAnsi="宋体" w:eastAsia="宋体" w:cs="宋体"/>
              <w:b/>
              <w:bCs/>
              <w:caps/>
              <w:kern w:val="0"/>
              <w:sz w:val="24"/>
              <w:szCs w:val="48"/>
              <w:lang w:val="en-US" w:eastAsia="zh-CN" w:bidi="ar-SA"/>
            </w:rPr>
            <w:tab/>
          </w:r>
          <w:r>
            <w:rPr>
              <w:rFonts w:hint="eastAsia" w:ascii="宋体" w:hAnsi="宋体" w:eastAsia="宋体" w:cs="宋体"/>
              <w:b/>
              <w:bCs/>
              <w:caps/>
              <w:kern w:val="0"/>
              <w:sz w:val="24"/>
              <w:szCs w:val="48"/>
              <w:lang w:val="en-US" w:eastAsia="zh-CN" w:bidi="ar-SA"/>
            </w:rPr>
            <w:fldChar w:fldCharType="begin"/>
          </w:r>
          <w:r>
            <w:rPr>
              <w:rFonts w:hint="eastAsia" w:ascii="宋体" w:hAnsi="宋体" w:eastAsia="宋体" w:cs="宋体"/>
              <w:b/>
              <w:bCs/>
              <w:caps/>
              <w:kern w:val="0"/>
              <w:sz w:val="24"/>
              <w:szCs w:val="48"/>
              <w:lang w:val="en-US" w:eastAsia="zh-CN" w:bidi="ar-SA"/>
            </w:rPr>
            <w:instrText xml:space="preserve"> PAGEREF _Toc29608 \h </w:instrText>
          </w:r>
          <w:r>
            <w:rPr>
              <w:rFonts w:hint="eastAsia" w:ascii="宋体" w:hAnsi="宋体" w:eastAsia="宋体" w:cs="宋体"/>
              <w:b/>
              <w:bCs/>
              <w:caps/>
              <w:kern w:val="0"/>
              <w:sz w:val="24"/>
              <w:szCs w:val="48"/>
              <w:lang w:val="en-US" w:eastAsia="zh-CN" w:bidi="ar-SA"/>
            </w:rPr>
            <w:fldChar w:fldCharType="separate"/>
          </w:r>
          <w:r>
            <w:rPr>
              <w:rFonts w:hint="eastAsia" w:ascii="宋体" w:hAnsi="宋体" w:eastAsia="宋体" w:cs="宋体"/>
              <w:b/>
              <w:bCs/>
              <w:caps/>
              <w:kern w:val="0"/>
              <w:sz w:val="24"/>
              <w:szCs w:val="48"/>
              <w:lang w:val="en-US" w:eastAsia="zh-CN" w:bidi="ar-SA"/>
            </w:rPr>
            <w:t>61</w:t>
          </w:r>
          <w:r>
            <w:rPr>
              <w:rFonts w:hint="eastAsia" w:ascii="宋体" w:hAnsi="宋体" w:eastAsia="宋体" w:cs="宋体"/>
              <w:b/>
              <w:bCs/>
              <w:caps/>
              <w:kern w:val="0"/>
              <w:sz w:val="24"/>
              <w:szCs w:val="48"/>
              <w:lang w:val="en-US" w:eastAsia="zh-CN" w:bidi="ar-SA"/>
            </w:rPr>
            <w:fldChar w:fldCharType="end"/>
          </w:r>
          <w:r>
            <w:rPr>
              <w:rFonts w:hint="eastAsia" w:ascii="宋体" w:hAnsi="宋体" w:eastAsia="宋体" w:cs="宋体"/>
              <w:b/>
              <w:bCs/>
              <w:caps/>
              <w:kern w:val="0"/>
              <w:sz w:val="24"/>
              <w:szCs w:val="48"/>
              <w:lang w:val="en-US" w:eastAsia="zh-CN" w:bidi="ar-SA"/>
            </w:rPr>
            <w:fldChar w:fldCharType="end"/>
          </w:r>
        </w:p>
        <w:p w14:paraId="44AC1F74">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宋体" w:hAnsi="宋体" w:eastAsia="宋体" w:cs="宋体"/>
              <w:b/>
              <w:bCs/>
              <w:caps/>
              <w:kern w:val="0"/>
              <w:sz w:val="24"/>
              <w:szCs w:val="48"/>
              <w:lang w:val="en-US" w:eastAsia="zh-CN" w:bidi="ar-SA"/>
            </w:rPr>
            <w:fldChar w:fldCharType="end"/>
          </w:r>
        </w:p>
      </w:sdtContent>
    </w:sdt>
    <w:p w14:paraId="3124C9CE"/>
    <w:p w14:paraId="1838E57B">
      <w:pPr>
        <w:numPr>
          <w:ilvl w:val="0"/>
          <w:numId w:val="0"/>
        </w:numPr>
        <w:spacing w:line="240" w:lineRule="auto"/>
        <w:jc w:val="center"/>
        <w:outlineLvl w:val="9"/>
        <w:rPr>
          <w:rFonts w:hint="eastAsia" w:ascii="宋体" w:hAnsi="宋体"/>
          <w:b/>
          <w:bCs/>
          <w:sz w:val="36"/>
          <w:szCs w:val="36"/>
        </w:rPr>
      </w:pPr>
      <w:r>
        <w:rPr>
          <w:rFonts w:hint="eastAsia" w:ascii="宋体" w:hAnsi="宋体"/>
          <w:b/>
          <w:bCs/>
          <w:sz w:val="36"/>
          <w:szCs w:val="36"/>
        </w:rPr>
        <w:t xml:space="preserve"> </w:t>
      </w:r>
      <w:bookmarkStart w:id="8" w:name="_Toc30141"/>
      <w:bookmarkStart w:id="9" w:name="_Toc32176"/>
      <w:bookmarkStart w:id="10" w:name="_Toc25170"/>
      <w:bookmarkStart w:id="11" w:name="_Toc3055"/>
      <w:bookmarkStart w:id="12" w:name="_Toc32708"/>
    </w:p>
    <w:p w14:paraId="2B6F1E74">
      <w:pPr>
        <w:keepNext w:val="0"/>
        <w:keepLines w:val="0"/>
        <w:pageBreakBefore/>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宋体" w:hAnsi="宋体"/>
          <w:b/>
          <w:bCs/>
          <w:sz w:val="36"/>
          <w:szCs w:val="36"/>
        </w:rPr>
      </w:pPr>
      <w:bookmarkStart w:id="13" w:name="_Toc27140"/>
      <w:r>
        <w:rPr>
          <w:rFonts w:hint="eastAsia" w:ascii="宋体" w:hAnsi="宋体"/>
          <w:b/>
          <w:bCs/>
          <w:sz w:val="36"/>
          <w:szCs w:val="36"/>
          <w:lang w:val="en-US" w:eastAsia="zh-CN"/>
        </w:rPr>
        <w:t xml:space="preserve">第一章  </w:t>
      </w:r>
      <w:r>
        <w:rPr>
          <w:rFonts w:hint="eastAsia" w:ascii="宋体" w:hAnsi="宋体"/>
          <w:b/>
          <w:bCs/>
          <w:sz w:val="36"/>
          <w:szCs w:val="36"/>
        </w:rPr>
        <w:t>招标公告</w:t>
      </w:r>
      <w:bookmarkEnd w:id="5"/>
      <w:bookmarkEnd w:id="6"/>
      <w:bookmarkEnd w:id="7"/>
      <w:bookmarkEnd w:id="8"/>
      <w:bookmarkEnd w:id="9"/>
      <w:bookmarkEnd w:id="10"/>
      <w:bookmarkEnd w:id="11"/>
      <w:bookmarkEnd w:id="12"/>
      <w:bookmarkEnd w:id="13"/>
      <w:bookmarkStart w:id="14" w:name="_Toc373314696"/>
    </w:p>
    <w:p w14:paraId="50F1A009">
      <w:pPr>
        <w:keepNext w:val="0"/>
        <w:keepLines w:val="0"/>
        <w:widowControl/>
        <w:suppressLineNumbers w:val="0"/>
        <w:spacing w:before="75" w:beforeAutospacing="0" w:after="75" w:afterAutospacing="0"/>
        <w:ind w:left="0" w:right="0" w:firstLine="420"/>
        <w:jc w:val="center"/>
        <w:rPr>
          <w:rFonts w:ascii="Tahoma" w:hAnsi="Tahoma" w:eastAsia="Tahoma" w:cs="Tahoma"/>
          <w:i w:val="0"/>
          <w:iCs w:val="0"/>
          <w:caps w:val="0"/>
          <w:color w:val="000000"/>
          <w:spacing w:val="0"/>
          <w:sz w:val="18"/>
          <w:szCs w:val="18"/>
        </w:rPr>
      </w:pPr>
      <w:r>
        <w:rPr>
          <w:rFonts w:hint="default" w:ascii="Tahoma" w:hAnsi="Tahoma" w:eastAsia="Tahoma" w:cs="Tahoma"/>
          <w:b/>
          <w:bCs/>
          <w:i w:val="0"/>
          <w:iCs w:val="0"/>
          <w:caps w:val="0"/>
          <w:color w:val="000000"/>
          <w:spacing w:val="0"/>
          <w:kern w:val="0"/>
          <w:sz w:val="36"/>
          <w:szCs w:val="36"/>
          <w:lang w:val="en-US" w:eastAsia="zh-CN" w:bidi="ar"/>
        </w:rPr>
        <w:t>陇南市政务服务中心政府采购综合窗口工作人员服务项目公开招标公告</w:t>
      </w:r>
    </w:p>
    <w:p w14:paraId="160E088C">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14:paraId="284E8C0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陇南市政务服务中心</w:t>
      </w:r>
      <w:r>
        <w:rPr>
          <w:rFonts w:hint="default" w:ascii="Tahoma" w:hAnsi="Tahoma" w:eastAsia="Tahoma" w:cs="Tahoma"/>
          <w:i w:val="0"/>
          <w:iCs w:val="0"/>
          <w:caps w:val="0"/>
          <w:color w:val="000000"/>
          <w:spacing w:val="0"/>
          <w:kern w:val="0"/>
          <w:sz w:val="18"/>
          <w:szCs w:val="18"/>
          <w:lang w:val="en-US" w:eastAsia="zh-CN" w:bidi="ar"/>
        </w:rPr>
        <w:t>招标项目的潜在投标人应在</w:t>
      </w:r>
      <w:r>
        <w:rPr>
          <w:rFonts w:hint="default" w:ascii="Tahoma" w:hAnsi="Tahoma" w:eastAsia="Tahoma" w:cs="Tahoma"/>
          <w:i w:val="0"/>
          <w:iCs w:val="0"/>
          <w:caps w:val="0"/>
          <w:color w:val="000000"/>
          <w:spacing w:val="0"/>
          <w:kern w:val="0"/>
          <w:sz w:val="18"/>
          <w:szCs w:val="18"/>
          <w:u w:val="single"/>
          <w:lang w:val="en-US" w:eastAsia="zh-CN" w:bidi="ar"/>
        </w:rPr>
        <w:t>陇南市公共资源交易网（http://60.164.200.102/）免费下载 </w:t>
      </w:r>
      <w:r>
        <w:rPr>
          <w:rFonts w:hint="default" w:ascii="Tahoma" w:hAnsi="Tahoma" w:eastAsia="Tahoma" w:cs="Tahoma"/>
          <w:i w:val="0"/>
          <w:iCs w:val="0"/>
          <w:caps w:val="0"/>
          <w:color w:val="000000"/>
          <w:spacing w:val="0"/>
          <w:kern w:val="0"/>
          <w:sz w:val="18"/>
          <w:szCs w:val="18"/>
          <w:lang w:val="en-US" w:eastAsia="zh-CN" w:bidi="ar"/>
        </w:rPr>
        <w:t>获取招标文件，并于</w:t>
      </w:r>
      <w:r>
        <w:rPr>
          <w:rFonts w:hint="default" w:ascii="Tahoma" w:hAnsi="Tahoma" w:eastAsia="Tahoma" w:cs="Tahoma"/>
          <w:i w:val="0"/>
          <w:iCs w:val="0"/>
          <w:caps w:val="0"/>
          <w:color w:val="000000"/>
          <w:spacing w:val="0"/>
          <w:kern w:val="0"/>
          <w:sz w:val="18"/>
          <w:szCs w:val="18"/>
          <w:u w:val="single"/>
          <w:lang w:val="en-US" w:eastAsia="zh-CN" w:bidi="ar"/>
        </w:rPr>
        <w:t>2024-12-11 15:00:00</w:t>
      </w:r>
      <w:r>
        <w:rPr>
          <w:rFonts w:hint="default" w:ascii="Tahoma" w:hAnsi="Tahoma" w:eastAsia="Tahoma" w:cs="Tahoma"/>
          <w:i w:val="0"/>
          <w:iCs w:val="0"/>
          <w:caps w:val="0"/>
          <w:color w:val="000000"/>
          <w:spacing w:val="0"/>
          <w:kern w:val="0"/>
          <w:sz w:val="18"/>
          <w:szCs w:val="18"/>
          <w:lang w:val="en-US" w:eastAsia="zh-CN" w:bidi="ar"/>
        </w:rPr>
        <w:t>（北京时间）前递交投标文件。</w:t>
      </w:r>
    </w:p>
    <w:p w14:paraId="1B5FB5C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14:paraId="3F7763D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项目编号：135001JH6212025</w:t>
      </w:r>
    </w:p>
    <w:p w14:paraId="746A1ADC">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项目名称：陇南市政务服务中心政府采购综合窗口工作人员服务项目</w:t>
      </w:r>
    </w:p>
    <w:p w14:paraId="677973A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预算金额：73.012800(万元)</w:t>
      </w:r>
    </w:p>
    <w:p w14:paraId="2C8A753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最高限价：73.012800(万元)</w:t>
      </w:r>
    </w:p>
    <w:p w14:paraId="712C578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采购需求：陇南市政务服务中心政府采购综合窗口工作人员服务，具体内容，详见文件。</w:t>
      </w:r>
    </w:p>
    <w:p w14:paraId="7DAEF25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14:paraId="54F7A94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14:paraId="4E8E3F8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14:paraId="636C46A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1.（1）必须符合《中华人民共和国政府采购法》第二十二条规定，并提供《中华人民共和国政府采购法实施条例》第十七条所要求的材料； （2）投标供应商须为未被列入“信用中国”网站 (www.creditchina.gov.cn)记录失信被执行人或重大税收违法案件当事人名单；不处于中国政府采购网(www.ccgp.gov.cn)政府采购严重违法失信行为记录名单中的禁止参加政府采购活动期间的方可参加本项目的投标。 （3）投标人须为在中华人民共和国境内依法设立，依据国务院批准的中小企业划分标准确定的中型企业、小型企业和微型企业，但与大企业的负责人为同一人，或者与大企业存在直接控股、管理关系的除外。 （4）本项目不接受联合体投标。</w:t>
      </w:r>
    </w:p>
    <w:p w14:paraId="2F3CC34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管理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14:paraId="59C0E2D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3.本项目的特定资格要求：无</w:t>
      </w:r>
    </w:p>
    <w:p w14:paraId="45E6582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三、获取招标文件</w:t>
      </w:r>
    </w:p>
    <w:p w14:paraId="01E0FA5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2024-11-21</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2024-11-27</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17:30</w:t>
      </w:r>
    </w:p>
    <w:p w14:paraId="7738169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地点：陇南市公共资源交易网（http://60.164.200.102/）免费下载</w:t>
      </w:r>
    </w:p>
    <w:p w14:paraId="09CF5D3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1.社会公众可通过陇南市公共资源交易网免费下载或查阅招标文件，拟参与本项目的潜在投标人在获取期限内，凭CA数字证书或通过“用户名+密码”方式登录陇南市公共资源交易网（登录网址http://60.164.200.102/TPBidder/memberLogin）在线免费下载获取招标文件，并点击“我要投标”按要求填写信息，未填写信息的投标无效。2.请潜在投标人随时关注陇南市公共资源交易网及甘肃政府采购网本项目相关变更公告及澄清答疑文件，否则由变更引起的相关责任自负。</w:t>
      </w:r>
    </w:p>
    <w:p w14:paraId="02693DE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售价：0(元)</w:t>
      </w:r>
    </w:p>
    <w:p w14:paraId="5875D5B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四、提交投标文件截止时间、开标时间和地点</w:t>
      </w:r>
    </w:p>
    <w:p w14:paraId="2037930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时间：2024-12-11 15:00:00</w:t>
      </w:r>
    </w:p>
    <w:p w14:paraId="681873E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地点：陇南市公共资源交易中心网络开标直播二厅第1坐席（陇南市行政中心5号楼环保大厦）</w:t>
      </w:r>
    </w:p>
    <w:p w14:paraId="7F650F6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五、公告期限</w:t>
      </w:r>
    </w:p>
    <w:p w14:paraId="279531EA">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自本公告发布之日起5个工作日。</w:t>
      </w:r>
    </w:p>
    <w:p w14:paraId="73457C3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六、其他补充事宜</w:t>
      </w:r>
    </w:p>
    <w:p w14:paraId="4A8B3037">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上传投标文件，本项目全流程必须使用同一把CA数字证书进行操作；若在投标文件递交截止时间（开标时间）前没有网上投标（上传投标文件）则视为放弃投标。② 投标人须按时凭CA数字证书登录陇南市公共资源交易网-新点不见面开标大厅参与网上开标。</w:t>
      </w:r>
    </w:p>
    <w:p w14:paraId="6FC2E2B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①陇南市公共资源交易网：http://60.164.200.102/</w:t>
      </w:r>
    </w:p>
    <w:p w14:paraId="47EC281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14:paraId="017BC04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③中国政府采购网网址：http://www.ccgp.gov.cn/</w:t>
      </w:r>
    </w:p>
    <w:p w14:paraId="61181AE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七、对本次招标提出询问，请按以下方式联系</w:t>
      </w:r>
    </w:p>
    <w:p w14:paraId="1F049E9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14:paraId="392EC63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陇南市政务服务中心</w:t>
      </w:r>
    </w:p>
    <w:p w14:paraId="7136BB7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甘肃省陇南市武都区东江行政中心环保大厦裙楼</w:t>
      </w:r>
    </w:p>
    <w:p w14:paraId="4579462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0939-8231756</w:t>
      </w:r>
    </w:p>
    <w:p w14:paraId="5CB16B8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14:paraId="2F3A3FD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陇南市公共资源交易中心</w:t>
      </w:r>
    </w:p>
    <w:p w14:paraId="043E8C5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陇南市东江新区统办5号楼二楼</w:t>
      </w:r>
    </w:p>
    <w:p w14:paraId="35F7873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0939-8460432</w:t>
      </w:r>
    </w:p>
    <w:p w14:paraId="1704760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14:paraId="08E9155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贺东升</w:t>
      </w:r>
    </w:p>
    <w:p w14:paraId="28A81E3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0939-8231756</w:t>
      </w:r>
    </w:p>
    <w:p w14:paraId="6AABD6FF">
      <w:pPr>
        <w:keepNext w:val="0"/>
        <w:keepLines w:val="0"/>
        <w:widowControl/>
        <w:suppressLineNumbers w:val="0"/>
        <w:spacing w:before="75" w:beforeAutospacing="0" w:after="75" w:afterAutospacing="0"/>
        <w:ind w:left="0" w:right="0" w:firstLine="420"/>
        <w:jc w:val="left"/>
      </w:pPr>
    </w:p>
    <w:p w14:paraId="7457964D">
      <w:pPr>
        <w:pStyle w:val="44"/>
        <w:rPr>
          <w:rFonts w:hint="eastAsia"/>
          <w:lang w:val="en-US" w:eastAsia="zh-CN"/>
        </w:rPr>
      </w:pPr>
      <w:r>
        <w:rPr>
          <w:rFonts w:hint="eastAsia"/>
          <w:lang w:val="en-US" w:eastAsia="zh-CN"/>
        </w:rPr>
        <w:t xml:space="preserve">     </w:t>
      </w:r>
    </w:p>
    <w:p w14:paraId="479DF9AF">
      <w:pPr>
        <w:pStyle w:val="44"/>
        <w:rPr>
          <w:rFonts w:hint="eastAsia"/>
        </w:rPr>
      </w:pPr>
      <w:r>
        <w:rPr>
          <w:rFonts w:hint="eastAsia"/>
          <w:lang w:val="en-US" w:eastAsia="zh-CN"/>
        </w:rPr>
        <w:t xml:space="preserve">                      </w:t>
      </w:r>
      <w:r>
        <w:rPr>
          <w:rFonts w:hint="eastAsia" w:ascii="宋体" w:hAnsi="宋体" w:eastAsia="宋体" w:cs="宋体"/>
          <w:lang w:val="en-US" w:eastAsia="zh-CN"/>
        </w:rPr>
        <w:t xml:space="preserve"> 2024年11月20 日</w:t>
      </w:r>
    </w:p>
    <w:p w14:paraId="748934BA">
      <w:pPr>
        <w:pageBreakBefore/>
        <w:spacing w:line="360" w:lineRule="auto"/>
        <w:jc w:val="center"/>
        <w:outlineLvl w:val="0"/>
        <w:rPr>
          <w:rFonts w:hint="eastAsia" w:ascii="宋体" w:hAnsi="宋体" w:cs="宋体"/>
          <w:b/>
          <w:bCs/>
          <w:kern w:val="0"/>
          <w:sz w:val="40"/>
          <w:szCs w:val="40"/>
        </w:rPr>
      </w:pPr>
      <w:bookmarkStart w:id="15" w:name="_Toc15817"/>
      <w:bookmarkStart w:id="16" w:name="_Toc15895"/>
      <w:bookmarkStart w:id="17" w:name="_Toc26559"/>
      <w:bookmarkStart w:id="18" w:name="_Toc18892"/>
      <w:bookmarkStart w:id="19" w:name="_Toc16107"/>
      <w:bookmarkStart w:id="20" w:name="_Toc3239"/>
      <w:bookmarkStart w:id="21" w:name="_Toc32136"/>
      <w:bookmarkStart w:id="22" w:name="_Toc20397"/>
      <w:r>
        <w:rPr>
          <w:rFonts w:hint="eastAsia" w:ascii="宋体" w:hAnsi="宋体" w:cs="宋体"/>
          <w:b/>
          <w:bCs/>
          <w:kern w:val="0"/>
          <w:sz w:val="40"/>
          <w:szCs w:val="40"/>
        </w:rPr>
        <w:t>第二章 供应商须知及前附表</w:t>
      </w:r>
      <w:bookmarkEnd w:id="14"/>
      <w:bookmarkEnd w:id="15"/>
      <w:bookmarkEnd w:id="16"/>
      <w:bookmarkEnd w:id="17"/>
      <w:bookmarkEnd w:id="18"/>
      <w:bookmarkEnd w:id="19"/>
      <w:bookmarkEnd w:id="20"/>
      <w:bookmarkEnd w:id="21"/>
      <w:bookmarkEnd w:id="22"/>
    </w:p>
    <w:p w14:paraId="60C7DB8F">
      <w:pPr>
        <w:spacing w:before="0" w:beforeLines="0" w:after="0" w:afterLines="0" w:line="360" w:lineRule="auto"/>
        <w:jc w:val="center"/>
        <w:outlineLvl w:val="9"/>
        <w:rPr>
          <w:rFonts w:ascii="宋体" w:hAnsi="宋体" w:eastAsia="宋体"/>
          <w:color w:val="auto"/>
          <w:sz w:val="24"/>
          <w:szCs w:val="24"/>
          <w:highlight w:val="none"/>
        </w:rPr>
      </w:pPr>
      <w:bookmarkStart w:id="23" w:name="_Toc11858"/>
      <w:bookmarkStart w:id="24" w:name="_Toc22758"/>
      <w:bookmarkStart w:id="25" w:name="_Toc27992"/>
      <w:bookmarkStart w:id="26" w:name="_Toc11305"/>
      <w:bookmarkStart w:id="27" w:name="_Toc373314697"/>
      <w:bookmarkStart w:id="28" w:name="_Toc373309552"/>
      <w:r>
        <w:rPr>
          <w:rFonts w:hint="eastAsia" w:ascii="宋体" w:hAnsi="宋体" w:eastAsia="宋体"/>
          <w:color w:val="auto"/>
          <w:sz w:val="24"/>
          <w:szCs w:val="24"/>
          <w:highlight w:val="none"/>
        </w:rPr>
        <w:t>投标人须知前附表</w:t>
      </w:r>
      <w:bookmarkEnd w:id="23"/>
      <w:bookmarkEnd w:id="24"/>
      <w:bookmarkEnd w:id="25"/>
      <w:bookmarkEnd w:id="26"/>
    </w:p>
    <w:p w14:paraId="789832F8">
      <w:pPr>
        <w:jc w:val="center"/>
        <w:rPr>
          <w:rFonts w:hAnsi="宋体" w:cs="宋体"/>
          <w:color w:val="auto"/>
          <w:sz w:val="24"/>
          <w:szCs w:val="24"/>
          <w:highlight w:val="none"/>
          <w:lang w:val="zh-CN"/>
        </w:rPr>
      </w:pPr>
      <w:r>
        <w:rPr>
          <w:rFonts w:hint="eastAsia" w:hAnsi="宋体" w:cs="宋体"/>
          <w:color w:val="auto"/>
          <w:sz w:val="24"/>
          <w:szCs w:val="24"/>
          <w:highlight w:val="none"/>
        </w:rPr>
        <w:t>(</w:t>
      </w:r>
      <w:r>
        <w:rPr>
          <w:rFonts w:hint="eastAsia" w:hAnsi="宋体"/>
          <w:color w:val="auto"/>
          <w:sz w:val="24"/>
          <w:highlight w:val="none"/>
        </w:rPr>
        <w:t>本表是对投标人须知的具体补充和修改，如有矛盾，以前附表为准)</w:t>
      </w:r>
    </w:p>
    <w:tbl>
      <w:tblPr>
        <w:tblStyle w:val="46"/>
        <w:tblW w:w="962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2"/>
        <w:gridCol w:w="2196"/>
        <w:gridCol w:w="6599"/>
      </w:tblGrid>
      <w:tr w14:paraId="5AD5BD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exact"/>
          <w:jc w:val="center"/>
        </w:trPr>
        <w:tc>
          <w:tcPr>
            <w:tcW w:w="832" w:type="dxa"/>
            <w:noWrap w:val="0"/>
            <w:vAlign w:val="center"/>
          </w:tcPr>
          <w:p w14:paraId="5DD09C59">
            <w:pPr>
              <w:pStyle w:val="103"/>
              <w:spacing w:line="360" w:lineRule="auto"/>
              <w:ind w:left="9"/>
              <w:jc w:val="center"/>
              <w:rPr>
                <w:color w:val="auto"/>
                <w:highlight w:val="none"/>
                <w:lang w:val="zh-CN"/>
              </w:rPr>
            </w:pPr>
            <w:r>
              <w:rPr>
                <w:rFonts w:hint="eastAsia"/>
                <w:color w:val="auto"/>
                <w:highlight w:val="none"/>
                <w:lang w:val="en-US" w:eastAsia="zh-CN"/>
              </w:rPr>
              <w:t>序</w:t>
            </w:r>
            <w:r>
              <w:rPr>
                <w:rFonts w:hint="eastAsia"/>
                <w:color w:val="auto"/>
                <w:highlight w:val="none"/>
                <w:lang w:val="zh-CN"/>
              </w:rPr>
              <w:t>号</w:t>
            </w:r>
          </w:p>
        </w:tc>
        <w:tc>
          <w:tcPr>
            <w:tcW w:w="2196" w:type="dxa"/>
            <w:noWrap w:val="0"/>
            <w:vAlign w:val="center"/>
          </w:tcPr>
          <w:p w14:paraId="2C2CF094">
            <w:pPr>
              <w:pStyle w:val="103"/>
              <w:spacing w:line="360" w:lineRule="auto"/>
              <w:ind w:left="38"/>
              <w:jc w:val="center"/>
              <w:rPr>
                <w:color w:val="auto"/>
                <w:highlight w:val="none"/>
                <w:lang w:val="zh-CN"/>
              </w:rPr>
            </w:pPr>
            <w:r>
              <w:rPr>
                <w:rFonts w:hint="eastAsia"/>
                <w:color w:val="auto"/>
                <w:highlight w:val="none"/>
                <w:lang w:val="zh-CN"/>
              </w:rPr>
              <w:t>条款名称</w:t>
            </w:r>
          </w:p>
        </w:tc>
        <w:tc>
          <w:tcPr>
            <w:tcW w:w="6599" w:type="dxa"/>
            <w:noWrap w:val="0"/>
            <w:vAlign w:val="center"/>
          </w:tcPr>
          <w:p w14:paraId="0CF1A8EE">
            <w:pPr>
              <w:pStyle w:val="103"/>
              <w:spacing w:line="360" w:lineRule="auto"/>
              <w:jc w:val="center"/>
              <w:rPr>
                <w:color w:val="auto"/>
                <w:highlight w:val="none"/>
                <w:lang w:val="zh-CN"/>
              </w:rPr>
            </w:pPr>
            <w:r>
              <w:rPr>
                <w:rFonts w:hint="eastAsia"/>
                <w:color w:val="auto"/>
                <w:highlight w:val="none"/>
                <w:lang w:val="zh-CN"/>
              </w:rPr>
              <w:t>说明和要求</w:t>
            </w:r>
          </w:p>
        </w:tc>
      </w:tr>
      <w:tr w14:paraId="685012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exact"/>
          <w:jc w:val="center"/>
        </w:trPr>
        <w:tc>
          <w:tcPr>
            <w:tcW w:w="832" w:type="dxa"/>
            <w:noWrap w:val="0"/>
            <w:vAlign w:val="center"/>
          </w:tcPr>
          <w:p w14:paraId="3A89FC68">
            <w:pPr>
              <w:pStyle w:val="103"/>
              <w:ind w:right="230" w:rightChars="0"/>
              <w:jc w:val="center"/>
              <w:rPr>
                <w:rFonts w:cs="Courier New"/>
                <w:color w:val="auto"/>
                <w:highlight w:val="none"/>
                <w:lang w:val="zh-CN"/>
              </w:rPr>
            </w:pPr>
            <w:r>
              <w:rPr>
                <w:rFonts w:ascii="仿宋_GB2312" w:hAnsi="仿宋_GB2312" w:eastAsia="仿宋_GB2312" w:cs="仿宋_GB2312"/>
                <w:sz w:val="21"/>
                <w:szCs w:val="21"/>
                <w:lang w:val="zh-CN" w:eastAsia="zh-CN"/>
              </w:rPr>
              <w:t>1</w:t>
            </w:r>
          </w:p>
        </w:tc>
        <w:tc>
          <w:tcPr>
            <w:tcW w:w="2196" w:type="dxa"/>
            <w:noWrap w:val="0"/>
            <w:vAlign w:val="center"/>
          </w:tcPr>
          <w:p w14:paraId="7BCECC7A">
            <w:pPr>
              <w:pStyle w:val="103"/>
              <w:ind w:left="38" w:firstLine="600" w:firstLineChars="250"/>
              <w:rPr>
                <w:color w:val="auto"/>
                <w:highlight w:val="none"/>
                <w:lang w:val="zh-CN"/>
              </w:rPr>
            </w:pPr>
            <w:r>
              <w:rPr>
                <w:rFonts w:hint="eastAsia"/>
                <w:color w:val="auto"/>
                <w:highlight w:val="none"/>
                <w:lang w:val="zh-CN"/>
              </w:rPr>
              <w:t>项目名称</w:t>
            </w:r>
          </w:p>
        </w:tc>
        <w:tc>
          <w:tcPr>
            <w:tcW w:w="6599" w:type="dxa"/>
            <w:noWrap w:val="0"/>
            <w:vAlign w:val="center"/>
          </w:tcPr>
          <w:p w14:paraId="58042FEC">
            <w:pPr>
              <w:pStyle w:val="103"/>
              <w:jc w:val="both"/>
              <w:rPr>
                <w:color w:val="auto"/>
                <w:highlight w:val="none"/>
                <w:lang w:val="zh-CN"/>
              </w:rPr>
            </w:pPr>
            <w:r>
              <w:rPr>
                <w:rFonts w:hint="eastAsia"/>
                <w:color w:val="auto"/>
                <w:highlight w:val="none"/>
                <w:lang w:val="zh-CN" w:eastAsia="zh-CN"/>
              </w:rPr>
              <w:t>陇南市政务服务中心政府采购综合窗口工作人员服务项目</w:t>
            </w:r>
          </w:p>
        </w:tc>
      </w:tr>
      <w:tr w14:paraId="43A3A0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5" w:hRule="exact"/>
          <w:jc w:val="center"/>
        </w:trPr>
        <w:tc>
          <w:tcPr>
            <w:tcW w:w="832" w:type="dxa"/>
            <w:noWrap w:val="0"/>
            <w:vAlign w:val="center"/>
          </w:tcPr>
          <w:p w14:paraId="1B1AEE86">
            <w:pPr>
              <w:pStyle w:val="103"/>
              <w:ind w:right="230" w:rightChars="0"/>
              <w:jc w:val="center"/>
              <w:rPr>
                <w:rFonts w:cs="Courier New"/>
                <w:color w:val="auto"/>
                <w:highlight w:val="none"/>
                <w:lang w:val="zh-CN"/>
              </w:rPr>
            </w:pPr>
            <w:r>
              <w:rPr>
                <w:rFonts w:ascii="仿宋_GB2312" w:hAnsi="仿宋_GB2312" w:eastAsia="仿宋_GB2312" w:cs="仿宋_GB2312"/>
                <w:sz w:val="21"/>
                <w:szCs w:val="21"/>
                <w:lang w:val="zh-CN" w:eastAsia="zh-CN"/>
              </w:rPr>
              <w:t>2</w:t>
            </w:r>
          </w:p>
        </w:tc>
        <w:tc>
          <w:tcPr>
            <w:tcW w:w="2196" w:type="dxa"/>
            <w:noWrap w:val="0"/>
            <w:vAlign w:val="center"/>
          </w:tcPr>
          <w:p w14:paraId="189D949C">
            <w:pPr>
              <w:pStyle w:val="103"/>
              <w:ind w:left="38"/>
              <w:rPr>
                <w:color w:val="auto"/>
                <w:highlight w:val="none"/>
                <w:lang w:val="zh-CN"/>
              </w:rPr>
            </w:pPr>
            <w:r>
              <w:rPr>
                <w:rFonts w:hint="eastAsia"/>
                <w:color w:val="auto"/>
                <w:highlight w:val="none"/>
                <w:lang w:val="zh-CN"/>
              </w:rPr>
              <w:t xml:space="preserve">   </w:t>
            </w:r>
            <w:r>
              <w:rPr>
                <w:rFonts w:hint="eastAsia"/>
                <w:color w:val="auto"/>
                <w:highlight w:val="none"/>
                <w:lang w:val="en-US" w:eastAsia="zh-CN"/>
              </w:rPr>
              <w:t xml:space="preserve">  项目</w:t>
            </w:r>
            <w:r>
              <w:rPr>
                <w:rFonts w:hint="eastAsia"/>
                <w:color w:val="auto"/>
                <w:highlight w:val="none"/>
                <w:lang w:val="zh-CN"/>
              </w:rPr>
              <w:t>编号</w:t>
            </w:r>
          </w:p>
        </w:tc>
        <w:tc>
          <w:tcPr>
            <w:tcW w:w="6599" w:type="dxa"/>
            <w:noWrap w:val="0"/>
            <w:vAlign w:val="center"/>
          </w:tcPr>
          <w:p w14:paraId="430B349B">
            <w:pPr>
              <w:pStyle w:val="103"/>
              <w:rPr>
                <w:color w:val="auto"/>
                <w:highlight w:val="none"/>
              </w:rPr>
            </w:pPr>
            <w:r>
              <w:rPr>
                <w:rFonts w:hint="eastAsia"/>
                <w:color w:val="auto"/>
                <w:highlight w:val="none"/>
              </w:rPr>
              <w:t xml:space="preserve"> 135001JH6212025</w:t>
            </w:r>
          </w:p>
        </w:tc>
      </w:tr>
      <w:tr w14:paraId="3E4429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1" w:hRule="exact"/>
          <w:jc w:val="center"/>
        </w:trPr>
        <w:tc>
          <w:tcPr>
            <w:tcW w:w="832" w:type="dxa"/>
            <w:noWrap w:val="0"/>
            <w:vAlign w:val="center"/>
          </w:tcPr>
          <w:p w14:paraId="7DE90EC7">
            <w:pPr>
              <w:pStyle w:val="103"/>
              <w:ind w:right="230" w:rightChars="0"/>
              <w:jc w:val="center"/>
              <w:rPr>
                <w:rFonts w:cs="Courier New"/>
                <w:color w:val="auto"/>
                <w:highlight w:val="none"/>
                <w:lang w:val="zh-CN"/>
              </w:rPr>
            </w:pPr>
            <w:r>
              <w:rPr>
                <w:rFonts w:ascii="仿宋_GB2312" w:hAnsi="仿宋_GB2312" w:eastAsia="仿宋_GB2312" w:cs="仿宋_GB2312"/>
                <w:sz w:val="21"/>
                <w:szCs w:val="21"/>
                <w:lang w:val="zh-CN"/>
              </w:rPr>
              <w:t>3</w:t>
            </w:r>
          </w:p>
        </w:tc>
        <w:tc>
          <w:tcPr>
            <w:tcW w:w="2196" w:type="dxa"/>
            <w:noWrap w:val="0"/>
            <w:vAlign w:val="center"/>
          </w:tcPr>
          <w:p w14:paraId="268C6103">
            <w:pPr>
              <w:pStyle w:val="103"/>
              <w:ind w:left="38"/>
              <w:rPr>
                <w:color w:val="auto"/>
                <w:highlight w:val="none"/>
                <w:lang w:val="zh-CN"/>
              </w:rPr>
            </w:pPr>
            <w:r>
              <w:rPr>
                <w:rFonts w:hint="eastAsia"/>
                <w:color w:val="auto"/>
                <w:highlight w:val="none"/>
                <w:lang w:val="zh-CN"/>
              </w:rPr>
              <w:t xml:space="preserve">     采购方式</w:t>
            </w:r>
          </w:p>
        </w:tc>
        <w:tc>
          <w:tcPr>
            <w:tcW w:w="6599" w:type="dxa"/>
            <w:noWrap w:val="0"/>
            <w:vAlign w:val="center"/>
          </w:tcPr>
          <w:p w14:paraId="7931B37F">
            <w:pPr>
              <w:pStyle w:val="103"/>
              <w:jc w:val="both"/>
              <w:rPr>
                <w:rFonts w:hint="default" w:eastAsia="宋体"/>
                <w:color w:val="auto"/>
                <w:highlight w:val="none"/>
                <w:lang w:val="en-US" w:eastAsia="zh-CN"/>
              </w:rPr>
            </w:pPr>
            <w:r>
              <w:rPr>
                <w:rFonts w:hint="eastAsia"/>
                <w:color w:val="auto"/>
                <w:highlight w:val="none"/>
                <w:lang w:val="zh-CN"/>
              </w:rPr>
              <w:t xml:space="preserve">  </w:t>
            </w:r>
            <w:r>
              <w:rPr>
                <w:rFonts w:hint="eastAsia"/>
                <w:color w:val="auto"/>
                <w:highlight w:val="none"/>
                <w:lang w:val="en-US" w:eastAsia="zh-CN"/>
              </w:rPr>
              <w:t>公开招标</w:t>
            </w:r>
          </w:p>
        </w:tc>
      </w:tr>
      <w:tr w14:paraId="753BBB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27" w:hRule="atLeast"/>
          <w:jc w:val="center"/>
        </w:trPr>
        <w:tc>
          <w:tcPr>
            <w:tcW w:w="832" w:type="dxa"/>
            <w:noWrap w:val="0"/>
            <w:vAlign w:val="center"/>
          </w:tcPr>
          <w:p w14:paraId="0D7AF49F">
            <w:pPr>
              <w:pStyle w:val="103"/>
              <w:ind w:right="230" w:rightChars="0"/>
              <w:jc w:val="center"/>
              <w:rPr>
                <w:rFonts w:cs="Courier New"/>
                <w:color w:val="auto"/>
                <w:highlight w:val="none"/>
                <w:lang w:val="zh-CN"/>
              </w:rPr>
            </w:pPr>
            <w:r>
              <w:rPr>
                <w:rFonts w:hint="eastAsia" w:ascii="仿宋_GB2312" w:hAnsi="仿宋_GB2312" w:eastAsia="仿宋_GB2312" w:cs="仿宋_GB2312"/>
                <w:sz w:val="21"/>
                <w:szCs w:val="21"/>
                <w:lang w:val="en-US" w:eastAsia="zh-CN"/>
              </w:rPr>
              <w:t>4</w:t>
            </w:r>
          </w:p>
        </w:tc>
        <w:tc>
          <w:tcPr>
            <w:tcW w:w="2196" w:type="dxa"/>
            <w:noWrap w:val="0"/>
            <w:vAlign w:val="center"/>
          </w:tcPr>
          <w:p w14:paraId="7256CB64">
            <w:pPr>
              <w:pStyle w:val="103"/>
              <w:jc w:val="center"/>
              <w:rPr>
                <w:color w:val="auto"/>
                <w:highlight w:val="none"/>
                <w:lang w:val="zh-CN"/>
              </w:rPr>
            </w:pPr>
            <w:r>
              <w:rPr>
                <w:rFonts w:hint="eastAsia"/>
                <w:color w:val="auto"/>
                <w:highlight w:val="none"/>
                <w:lang w:val="zh-CN"/>
              </w:rPr>
              <w:t>采购人</w:t>
            </w:r>
          </w:p>
        </w:tc>
        <w:tc>
          <w:tcPr>
            <w:tcW w:w="6599" w:type="dxa"/>
            <w:noWrap w:val="0"/>
            <w:vAlign w:val="center"/>
          </w:tcPr>
          <w:p w14:paraId="22B5505C">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color w:val="auto"/>
                <w:highlight w:val="none"/>
                <w:lang w:val="zh-CN"/>
              </w:rPr>
            </w:pPr>
            <w:r>
              <w:rPr>
                <w:rFonts w:hint="eastAsia"/>
                <w:color w:val="auto"/>
                <w:highlight w:val="none"/>
                <w:lang w:val="zh-CN"/>
              </w:rPr>
              <w:t>采购人：</w:t>
            </w:r>
            <w:r>
              <w:rPr>
                <w:rFonts w:hint="eastAsia" w:ascii="Times New Roman" w:eastAsia="宋体"/>
                <w:color w:val="auto"/>
                <w:highlight w:val="none"/>
                <w:lang w:val="zh-CN" w:eastAsia="zh-CN"/>
              </w:rPr>
              <w:t>陇南市政务服务中心</w:t>
            </w:r>
          </w:p>
          <w:p w14:paraId="53A7F89E">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color w:val="auto"/>
                <w:highlight w:val="none"/>
                <w:lang w:val="zh-CN"/>
              </w:rPr>
            </w:pPr>
            <w:r>
              <w:rPr>
                <w:rFonts w:hint="eastAsia"/>
                <w:color w:val="auto"/>
                <w:highlight w:val="none"/>
                <w:lang w:val="zh-CN"/>
              </w:rPr>
              <w:t xml:space="preserve">联系人：贺东升 </w:t>
            </w:r>
          </w:p>
          <w:p w14:paraId="087B4D12">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color w:val="auto"/>
                <w:highlight w:val="none"/>
                <w:lang w:val="zh-CN"/>
              </w:rPr>
            </w:pPr>
            <w:r>
              <w:rPr>
                <w:rFonts w:hint="eastAsia"/>
                <w:color w:val="auto"/>
                <w:highlight w:val="none"/>
                <w:lang w:val="zh-CN"/>
              </w:rPr>
              <w:t>联系电话：15193995987</w:t>
            </w:r>
          </w:p>
          <w:p w14:paraId="79A8FF3A">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eastAsia="宋体"/>
                <w:color w:val="auto"/>
                <w:highlight w:val="none"/>
                <w:lang w:val="en-US" w:eastAsia="zh-CN"/>
              </w:rPr>
            </w:pPr>
            <w:r>
              <w:rPr>
                <w:rFonts w:hint="eastAsia"/>
                <w:color w:val="auto"/>
                <w:highlight w:val="none"/>
                <w:lang w:val="en-US" w:eastAsia="zh-CN"/>
              </w:rPr>
              <w:t>地址：</w:t>
            </w:r>
            <w:r>
              <w:rPr>
                <w:rFonts w:hint="eastAsia" w:ascii="宋体" w:hAnsi="宋体" w:eastAsia="宋体" w:cs="宋体"/>
                <w:color w:val="auto"/>
                <w:highlight w:val="none"/>
                <w:lang w:val="zh-CN" w:eastAsia="zh-CN"/>
              </w:rPr>
              <w:t>陇南市</w:t>
            </w:r>
            <w:r>
              <w:rPr>
                <w:rFonts w:hint="eastAsia" w:hAnsi="宋体" w:cs="宋体"/>
                <w:color w:val="auto"/>
                <w:highlight w:val="none"/>
                <w:lang w:val="en-US" w:eastAsia="zh-CN"/>
              </w:rPr>
              <w:t>武都区东江</w:t>
            </w:r>
            <w:r>
              <w:rPr>
                <w:rFonts w:hint="eastAsia" w:ascii="宋体" w:hAnsi="宋体" w:eastAsia="宋体" w:cs="宋体"/>
                <w:color w:val="auto"/>
                <w:highlight w:val="none"/>
                <w:lang w:val="zh-CN" w:eastAsia="zh-CN"/>
              </w:rPr>
              <w:t>行政中心</w:t>
            </w:r>
            <w:r>
              <w:rPr>
                <w:rFonts w:hint="eastAsia" w:hAnsi="宋体" w:cs="宋体"/>
                <w:color w:val="auto"/>
                <w:highlight w:val="none"/>
                <w:lang w:val="zh-CN" w:eastAsia="zh-CN"/>
              </w:rPr>
              <w:t>（</w:t>
            </w:r>
            <w:r>
              <w:rPr>
                <w:rFonts w:hint="eastAsia" w:hAnsi="宋体" w:cs="宋体"/>
                <w:color w:val="auto"/>
                <w:highlight w:val="none"/>
                <w:lang w:val="en-US" w:eastAsia="zh-CN"/>
              </w:rPr>
              <w:t>陇南市政府西侧</w:t>
            </w:r>
            <w:r>
              <w:rPr>
                <w:rFonts w:hint="eastAsia" w:hAnsi="宋体" w:cs="宋体"/>
                <w:color w:val="auto"/>
                <w:highlight w:val="none"/>
                <w:lang w:val="zh-CN" w:eastAsia="zh-CN"/>
              </w:rPr>
              <w:t>）</w:t>
            </w:r>
          </w:p>
        </w:tc>
      </w:tr>
      <w:tr w14:paraId="003FD0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3" w:hRule="atLeast"/>
          <w:jc w:val="center"/>
        </w:trPr>
        <w:tc>
          <w:tcPr>
            <w:tcW w:w="832" w:type="dxa"/>
            <w:noWrap w:val="0"/>
            <w:vAlign w:val="center"/>
          </w:tcPr>
          <w:p w14:paraId="6695430E">
            <w:pPr>
              <w:pStyle w:val="103"/>
              <w:ind w:right="230" w:rightChars="0"/>
              <w:jc w:val="center"/>
              <w:rPr>
                <w:rFonts w:cs="Courier New"/>
                <w:color w:val="auto"/>
                <w:highlight w:val="none"/>
                <w:lang w:val="zh-CN"/>
              </w:rPr>
            </w:pPr>
            <w:r>
              <w:rPr>
                <w:rFonts w:ascii="仿宋_GB2312" w:hAnsi="仿宋_GB2312" w:eastAsia="仿宋_GB2312" w:cs="仿宋_GB2312"/>
                <w:sz w:val="21"/>
                <w:szCs w:val="21"/>
                <w:lang w:eastAsia="zh-CN"/>
              </w:rPr>
              <w:t>5</w:t>
            </w:r>
          </w:p>
        </w:tc>
        <w:tc>
          <w:tcPr>
            <w:tcW w:w="2196" w:type="dxa"/>
            <w:noWrap w:val="0"/>
            <w:vAlign w:val="center"/>
          </w:tcPr>
          <w:p w14:paraId="5158BB32">
            <w:pPr>
              <w:pStyle w:val="103"/>
              <w:ind w:left="38" w:leftChars="0"/>
              <w:jc w:val="center"/>
              <w:outlineLvl w:val="9"/>
              <w:rPr>
                <w:rFonts w:hint="eastAsia" w:ascii="宋体" w:hAnsi="宋体" w:eastAsia="宋体" w:cs="宋体"/>
                <w:sz w:val="24"/>
                <w:szCs w:val="24"/>
                <w:lang w:val="zh-CN" w:eastAsia="zh-CN"/>
              </w:rPr>
            </w:pPr>
            <w:r>
              <w:rPr>
                <w:rFonts w:hint="eastAsia" w:hAnsi="宋体"/>
                <w:sz w:val="24"/>
                <w:szCs w:val="24"/>
                <w:lang w:val="zh-CN" w:eastAsia="zh-CN"/>
              </w:rPr>
              <w:t>集采机构</w:t>
            </w:r>
          </w:p>
        </w:tc>
        <w:tc>
          <w:tcPr>
            <w:tcW w:w="6599" w:type="dxa"/>
            <w:noWrap w:val="0"/>
            <w:vAlign w:val="center"/>
          </w:tcPr>
          <w:p w14:paraId="495F76CB">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 xml:space="preserve">集采机构：陇南市公共资源交易中心 </w:t>
            </w:r>
          </w:p>
          <w:p w14:paraId="3CB07020">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联系人：焦陇东</w:t>
            </w:r>
          </w:p>
          <w:p w14:paraId="60FFC08A">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联系电话：0939-8460432</w:t>
            </w:r>
          </w:p>
          <w:p w14:paraId="1575B072">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地址：陇南市行政中心5号楼（环保大厦）3楼3</w:t>
            </w:r>
            <w:r>
              <w:rPr>
                <w:rFonts w:hint="eastAsia" w:hAnsi="宋体" w:cs="宋体"/>
                <w:color w:val="auto"/>
                <w:highlight w:val="none"/>
                <w:lang w:val="en-US" w:eastAsia="zh-CN"/>
              </w:rPr>
              <w:t>16</w:t>
            </w:r>
            <w:r>
              <w:rPr>
                <w:rFonts w:hint="eastAsia" w:ascii="宋体" w:hAnsi="宋体" w:eastAsia="宋体" w:cs="宋体"/>
                <w:color w:val="auto"/>
                <w:highlight w:val="none"/>
                <w:lang w:val="zh-CN" w:eastAsia="zh-CN"/>
              </w:rPr>
              <w:t>室</w:t>
            </w:r>
          </w:p>
        </w:tc>
      </w:tr>
      <w:tr w14:paraId="039636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3" w:hRule="atLeast"/>
          <w:jc w:val="center"/>
        </w:trPr>
        <w:tc>
          <w:tcPr>
            <w:tcW w:w="832" w:type="dxa"/>
            <w:noWrap w:val="0"/>
            <w:vAlign w:val="center"/>
          </w:tcPr>
          <w:p w14:paraId="46D28FEB">
            <w:pPr>
              <w:pStyle w:val="103"/>
              <w:ind w:right="230" w:rightChars="0"/>
              <w:jc w:val="center"/>
              <w:rPr>
                <w:rFonts w:hint="eastAsia" w:cs="Courier New"/>
                <w:color w:val="auto"/>
                <w:highlight w:val="none"/>
                <w:lang w:val="zh-CN"/>
              </w:rPr>
            </w:pPr>
            <w:r>
              <w:rPr>
                <w:rFonts w:ascii="仿宋_GB2312" w:hAnsi="仿宋_GB2312" w:eastAsia="仿宋_GB2312" w:cs="仿宋_GB2312"/>
                <w:sz w:val="21"/>
                <w:szCs w:val="21"/>
                <w:lang w:eastAsia="zh-CN"/>
              </w:rPr>
              <w:t>6</w:t>
            </w:r>
          </w:p>
        </w:tc>
        <w:tc>
          <w:tcPr>
            <w:tcW w:w="2196" w:type="dxa"/>
            <w:noWrap w:val="0"/>
            <w:vAlign w:val="center"/>
          </w:tcPr>
          <w:p w14:paraId="20C22634">
            <w:pPr>
              <w:pStyle w:val="103"/>
              <w:ind w:left="38" w:leftChars="0"/>
              <w:jc w:val="center"/>
              <w:rPr>
                <w:rFonts w:hint="eastAsia" w:ascii="宋体" w:hAnsi="宋体" w:eastAsia="宋体" w:cs="宋体"/>
                <w:color w:val="auto"/>
                <w:sz w:val="24"/>
                <w:szCs w:val="24"/>
                <w:highlight w:val="none"/>
                <w:lang w:val="zh-CN" w:eastAsia="zh-CN"/>
              </w:rPr>
            </w:pPr>
            <w:r>
              <w:rPr>
                <w:rFonts w:hint="eastAsia"/>
                <w:color w:val="auto"/>
                <w:highlight w:val="none"/>
                <w:lang w:val="zh-CN"/>
              </w:rPr>
              <w:t>资金来源</w:t>
            </w:r>
          </w:p>
        </w:tc>
        <w:tc>
          <w:tcPr>
            <w:tcW w:w="6599" w:type="dxa"/>
            <w:noWrap w:val="0"/>
            <w:vAlign w:val="center"/>
          </w:tcPr>
          <w:p w14:paraId="5D968878">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default" w:ascii="Arial" w:hAnsi="Arial" w:eastAsia="宋体" w:cs="Arial"/>
                <w:color w:val="auto"/>
                <w:highlight w:val="none"/>
                <w:lang w:val="en-US" w:eastAsia="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）财政预算</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）单位自有资金</w:t>
            </w:r>
          </w:p>
          <w:p w14:paraId="0F142F00">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highlight w:val="none"/>
                <w:lang w:val="en-US" w:eastAsia="zh-CN"/>
              </w:rPr>
              <w:t>资金已落实，尚未采购。</w:t>
            </w:r>
          </w:p>
        </w:tc>
      </w:tr>
      <w:tr w14:paraId="05078D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18" w:hRule="atLeast"/>
          <w:jc w:val="center"/>
        </w:trPr>
        <w:tc>
          <w:tcPr>
            <w:tcW w:w="832" w:type="dxa"/>
            <w:noWrap w:val="0"/>
            <w:vAlign w:val="center"/>
          </w:tcPr>
          <w:p w14:paraId="7E0A4D1E">
            <w:pPr>
              <w:pStyle w:val="103"/>
              <w:ind w:right="230" w:rightChars="0"/>
              <w:jc w:val="center"/>
              <w:rPr>
                <w:rFonts w:hint="eastAsia" w:cs="Courier New"/>
                <w:color w:val="auto"/>
                <w:highlight w:val="none"/>
                <w:lang w:val="zh-CN"/>
              </w:rPr>
            </w:pPr>
            <w:r>
              <w:rPr>
                <w:rFonts w:ascii="仿宋_GB2312" w:hAnsi="仿宋_GB2312" w:eastAsia="仿宋_GB2312" w:cs="仿宋_GB2312"/>
                <w:sz w:val="21"/>
                <w:szCs w:val="21"/>
                <w:lang w:eastAsia="zh-CN"/>
              </w:rPr>
              <w:t>7</w:t>
            </w:r>
          </w:p>
        </w:tc>
        <w:tc>
          <w:tcPr>
            <w:tcW w:w="2196" w:type="dxa"/>
            <w:noWrap w:val="0"/>
            <w:vAlign w:val="center"/>
          </w:tcPr>
          <w:p w14:paraId="56BE7879">
            <w:pPr>
              <w:pStyle w:val="103"/>
              <w:jc w:val="center"/>
              <w:outlineLvl w:val="9"/>
              <w:rPr>
                <w:rFonts w:hint="eastAsia" w:ascii="宋体" w:hAnsi="宋体" w:eastAsia="宋体" w:cs="宋体"/>
                <w:sz w:val="24"/>
                <w:szCs w:val="24"/>
                <w:lang w:val="zh-CN" w:eastAsia="zh-CN"/>
              </w:rPr>
            </w:pPr>
            <w:r>
              <w:rPr>
                <w:rFonts w:hint="eastAsia" w:hAnsi="宋体"/>
                <w:b/>
                <w:bCs/>
                <w:sz w:val="24"/>
                <w:szCs w:val="24"/>
                <w:lang w:val="zh-CN" w:eastAsia="zh-CN"/>
              </w:rPr>
              <w:t>项目预算、采购需求</w:t>
            </w:r>
          </w:p>
        </w:tc>
        <w:tc>
          <w:tcPr>
            <w:tcW w:w="6599" w:type="dxa"/>
            <w:noWrap w:val="0"/>
            <w:vAlign w:val="center"/>
          </w:tcPr>
          <w:p w14:paraId="63164131">
            <w:pPr>
              <w:spacing w:line="360" w:lineRule="auto"/>
              <w:outlineLvl w:val="9"/>
              <w:rPr>
                <w:rFonts w:hint="eastAsia" w:ascii="宋体" w:hAnsi="宋体" w:eastAsia="宋体" w:cs="Times New Roman"/>
                <w:b/>
                <w:bCs/>
                <w:sz w:val="24"/>
                <w:szCs w:val="24"/>
                <w:lang w:val="en-US" w:eastAsia="zh-CN"/>
              </w:rPr>
            </w:pPr>
            <w:r>
              <w:rPr>
                <w:rFonts w:hint="eastAsia" w:ascii="宋体" w:hAnsi="宋体"/>
                <w:b/>
                <w:bCs/>
                <w:sz w:val="24"/>
                <w:szCs w:val="24"/>
              </w:rPr>
              <w:t>本项目采购预算</w:t>
            </w:r>
            <w:r>
              <w:rPr>
                <w:rFonts w:hint="eastAsia" w:ascii="宋体" w:hAnsi="宋体"/>
                <w:b/>
                <w:bCs/>
                <w:sz w:val="24"/>
                <w:szCs w:val="24"/>
                <w:u w:val="single"/>
                <w:lang w:val="en-US" w:eastAsia="zh-CN"/>
              </w:rPr>
              <w:t>73.0128</w:t>
            </w:r>
            <w:r>
              <w:rPr>
                <w:rFonts w:hint="eastAsia" w:ascii="宋体" w:hAnsi="宋体"/>
                <w:b/>
                <w:bCs/>
                <w:sz w:val="24"/>
                <w:szCs w:val="24"/>
              </w:rPr>
              <w:t>万元，最高限价为</w:t>
            </w:r>
            <w:r>
              <w:rPr>
                <w:rFonts w:hint="eastAsia" w:ascii="宋体" w:hAnsi="宋体"/>
                <w:b/>
                <w:bCs/>
                <w:sz w:val="24"/>
                <w:szCs w:val="24"/>
                <w:u w:val="single"/>
                <w:lang w:val="en-US" w:eastAsia="zh-CN"/>
              </w:rPr>
              <w:t>73.0128</w:t>
            </w:r>
            <w:r>
              <w:rPr>
                <w:rFonts w:hint="eastAsia" w:ascii="宋体" w:hAnsi="宋体"/>
                <w:b/>
                <w:bCs/>
                <w:sz w:val="24"/>
                <w:szCs w:val="24"/>
              </w:rPr>
              <w:t>万元，本项目共分为一个包。（具体</w:t>
            </w:r>
            <w:r>
              <w:rPr>
                <w:rFonts w:hint="eastAsia" w:ascii="宋体" w:hAnsi="宋体"/>
                <w:b/>
                <w:bCs/>
                <w:sz w:val="24"/>
                <w:szCs w:val="24"/>
                <w:lang w:eastAsia="zh-CN"/>
              </w:rPr>
              <w:t>采购内容及清单参数</w:t>
            </w:r>
            <w:r>
              <w:rPr>
                <w:rFonts w:hint="eastAsia" w:ascii="宋体" w:hAnsi="宋体"/>
                <w:b/>
                <w:bCs/>
                <w:sz w:val="24"/>
                <w:szCs w:val="24"/>
              </w:rPr>
              <w:t>详见招标文件第三章采购需求及要求）</w:t>
            </w:r>
          </w:p>
        </w:tc>
      </w:tr>
      <w:tr w14:paraId="1AB952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8" w:hRule="atLeast"/>
          <w:jc w:val="center"/>
        </w:trPr>
        <w:tc>
          <w:tcPr>
            <w:tcW w:w="832" w:type="dxa"/>
            <w:noWrap w:val="0"/>
            <w:vAlign w:val="center"/>
          </w:tcPr>
          <w:p w14:paraId="579747C5">
            <w:pPr>
              <w:pStyle w:val="103"/>
              <w:ind w:right="230" w:righ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196" w:type="dxa"/>
            <w:shd w:val="clear" w:color="auto" w:fill="auto"/>
            <w:noWrap w:val="0"/>
            <w:vAlign w:val="center"/>
          </w:tcPr>
          <w:p w14:paraId="6A3C10F4">
            <w:pPr>
              <w:pStyle w:val="103"/>
              <w:keepNext w:val="0"/>
              <w:keepLines w:val="0"/>
              <w:pageBreakBefore w:val="0"/>
              <w:widowControl w:val="0"/>
              <w:kinsoku/>
              <w:wordWrap/>
              <w:overflowPunct/>
              <w:topLinePunct w:val="0"/>
              <w:autoSpaceDE w:val="0"/>
              <w:autoSpaceDN w:val="0"/>
              <w:bidi w:val="0"/>
              <w:adjustRightInd w:val="0"/>
              <w:snapToGrid/>
              <w:spacing w:after="0"/>
              <w:ind w:left="33" w:leftChars="0"/>
              <w:jc w:val="center"/>
              <w:textAlignment w:val="auto"/>
              <w:outlineLvl w:val="9"/>
              <w:rPr>
                <w:rFonts w:hint="eastAsia" w:ascii="宋体" w:hAnsi="宋体" w:eastAsia="宋体" w:cs="Times New Roman"/>
                <w:b/>
                <w:bCs/>
                <w:kern w:val="2"/>
                <w:sz w:val="24"/>
                <w:szCs w:val="24"/>
                <w:lang w:val="zh-CN" w:eastAsia="zh-CN" w:bidi="ar-SA"/>
              </w:rPr>
            </w:pPr>
            <w:r>
              <w:rPr>
                <w:rFonts w:hint="eastAsia" w:ascii="宋体" w:hAnsi="宋体" w:eastAsia="宋体" w:cs="Times New Roman"/>
                <w:b/>
                <w:bCs/>
                <w:kern w:val="2"/>
                <w:sz w:val="24"/>
                <w:szCs w:val="24"/>
                <w:lang w:val="en-US" w:eastAsia="zh-CN" w:bidi="ar-SA"/>
              </w:rPr>
              <w:t>中小企业预留份额</w:t>
            </w:r>
          </w:p>
        </w:tc>
        <w:tc>
          <w:tcPr>
            <w:tcW w:w="6599" w:type="dxa"/>
            <w:shd w:val="clear" w:color="auto" w:fill="auto"/>
            <w:noWrap w:val="0"/>
            <w:vAlign w:val="center"/>
          </w:tcPr>
          <w:p w14:paraId="6AE6EBE7">
            <w:pPr>
              <w:pStyle w:val="103"/>
              <w:keepNext w:val="0"/>
              <w:keepLines w:val="0"/>
              <w:pageBreakBefore w:val="0"/>
              <w:widowControl w:val="0"/>
              <w:kinsoku/>
              <w:wordWrap/>
              <w:overflowPunct/>
              <w:topLinePunct w:val="0"/>
              <w:autoSpaceDE w:val="0"/>
              <w:autoSpaceDN w:val="0"/>
              <w:bidi w:val="0"/>
              <w:adjustRightInd w:val="0"/>
              <w:snapToGrid/>
              <w:spacing w:after="0"/>
              <w:ind w:left="33" w:leftChars="0"/>
              <w:jc w:val="both"/>
              <w:textAlignment w:val="auto"/>
              <w:outlineLvl w:val="9"/>
              <w:rPr>
                <w:rFonts w:hint="default"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100%</w:t>
            </w:r>
          </w:p>
        </w:tc>
      </w:tr>
      <w:tr w14:paraId="31206D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20" w:hRule="exact"/>
          <w:jc w:val="center"/>
        </w:trPr>
        <w:tc>
          <w:tcPr>
            <w:tcW w:w="832" w:type="dxa"/>
            <w:shd w:val="clear" w:color="auto" w:fill="auto"/>
            <w:noWrap w:val="0"/>
            <w:vAlign w:val="center"/>
          </w:tcPr>
          <w:p w14:paraId="562A0B12">
            <w:pPr>
              <w:pStyle w:val="103"/>
              <w:ind w:right="230" w:rightChars="0"/>
              <w:jc w:val="center"/>
              <w:rPr>
                <w:rFonts w:hint="eastAsia" w:ascii="宋体" w:hAnsi="宋体" w:eastAsia="宋体" w:cs="Courier New"/>
                <w:color w:val="auto"/>
                <w:sz w:val="24"/>
                <w:szCs w:val="24"/>
                <w:highlight w:val="none"/>
                <w:lang w:val="zh-CN" w:eastAsia="zh-CN" w:bidi="en-US"/>
              </w:rPr>
            </w:pPr>
            <w:r>
              <w:rPr>
                <w:rFonts w:ascii="仿宋_GB2312" w:hAnsi="仿宋_GB2312" w:eastAsia="仿宋_GB2312" w:cs="仿宋_GB2312"/>
                <w:sz w:val="21"/>
                <w:szCs w:val="21"/>
                <w:lang w:eastAsia="zh-CN"/>
              </w:rPr>
              <w:t>9</w:t>
            </w:r>
          </w:p>
        </w:tc>
        <w:tc>
          <w:tcPr>
            <w:tcW w:w="2196" w:type="dxa"/>
            <w:noWrap w:val="0"/>
            <w:vAlign w:val="center"/>
          </w:tcPr>
          <w:p w14:paraId="17C30A5C">
            <w:pPr>
              <w:pStyle w:val="103"/>
              <w:ind w:left="38"/>
              <w:jc w:val="center"/>
              <w:rPr>
                <w:rFonts w:hint="eastAsia" w:eastAsia="宋体"/>
                <w:color w:val="auto"/>
                <w:highlight w:val="none"/>
                <w:lang w:val="en-US" w:eastAsia="zh-CN"/>
              </w:rPr>
            </w:pPr>
            <w:r>
              <w:rPr>
                <w:rFonts w:hint="eastAsia"/>
                <w:color w:val="auto"/>
                <w:highlight w:val="none"/>
                <w:lang w:val="zh-CN"/>
              </w:rPr>
              <w:t>投标人的资格条</w:t>
            </w:r>
            <w:r>
              <w:rPr>
                <w:rFonts w:hint="eastAsia"/>
                <w:color w:val="auto"/>
                <w:highlight w:val="none"/>
                <w:lang w:val="en-US" w:eastAsia="zh-CN"/>
              </w:rPr>
              <w:t xml:space="preserve">  </w:t>
            </w:r>
            <w:r>
              <w:rPr>
                <w:rFonts w:hint="eastAsia"/>
                <w:color w:val="auto"/>
                <w:highlight w:val="none"/>
                <w:lang w:val="zh-CN"/>
              </w:rPr>
              <w:t>件</w:t>
            </w:r>
            <w:r>
              <w:rPr>
                <w:rFonts w:hint="eastAsia"/>
                <w:color w:val="auto"/>
                <w:highlight w:val="none"/>
                <w:lang w:val="en-US" w:eastAsia="zh-CN"/>
              </w:rPr>
              <w:t xml:space="preserve"> </w:t>
            </w:r>
          </w:p>
        </w:tc>
        <w:tc>
          <w:tcPr>
            <w:tcW w:w="6599" w:type="dxa"/>
            <w:noWrap w:val="0"/>
            <w:vAlign w:val="center"/>
          </w:tcPr>
          <w:p w14:paraId="2932E00A">
            <w:pPr>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（1）必须符合《中华人民共和国政府采购法》第二十二条规定，并提供《中华人民共和国政府采购法实施条例》第十七条所要求的材料；</w:t>
            </w:r>
          </w:p>
          <w:p w14:paraId="58259A1C">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（2）投标供应商须为未被列入“信用中国”网站</w:t>
            </w:r>
          </w:p>
          <w:p w14:paraId="0F1CB8B0">
            <w:pPr>
              <w:keepNext w:val="0"/>
              <w:keepLines w:val="0"/>
              <w:pageBreakBefore w:val="0"/>
              <w:widowControl w:val="0"/>
              <w:kinsoku/>
              <w:wordWrap/>
              <w:overflowPunct/>
              <w:topLinePunct w:val="0"/>
              <w:bidi w:val="0"/>
              <w:adjustRightInd w:val="0"/>
              <w:snapToGrid/>
              <w:spacing w:line="360" w:lineRule="auto"/>
              <w:ind w:left="0" w:leftChars="0"/>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 xml:space="preserve"> (www.creditchina.gov.cn)记录失信被执行人或重大税收违法案件当事人名单；不处于中国政府采购网(www.ccgp.gov.cn)政府采购严重违法失信行为记录名单中的禁止参加政府采购活动期间的方可参加本项目的投标。</w:t>
            </w:r>
          </w:p>
          <w:p w14:paraId="7EE30D70">
            <w:pPr>
              <w:pStyle w:val="103"/>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360" w:leftChars="0" w:firstLine="0" w:firstLineChars="0"/>
              <w:textAlignment w:val="auto"/>
              <w:rPr>
                <w:rFonts w:hint="eastAsia" w:cs="宋体"/>
                <w:b/>
                <w:bCs/>
                <w:color w:val="auto"/>
                <w:highlight w:val="none"/>
                <w:lang w:val="zh-CN"/>
              </w:rPr>
            </w:pPr>
            <w:r>
              <w:rPr>
                <w:rFonts w:hint="eastAsia" w:cs="宋体"/>
                <w:b/>
                <w:bCs/>
                <w:color w:val="auto"/>
                <w:highlight w:val="none"/>
                <w:lang w:val="zh-CN"/>
              </w:rPr>
              <w:t>投标人须为在中华人民共和国境内依法设立，依据国务院批准的中小企业划分标准确定的中型企业、小型企业和微型企业，但与大企业的负责人为同一人，或者与大企业存在直接控股、管理关系的除外。</w:t>
            </w:r>
          </w:p>
          <w:p w14:paraId="1D2BBCC7">
            <w:pPr>
              <w:pStyle w:val="103"/>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360" w:leftChars="0" w:firstLine="0" w:firstLineChars="0"/>
              <w:textAlignment w:val="auto"/>
              <w:rPr>
                <w:rFonts w:hint="eastAsia" w:ascii="宋体" w:hAnsi="宋体" w:eastAsia="宋体" w:cs="Times New Roman"/>
                <w:b w:val="0"/>
                <w:bCs w:val="0"/>
                <w:smallCaps w:val="0"/>
                <w:color w:val="auto"/>
                <w:kern w:val="2"/>
                <w:sz w:val="24"/>
                <w:szCs w:val="24"/>
                <w:highlight w:val="none"/>
                <w:lang w:val="en-US" w:eastAsia="zh-CN"/>
              </w:rPr>
            </w:pPr>
            <w:r>
              <w:rPr>
                <w:rFonts w:hint="eastAsia" w:cs="宋体"/>
                <w:color w:val="auto"/>
                <w:highlight w:val="none"/>
                <w:lang w:val="zh-CN"/>
              </w:rPr>
              <w:t>本项目不接受联合体投标</w:t>
            </w:r>
          </w:p>
          <w:p w14:paraId="38FA67CC">
            <w:pPr>
              <w:pStyle w:val="28"/>
              <w:ind w:firstLine="482" w:firstLineChars="200"/>
              <w:rPr>
                <w:rFonts w:hint="eastAsia"/>
                <w:lang w:val="en-US" w:eastAsia="zh-CN"/>
              </w:rPr>
            </w:pPr>
            <w:r>
              <w:rPr>
                <w:rFonts w:hint="eastAsia" w:ascii="宋体" w:hAnsi="宋体"/>
                <w:b/>
                <w:sz w:val="24"/>
                <w:szCs w:val="24"/>
              </w:rPr>
              <w:t>注：以上所需资料均在电子投标文件中提供,要求供应商提交的所有证明文件及材料必须清晰、准确、真实。其真实性自行负责。若发现有造假或不真实行为，将取消其投标人资格，并按照有关规定处理。</w:t>
            </w:r>
          </w:p>
        </w:tc>
      </w:tr>
      <w:tr w14:paraId="37D2C8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2" w:hRule="exact"/>
          <w:jc w:val="center"/>
        </w:trPr>
        <w:tc>
          <w:tcPr>
            <w:tcW w:w="832" w:type="dxa"/>
            <w:shd w:val="clear" w:color="auto" w:fill="auto"/>
            <w:noWrap w:val="0"/>
            <w:vAlign w:val="center"/>
          </w:tcPr>
          <w:p w14:paraId="4D0A1702">
            <w:pPr>
              <w:pStyle w:val="103"/>
              <w:ind w:right="230" w:rightChars="0"/>
              <w:jc w:val="center"/>
              <w:rPr>
                <w:rFonts w:hint="eastAsia" w:ascii="宋体" w:hAnsi="Times New Roman" w:eastAsia="宋体" w:cs="Courier New"/>
                <w:color w:val="auto"/>
                <w:sz w:val="24"/>
                <w:szCs w:val="24"/>
                <w:highlight w:val="none"/>
                <w:lang w:val="en-US" w:eastAsia="zh-CN" w:bidi="en-US"/>
              </w:rPr>
            </w:pPr>
            <w:r>
              <w:rPr>
                <w:rFonts w:ascii="仿宋_GB2312" w:hAnsi="仿宋_GB2312" w:eastAsia="仿宋_GB2312" w:cs="仿宋_GB2312"/>
                <w:sz w:val="21"/>
                <w:szCs w:val="21"/>
                <w:lang w:eastAsia="zh-CN"/>
              </w:rPr>
              <w:t>10</w:t>
            </w:r>
          </w:p>
        </w:tc>
        <w:tc>
          <w:tcPr>
            <w:tcW w:w="2196" w:type="dxa"/>
            <w:noWrap w:val="0"/>
            <w:vAlign w:val="center"/>
          </w:tcPr>
          <w:p w14:paraId="1D5B66A3">
            <w:pPr>
              <w:pStyle w:val="103"/>
              <w:keepNext w:val="0"/>
              <w:keepLines w:val="0"/>
              <w:pageBreakBefore w:val="0"/>
              <w:widowControl w:val="0"/>
              <w:kinsoku/>
              <w:wordWrap/>
              <w:overflowPunct/>
              <w:topLinePunct w:val="0"/>
              <w:bidi w:val="0"/>
              <w:spacing w:line="360" w:lineRule="auto"/>
              <w:ind w:right="0" w:rightChars="0"/>
              <w:jc w:val="both"/>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中小微企业</w:t>
            </w:r>
            <w:r>
              <w:rPr>
                <w:rFonts w:hint="eastAsia" w:ascii="宋体" w:hAnsi="宋体" w:eastAsia="宋体" w:cs="宋体"/>
                <w:color w:val="auto"/>
                <w:sz w:val="24"/>
                <w:szCs w:val="24"/>
                <w:highlight w:val="none"/>
                <w:lang w:eastAsia="zh-CN"/>
              </w:rPr>
              <w:t>扶持</w:t>
            </w:r>
            <w:r>
              <w:rPr>
                <w:rFonts w:hint="eastAsia" w:ascii="宋体" w:hAnsi="宋体" w:eastAsia="宋体" w:cs="宋体"/>
                <w:color w:val="auto"/>
                <w:sz w:val="24"/>
                <w:szCs w:val="24"/>
                <w:highlight w:val="none"/>
              </w:rPr>
              <w:t>政策</w:t>
            </w:r>
          </w:p>
        </w:tc>
        <w:tc>
          <w:tcPr>
            <w:tcW w:w="6599" w:type="dxa"/>
            <w:noWrap w:val="0"/>
            <w:vAlign w:val="center"/>
          </w:tcPr>
          <w:p w14:paraId="37C8BF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zh-CN" w:eastAsia="zh-CN" w:bidi="ar-SA"/>
              </w:rPr>
              <w:t>1.根据工业和信息化部、国家统计局、国家发展和改革委员会、财政部等部委发布的《关于印发中小企业划型标准规定的通知》（工信部联企业〔2011〕300号），按照本次采购标的所属行业的划型标准，符合条件的中小企业应按照招标文件格式要求提供《中小企业声明函》。</w:t>
            </w:r>
          </w:p>
          <w:p w14:paraId="62728F72">
            <w:pPr>
              <w:pStyle w:val="2"/>
              <w:keepNext w:val="0"/>
              <w:keepLines w:val="0"/>
              <w:pageBreakBefore w:val="0"/>
              <w:widowControl w:val="0"/>
              <w:tabs>
                <w:tab w:val="right" w:leader="dot" w:pos="8400"/>
              </w:tabs>
              <w:kinsoku/>
              <w:wordWrap/>
              <w:overflowPunct/>
              <w:topLinePunct w:val="0"/>
              <w:autoSpaceDE/>
              <w:autoSpaceDN/>
              <w:bidi w:val="0"/>
              <w:adjustRightInd/>
              <w:spacing w:line="360" w:lineRule="auto"/>
              <w:ind w:left="0" w:leftChars="0" w:firstLine="0" w:firstLineChars="0"/>
              <w:textAlignment w:val="auto"/>
              <w:rPr>
                <w:rFonts w:hint="default"/>
                <w:caps w:val="0"/>
                <w:smallCaps/>
                <w:dstrike w:val="0"/>
                <w:color w:val="auto"/>
                <w:sz w:val="24"/>
                <w:lang w:val="en-US" w:eastAsia="zh-CN"/>
              </w:rPr>
            </w:pPr>
            <w:r>
              <w:rPr>
                <w:rFonts w:hint="eastAsia" w:cs="宋体"/>
                <w:b w:val="0"/>
                <w:bCs w:val="0"/>
                <w:caps w:val="0"/>
                <w:smallCaps/>
                <w:strike w:val="0"/>
                <w:dstrike w:val="0"/>
                <w:color w:val="auto"/>
                <w:kern w:val="2"/>
                <w:sz w:val="24"/>
                <w:szCs w:val="24"/>
                <w:highlight w:val="none"/>
                <w:lang w:val="en-US" w:eastAsia="zh-CN" w:bidi="ar-SA"/>
              </w:rPr>
              <w:t xml:space="preserve">     2.货物由中小企业生产且使用该中小企业商号或者注册商标</w:t>
            </w:r>
            <w:r>
              <w:rPr>
                <w:rFonts w:hint="eastAsia" w:cs="宋体"/>
                <w:b w:val="0"/>
                <w:bCs w:val="0"/>
                <w:caps w:val="0"/>
                <w:smallCaps/>
                <w:strike w:val="0"/>
                <w:dstrike w:val="0"/>
                <w:color w:val="auto"/>
                <w:kern w:val="2"/>
                <w:sz w:val="24"/>
                <w:szCs w:val="24"/>
                <w:highlight w:val="none"/>
                <w:lang w:val="en" w:eastAsia="zh-CN" w:bidi="ar-SA"/>
              </w:rPr>
              <w:t>的</w:t>
            </w:r>
            <w:r>
              <w:rPr>
                <w:rFonts w:hint="eastAsia" w:cs="宋体"/>
                <w:b w:val="0"/>
                <w:bCs w:val="0"/>
                <w:caps w:val="0"/>
                <w:smallCaps/>
                <w:strike w:val="0"/>
                <w:dstrike w:val="0"/>
                <w:color w:val="auto"/>
                <w:kern w:val="2"/>
                <w:sz w:val="24"/>
                <w:szCs w:val="24"/>
                <w:highlight w:val="none"/>
                <w:lang w:val="en-US" w:eastAsia="zh-CN" w:bidi="ar-SA"/>
              </w:rPr>
              <w:t>，享受中小企业扶持政策。</w:t>
            </w:r>
          </w:p>
          <w:p w14:paraId="3C569B0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3.供应商提供的货物既有中小企业制造的货物，也有大型企业制造的货物的，不享受中小企业扶持政策。</w:t>
            </w:r>
          </w:p>
          <w:p w14:paraId="662DAD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 xml:space="preserve">    4</w:t>
            </w:r>
            <w:r>
              <w:rPr>
                <w:rFonts w:hint="eastAsia" w:ascii="宋体" w:hAnsi="宋体" w:eastAsia="宋体" w:cs="宋体"/>
                <w:b w:val="0"/>
                <w:bCs w:val="0"/>
                <w:color w:val="auto"/>
                <w:kern w:val="2"/>
                <w:sz w:val="24"/>
                <w:szCs w:val="24"/>
                <w:highlight w:val="none"/>
                <w:lang w:val="zh-CN" w:eastAsia="zh-CN" w:bidi="ar-SA"/>
              </w:rPr>
              <w:t>.</w:t>
            </w:r>
            <w:r>
              <w:rPr>
                <w:rFonts w:hint="eastAsia" w:hAnsi="宋体" w:cs="宋体"/>
                <w:b w:val="0"/>
                <w:bCs w:val="0"/>
                <w:color w:val="auto"/>
                <w:kern w:val="2"/>
                <w:sz w:val="24"/>
                <w:szCs w:val="24"/>
                <w:highlight w:val="none"/>
                <w:lang w:val="zh-CN" w:eastAsia="zh-CN" w:bidi="ar-SA"/>
              </w:rPr>
              <w:t>接受联合体投标的采购包</w:t>
            </w:r>
            <w:r>
              <w:rPr>
                <w:rFonts w:hint="eastAsia" w:ascii="宋体" w:hAnsi="宋体" w:eastAsia="宋体" w:cs="宋体"/>
                <w:b w:val="0"/>
                <w:bCs w:val="0"/>
                <w:color w:val="auto"/>
                <w:kern w:val="2"/>
                <w:sz w:val="24"/>
                <w:szCs w:val="24"/>
                <w:highlight w:val="none"/>
                <w:lang w:val="zh-CN" w:eastAsia="zh-CN" w:bidi="ar-SA"/>
              </w:rPr>
              <w:t>，联合体各方均为</w:t>
            </w:r>
            <w:r>
              <w:rPr>
                <w:rFonts w:hint="eastAsia" w:hAnsi="宋体" w:cs="宋体"/>
                <w:b w:val="0"/>
                <w:bCs w:val="0"/>
                <w:color w:val="auto"/>
                <w:kern w:val="2"/>
                <w:sz w:val="24"/>
                <w:szCs w:val="24"/>
                <w:highlight w:val="none"/>
                <w:lang w:val="zh-CN" w:eastAsia="zh-CN" w:bidi="ar-SA"/>
              </w:rPr>
              <w:t>中小</w:t>
            </w:r>
            <w:r>
              <w:rPr>
                <w:rFonts w:hint="eastAsia" w:ascii="宋体" w:hAnsi="宋体" w:eastAsia="宋体" w:cs="宋体"/>
                <w:b w:val="0"/>
                <w:bCs w:val="0"/>
                <w:color w:val="auto"/>
                <w:kern w:val="2"/>
                <w:sz w:val="24"/>
                <w:szCs w:val="24"/>
                <w:highlight w:val="none"/>
                <w:lang w:val="zh-CN" w:eastAsia="zh-CN" w:bidi="ar-SA"/>
              </w:rPr>
              <w:t>企业的，联合体视同</w:t>
            </w:r>
            <w:r>
              <w:rPr>
                <w:rFonts w:hint="eastAsia" w:hAnsi="宋体" w:cs="宋体"/>
                <w:b w:val="0"/>
                <w:bCs w:val="0"/>
                <w:color w:val="auto"/>
                <w:kern w:val="2"/>
                <w:sz w:val="24"/>
                <w:szCs w:val="24"/>
                <w:highlight w:val="none"/>
                <w:lang w:val="zh-CN" w:eastAsia="zh-CN" w:bidi="ar-SA"/>
              </w:rPr>
              <w:t>中小企业，其中，联合体各方均为小微企业的，联合体各方视同小微企业。联合体各方均应提供</w:t>
            </w:r>
            <w:r>
              <w:rPr>
                <w:rFonts w:hint="eastAsia" w:ascii="宋体" w:hAnsi="宋体" w:eastAsia="宋体" w:cs="宋体"/>
                <w:b w:val="0"/>
                <w:bCs w:val="0"/>
                <w:color w:val="auto"/>
                <w:kern w:val="2"/>
                <w:sz w:val="24"/>
                <w:szCs w:val="24"/>
                <w:highlight w:val="none"/>
                <w:lang w:val="zh-CN" w:eastAsia="zh-CN" w:bidi="ar-SA"/>
              </w:rPr>
              <w:t>《中小企业声明函》。</w:t>
            </w:r>
          </w:p>
          <w:p w14:paraId="2DFF5B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highlight w:val="none"/>
                <w:lang w:val="zh-CN" w:eastAsia="zh-CN" w:bidi="ar-SA"/>
              </w:rPr>
            </w:pPr>
            <w:r>
              <w:rPr>
                <w:rFonts w:hint="eastAsia" w:hAnsi="宋体" w:cs="宋体"/>
                <w:b w:val="0"/>
                <w:bCs w:val="0"/>
                <w:color w:val="auto"/>
                <w:kern w:val="2"/>
                <w:sz w:val="24"/>
                <w:szCs w:val="24"/>
                <w:highlight w:val="none"/>
                <w:lang w:val="en-US" w:eastAsia="zh-CN" w:bidi="ar-SA"/>
              </w:rPr>
              <w:t xml:space="preserve">    5</w:t>
            </w:r>
            <w:r>
              <w:rPr>
                <w:rFonts w:hint="eastAsia" w:ascii="宋体" w:hAnsi="宋体" w:eastAsia="宋体" w:cs="宋体"/>
                <w:b w:val="0"/>
                <w:bCs w:val="0"/>
                <w:color w:val="auto"/>
                <w:kern w:val="2"/>
                <w:sz w:val="24"/>
                <w:szCs w:val="24"/>
                <w:highlight w:val="none"/>
                <w:lang w:val="zh-CN" w:eastAsia="zh-CN" w:bidi="ar-SA"/>
              </w:rPr>
              <w:t>.提供由省级以上监狱管理局、戒毒管理局（含新疆生产建设兵团）出具的属于监狱企业证明文件（原件彩色扫描件）的，视同为小型和微型企业。</w:t>
            </w:r>
          </w:p>
          <w:p w14:paraId="3F6734B9">
            <w:pPr>
              <w:keepNext w:val="0"/>
              <w:keepLines w:val="0"/>
              <w:pageBreakBefore w:val="0"/>
              <w:widowControl w:val="0"/>
              <w:kinsoku/>
              <w:wordWrap/>
              <w:overflowPunct/>
              <w:topLinePunct w:val="0"/>
              <w:autoSpaceDE/>
              <w:autoSpaceDN/>
              <w:bidi w:val="0"/>
              <w:adjustRightInd/>
              <w:snapToGrid w:val="0"/>
              <w:spacing w:line="360" w:lineRule="auto"/>
              <w:ind w:right="0" w:rightChars="0" w:firstLine="0" w:firstLineChars="0"/>
              <w:textAlignment w:val="auto"/>
              <w:outlineLvl w:val="9"/>
              <w:rPr>
                <w:rFonts w:hint="eastAsia" w:ascii="宋体" w:hAnsi="宋体" w:eastAsia="宋体" w:cs="宋体"/>
                <w:color w:val="auto"/>
                <w:kern w:val="2"/>
                <w:sz w:val="24"/>
                <w:szCs w:val="24"/>
                <w:highlight w:val="none"/>
                <w:lang w:val="en-US" w:eastAsia="zh-CN"/>
              </w:rPr>
            </w:pPr>
            <w:r>
              <w:rPr>
                <w:rFonts w:hint="eastAsia" w:hAnsi="宋体" w:cs="宋体"/>
                <w:b w:val="0"/>
                <w:bCs w:val="0"/>
                <w:color w:val="auto"/>
                <w:kern w:val="2"/>
                <w:sz w:val="24"/>
                <w:szCs w:val="24"/>
                <w:highlight w:val="none"/>
                <w:lang w:val="en-US" w:eastAsia="zh-CN" w:bidi="ar-SA"/>
              </w:rPr>
              <w:t xml:space="preserve">    6</w:t>
            </w:r>
            <w:r>
              <w:rPr>
                <w:rFonts w:hint="eastAsia" w:ascii="宋体" w:hAnsi="宋体" w:eastAsia="宋体" w:cs="宋体"/>
                <w:b w:val="0"/>
                <w:bCs w:val="0"/>
                <w:color w:val="auto"/>
                <w:kern w:val="2"/>
                <w:sz w:val="24"/>
                <w:szCs w:val="24"/>
                <w:highlight w:val="none"/>
                <w:lang w:val="zh-CN" w:eastAsia="zh-CN" w:bidi="ar-SA"/>
              </w:rPr>
              <w:t>.符合享受政府采购支持政策的残疾人福利性单位条件且提供《残疾人福利性单位声明函》（原件彩色扫描件）的，视同为小型和微型企业。</w:t>
            </w:r>
          </w:p>
        </w:tc>
      </w:tr>
      <w:tr w14:paraId="77EA90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1" w:hRule="exact"/>
          <w:jc w:val="center"/>
        </w:trPr>
        <w:tc>
          <w:tcPr>
            <w:tcW w:w="832" w:type="dxa"/>
            <w:shd w:val="clear" w:color="auto" w:fill="auto"/>
            <w:noWrap w:val="0"/>
            <w:vAlign w:val="center"/>
          </w:tcPr>
          <w:p w14:paraId="41BEDBF7">
            <w:pPr>
              <w:pStyle w:val="103"/>
              <w:ind w:right="230" w:rightChars="0"/>
              <w:jc w:val="center"/>
              <w:rPr>
                <w:rFonts w:hint="eastAsia" w:ascii="宋体" w:hAnsi="宋体" w:eastAsia="宋体" w:cs="Courier New"/>
                <w:color w:val="auto"/>
                <w:sz w:val="24"/>
                <w:szCs w:val="24"/>
                <w:highlight w:val="none"/>
                <w:lang w:val="en-US" w:eastAsia="zh-CN" w:bidi="en-US"/>
              </w:rPr>
            </w:pPr>
            <w:r>
              <w:rPr>
                <w:rFonts w:hint="eastAsia" w:ascii="仿宋_GB2312" w:hAnsi="仿宋_GB2312" w:eastAsia="仿宋_GB2312" w:cs="仿宋_GB2312"/>
                <w:sz w:val="21"/>
                <w:szCs w:val="21"/>
                <w:lang w:val="en-US" w:eastAsia="zh-CN"/>
              </w:rPr>
              <w:t>11</w:t>
            </w:r>
          </w:p>
        </w:tc>
        <w:tc>
          <w:tcPr>
            <w:tcW w:w="2196" w:type="dxa"/>
            <w:noWrap w:val="0"/>
            <w:vAlign w:val="center"/>
          </w:tcPr>
          <w:p w14:paraId="40E12E4F">
            <w:pPr>
              <w:pStyle w:val="103"/>
              <w:ind w:left="33" w:leftChars="0"/>
              <w:jc w:val="center"/>
              <w:outlineLvl w:val="9"/>
              <w:rPr>
                <w:rFonts w:hint="eastAsia" w:ascii="宋体" w:hAnsi="宋体" w:eastAsia="宋体" w:cs="宋体"/>
                <w:b w:val="0"/>
                <w:bCs w:val="0"/>
                <w:sz w:val="24"/>
                <w:szCs w:val="24"/>
                <w:lang w:val="zh-CN" w:eastAsia="zh-CN"/>
              </w:rPr>
            </w:pPr>
            <w:r>
              <w:rPr>
                <w:rFonts w:hint="eastAsia" w:hAnsi="宋体"/>
                <w:b w:val="0"/>
                <w:bCs w:val="0"/>
                <w:sz w:val="24"/>
                <w:szCs w:val="24"/>
                <w:lang w:val="en-US" w:eastAsia="zh-CN"/>
              </w:rPr>
              <w:t>公平性审查</w:t>
            </w:r>
          </w:p>
        </w:tc>
        <w:tc>
          <w:tcPr>
            <w:tcW w:w="6599" w:type="dxa"/>
            <w:noWrap w:val="0"/>
            <w:vAlign w:val="center"/>
          </w:tcPr>
          <w:p w14:paraId="173541E7">
            <w:pPr>
              <w:widowControl/>
              <w:ind w:firstLine="480" w:firstLineChars="200"/>
              <w:jc w:val="left"/>
              <w:outlineLvl w:val="9"/>
              <w:rPr>
                <w:rFonts w:hint="default" w:ascii="宋体" w:hAnsi="宋体" w:eastAsia="宋体" w:cs="宋体"/>
                <w:b w:val="0"/>
                <w:bCs w:val="0"/>
                <w:color w:val="000000"/>
                <w:kern w:val="0"/>
                <w:sz w:val="24"/>
                <w:szCs w:val="24"/>
                <w:lang w:val="en-US" w:eastAsia="zh-CN" w:bidi="ar"/>
              </w:rPr>
            </w:pPr>
            <w:r>
              <w:rPr>
                <w:rFonts w:hint="default" w:ascii="宋体" w:hAnsi="宋体" w:eastAsia="宋体" w:cs="宋体"/>
                <w:b w:val="0"/>
                <w:bCs w:val="0"/>
                <w:color w:val="000000"/>
                <w:kern w:val="0"/>
                <w:sz w:val="24"/>
                <w:szCs w:val="24"/>
                <w:lang w:val="en-US" w:eastAsia="zh-CN" w:bidi="ar"/>
              </w:rPr>
              <w:t>本项目不存在以注册资本金、资产总额、营业收入、从业人员、利润、纳税额等规模条件和股权结构、经营年限等方面对中小企业实行差别待遇或歧视待遇的情况</w:t>
            </w:r>
          </w:p>
        </w:tc>
      </w:tr>
      <w:tr w14:paraId="2F5400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30" w:hRule="exact"/>
          <w:jc w:val="center"/>
        </w:trPr>
        <w:tc>
          <w:tcPr>
            <w:tcW w:w="832" w:type="dxa"/>
            <w:shd w:val="clear" w:color="auto" w:fill="auto"/>
            <w:noWrap w:val="0"/>
            <w:vAlign w:val="center"/>
          </w:tcPr>
          <w:p w14:paraId="38F2647B">
            <w:pPr>
              <w:pStyle w:val="103"/>
              <w:ind w:right="230" w:rightChars="0"/>
              <w:jc w:val="center"/>
              <w:rPr>
                <w:rFonts w:hint="default" w:ascii="宋体" w:hAnsi="宋体" w:eastAsia="宋体" w:cs="Courier New"/>
                <w:color w:val="auto"/>
                <w:sz w:val="24"/>
                <w:szCs w:val="24"/>
                <w:highlight w:val="none"/>
                <w:lang w:val="en-US" w:eastAsia="zh-CN" w:bidi="en-US"/>
              </w:rPr>
            </w:pPr>
            <w:r>
              <w:rPr>
                <w:rFonts w:ascii="仿宋_GB2312" w:hAnsi="仿宋_GB2312" w:eastAsia="仿宋_GB2312" w:cs="仿宋_GB2312"/>
                <w:sz w:val="21"/>
                <w:szCs w:val="21"/>
                <w:lang w:eastAsia="zh-CN"/>
              </w:rPr>
              <w:t>12</w:t>
            </w:r>
          </w:p>
        </w:tc>
        <w:tc>
          <w:tcPr>
            <w:tcW w:w="2196" w:type="dxa"/>
            <w:noWrap w:val="0"/>
            <w:vAlign w:val="center"/>
          </w:tcPr>
          <w:p w14:paraId="7EED9152">
            <w:pPr>
              <w:pStyle w:val="103"/>
              <w:keepNext w:val="0"/>
              <w:keepLines w:val="0"/>
              <w:pageBreakBefore w:val="0"/>
              <w:widowControl w:val="0"/>
              <w:kinsoku/>
              <w:wordWrap/>
              <w:overflowPunct/>
              <w:topLinePunct w:val="0"/>
              <w:autoSpaceDE w:val="0"/>
              <w:autoSpaceDN w:val="0"/>
              <w:bidi w:val="0"/>
              <w:adjustRightInd w:val="0"/>
              <w:snapToGrid/>
              <w:spacing w:line="440" w:lineRule="exact"/>
              <w:ind w:left="232" w:leftChars="0"/>
              <w:jc w:val="center"/>
              <w:textAlignment w:val="auto"/>
              <w:rPr>
                <w:rFonts w:hint="eastAsia" w:ascii="宋体" w:hAnsi="宋体" w:eastAsia="宋体" w:cs="宋体"/>
                <w:color w:val="auto"/>
                <w:sz w:val="24"/>
                <w:szCs w:val="24"/>
                <w:highlight w:val="none"/>
                <w:lang w:val="zh-CN" w:eastAsia="zh-CN"/>
              </w:rPr>
            </w:pPr>
            <w:r>
              <w:rPr>
                <w:rFonts w:hint="eastAsia"/>
                <w:color w:val="auto"/>
                <w:highlight w:val="none"/>
                <w:lang w:val="zh-CN"/>
              </w:rPr>
              <w:t>采购标的对应的中小企业划分标准所属行业</w:t>
            </w:r>
          </w:p>
        </w:tc>
        <w:tc>
          <w:tcPr>
            <w:tcW w:w="6599" w:type="dxa"/>
            <w:noWrap w:val="0"/>
            <w:vAlign w:val="center"/>
          </w:tcPr>
          <w:p w14:paraId="1CCEBA1A">
            <w:pPr>
              <w:pStyle w:val="10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cs="Times New Roman"/>
                <w:color w:val="auto"/>
                <w:kern w:val="2"/>
                <w:highlight w:val="yellow"/>
                <w:lang w:val="en-US" w:eastAsia="zh-CN"/>
              </w:rPr>
            </w:pPr>
            <w:r>
              <w:rPr>
                <w:rFonts w:hint="eastAsia" w:cs="Times New Roman"/>
                <w:color w:val="auto"/>
                <w:kern w:val="2"/>
                <w:highlight w:val="yellow"/>
                <w:lang w:val="en-US" w:eastAsia="zh-CN"/>
              </w:rPr>
              <w:t>其他未列明行业。</w:t>
            </w:r>
          </w:p>
          <w:p w14:paraId="023ADFF0">
            <w:pPr>
              <w:pStyle w:val="10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cs="Times New Roman"/>
                <w:color w:val="auto"/>
                <w:kern w:val="2"/>
                <w:highlight w:val="yellow"/>
                <w:lang w:val="en-US" w:eastAsia="zh-CN"/>
              </w:rPr>
            </w:pPr>
            <w:r>
              <w:rPr>
                <w:rFonts w:hint="eastAsia" w:cs="Times New Roman"/>
                <w:color w:val="auto"/>
                <w:kern w:val="2"/>
                <w:highlight w:val="yellow"/>
                <w:lang w:val="en-US" w:eastAsia="zh-CN"/>
              </w:rPr>
              <w:t>注：从业人员300人以下的为中小微型企业。其中，从业人员100人及以上的为中型企业；从业人员10人及以上的为小型企业；从业人员10人以下的为微型企业。</w:t>
            </w:r>
          </w:p>
          <w:p w14:paraId="3AE889BF">
            <w:pPr>
              <w:pStyle w:val="10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cs="Times New Roman"/>
                <w:color w:val="auto"/>
                <w:kern w:val="2"/>
                <w:highlight w:val="yellow"/>
                <w:lang w:val="en-US" w:eastAsia="zh-CN"/>
              </w:rPr>
            </w:pPr>
            <w:r>
              <w:rPr>
                <w:rFonts w:hint="eastAsia" w:cs="Times New Roman"/>
                <w:color w:val="auto"/>
                <w:kern w:val="2"/>
                <w:highlight w:val="yellow"/>
                <w:lang w:val="en-US" w:eastAsia="zh-CN"/>
              </w:rPr>
              <w:t>。</w:t>
            </w:r>
          </w:p>
          <w:p w14:paraId="44C973D1">
            <w:pPr>
              <w:pStyle w:val="10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default" w:cs="Times New Roman"/>
                <w:color w:val="auto"/>
                <w:kern w:val="2"/>
                <w:highlight w:val="yellow"/>
                <w:lang w:val="en-US" w:eastAsia="zh-CN"/>
              </w:rPr>
            </w:pPr>
          </w:p>
          <w:p w14:paraId="7246FD1E">
            <w:pPr>
              <w:pStyle w:val="10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0" w:firstLineChars="100"/>
              <w:textAlignment w:val="auto"/>
              <w:rPr>
                <w:rFonts w:hint="eastAsia" w:ascii="宋体" w:hAnsi="宋体" w:eastAsia="宋体" w:cs="Times New Roman"/>
                <w:color w:val="auto"/>
                <w:kern w:val="2"/>
                <w:sz w:val="24"/>
                <w:szCs w:val="24"/>
                <w:highlight w:val="none"/>
                <w:lang w:val="en-US" w:eastAsia="zh-CN"/>
              </w:rPr>
            </w:pPr>
          </w:p>
        </w:tc>
      </w:tr>
      <w:tr w14:paraId="0EE3AD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1" w:hRule="exact"/>
          <w:jc w:val="center"/>
        </w:trPr>
        <w:tc>
          <w:tcPr>
            <w:tcW w:w="832" w:type="dxa"/>
            <w:shd w:val="clear" w:color="auto" w:fill="auto"/>
            <w:noWrap w:val="0"/>
            <w:vAlign w:val="center"/>
          </w:tcPr>
          <w:p w14:paraId="2171BB6C">
            <w:pPr>
              <w:pStyle w:val="103"/>
              <w:ind w:right="230" w:rightChars="0"/>
              <w:jc w:val="center"/>
              <w:rPr>
                <w:rFonts w:hint="default" w:ascii="宋体" w:hAnsi="Times New Roman" w:eastAsia="宋体" w:cs="Courier New"/>
                <w:color w:val="auto"/>
                <w:sz w:val="24"/>
                <w:szCs w:val="24"/>
                <w:highlight w:val="none"/>
                <w:lang w:val="en-US" w:eastAsia="zh-CN" w:bidi="en-US"/>
              </w:rPr>
            </w:pPr>
            <w:r>
              <w:rPr>
                <w:rFonts w:ascii="仿宋_GB2312" w:hAnsi="仿宋_GB2312" w:eastAsia="仿宋_GB2312" w:cs="仿宋_GB2312"/>
                <w:sz w:val="21"/>
                <w:szCs w:val="21"/>
                <w:lang w:eastAsia="zh-CN"/>
              </w:rPr>
              <w:t>13</w:t>
            </w:r>
          </w:p>
        </w:tc>
        <w:tc>
          <w:tcPr>
            <w:tcW w:w="2196" w:type="dxa"/>
            <w:noWrap w:val="0"/>
            <w:vAlign w:val="center"/>
          </w:tcPr>
          <w:p w14:paraId="5AAF162D">
            <w:pPr>
              <w:pStyle w:val="103"/>
              <w:ind w:left="235" w:leftChars="0"/>
              <w:jc w:val="center"/>
              <w:rPr>
                <w:rFonts w:hint="eastAsia" w:ascii="宋体" w:hAnsi="宋体" w:eastAsia="宋体" w:cs="宋体"/>
                <w:color w:val="auto"/>
                <w:sz w:val="24"/>
                <w:szCs w:val="24"/>
                <w:highlight w:val="none"/>
                <w:lang w:val="zh-CN" w:eastAsia="zh-CN"/>
              </w:rPr>
            </w:pPr>
            <w:r>
              <w:rPr>
                <w:rFonts w:hint="eastAsia"/>
                <w:color w:val="auto"/>
                <w:highlight w:val="none"/>
                <w:lang w:val="zh-CN"/>
              </w:rPr>
              <w:t>联合体投标</w:t>
            </w:r>
          </w:p>
        </w:tc>
        <w:tc>
          <w:tcPr>
            <w:tcW w:w="6599" w:type="dxa"/>
            <w:noWrap w:val="0"/>
            <w:vAlign w:val="center"/>
          </w:tcPr>
          <w:p w14:paraId="3C70A1CD">
            <w:pPr>
              <w:pStyle w:val="103"/>
              <w:jc w:val="center"/>
              <w:rPr>
                <w:rFonts w:hint="eastAsia" w:ascii="宋体" w:hAnsi="宋体" w:eastAsia="宋体" w:cs="宋体"/>
                <w:color w:val="auto"/>
                <w:sz w:val="24"/>
                <w:szCs w:val="24"/>
                <w:highlight w:val="none"/>
                <w:lang w:val="zh-CN" w:eastAsia="zh-CN"/>
              </w:rPr>
            </w:pPr>
            <w:r>
              <w:rPr>
                <w:rFonts w:hint="eastAsia" w:cs="Times New Roman"/>
                <w:color w:val="auto"/>
                <w:kern w:val="2"/>
                <w:highlight w:val="none"/>
                <w:lang w:val="en-US" w:eastAsia="zh-CN"/>
              </w:rPr>
              <w:t>(</w:t>
            </w:r>
            <w:r>
              <w:rPr>
                <w:rFonts w:hint="default" w:cs="Times New Roman"/>
                <w:color w:val="auto"/>
                <w:kern w:val="2"/>
                <w:highlight w:val="none"/>
                <w:lang w:val="en" w:eastAsia="zh-CN"/>
              </w:rPr>
              <w:t xml:space="preserve"> </w:t>
            </w:r>
            <w:r>
              <w:rPr>
                <w:rFonts w:hint="default" w:ascii="Arial" w:hAnsi="Arial" w:eastAsia="宋体" w:cs="Arial"/>
                <w:color w:val="auto"/>
                <w:highlight w:val="none"/>
                <w:lang w:val="en-US" w:eastAsia="zh-CN"/>
              </w:rPr>
              <w:t>√</w:t>
            </w:r>
            <w:r>
              <w:rPr>
                <w:rFonts w:hint="eastAsia" w:ascii="宋体" w:hAnsi="宋体" w:eastAsia="宋体" w:cs="宋体"/>
                <w:color w:val="auto"/>
                <w:highlight w:val="none"/>
                <w:lang w:val="en-US" w:eastAsia="zh-CN"/>
              </w:rPr>
              <w:t xml:space="preserve"> </w:t>
            </w:r>
            <w:r>
              <w:rPr>
                <w:rFonts w:hint="eastAsia" w:cs="Times New Roman"/>
                <w:color w:val="auto"/>
                <w:kern w:val="2"/>
                <w:highlight w:val="none"/>
                <w:lang w:val="en-US" w:eastAsia="zh-CN"/>
              </w:rPr>
              <w:t xml:space="preserve"> ) </w:t>
            </w:r>
            <w:r>
              <w:rPr>
                <w:rFonts w:hint="eastAsia" w:cs="Times New Roman"/>
                <w:color w:val="auto"/>
                <w:kern w:val="2"/>
                <w:highlight w:val="none"/>
              </w:rPr>
              <w:t>不接受</w:t>
            </w:r>
            <w:r>
              <w:rPr>
                <w:rFonts w:hint="default" w:cs="Times New Roman"/>
                <w:color w:val="auto"/>
                <w:kern w:val="2"/>
                <w:highlight w:val="none"/>
                <w:lang w:val="en" w:eastAsia="zh-CN"/>
              </w:rPr>
              <w:t xml:space="preserve">      </w:t>
            </w:r>
            <w:r>
              <w:rPr>
                <w:rFonts w:hint="eastAsia" w:cs="Times New Roman"/>
                <w:color w:val="auto"/>
                <w:kern w:val="2"/>
                <w:highlight w:val="none"/>
                <w:lang w:val="en-US" w:eastAsia="zh-CN"/>
              </w:rPr>
              <w:t xml:space="preserve"> （   ）接受</w:t>
            </w:r>
          </w:p>
        </w:tc>
      </w:tr>
      <w:tr w14:paraId="7A5D5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31" w:hRule="exact"/>
          <w:jc w:val="center"/>
        </w:trPr>
        <w:tc>
          <w:tcPr>
            <w:tcW w:w="832" w:type="dxa"/>
            <w:shd w:val="clear" w:color="auto" w:fill="auto"/>
            <w:noWrap w:val="0"/>
            <w:vAlign w:val="center"/>
          </w:tcPr>
          <w:p w14:paraId="5B113BEC">
            <w:pPr>
              <w:pStyle w:val="103"/>
              <w:ind w:right="230" w:rightChars="0"/>
              <w:jc w:val="center"/>
              <w:rPr>
                <w:rFonts w:hint="eastAsia" w:ascii="宋体" w:hAnsi="宋体" w:eastAsia="宋体" w:cs="Courier New"/>
                <w:color w:val="auto"/>
                <w:sz w:val="24"/>
                <w:szCs w:val="24"/>
                <w:highlight w:val="none"/>
                <w:lang w:val="en-US" w:eastAsia="zh-CN" w:bidi="en-US"/>
              </w:rPr>
            </w:pPr>
            <w:r>
              <w:rPr>
                <w:rFonts w:ascii="仿宋_GB2312" w:hAnsi="仿宋_GB2312" w:eastAsia="仿宋_GB2312" w:cs="仿宋_GB2312"/>
                <w:sz w:val="21"/>
                <w:szCs w:val="21"/>
                <w:lang w:eastAsia="zh-CN"/>
              </w:rPr>
              <w:t>14</w:t>
            </w:r>
          </w:p>
        </w:tc>
        <w:tc>
          <w:tcPr>
            <w:tcW w:w="2196" w:type="dxa"/>
            <w:noWrap w:val="0"/>
            <w:vAlign w:val="center"/>
          </w:tcPr>
          <w:p w14:paraId="7FA41693">
            <w:pPr>
              <w:pStyle w:val="103"/>
              <w:ind w:left="235" w:leftChars="0"/>
              <w:jc w:val="center"/>
              <w:rPr>
                <w:rFonts w:hint="eastAsia" w:ascii="宋体" w:hAnsi="宋体" w:eastAsia="宋体" w:cs="宋体"/>
                <w:color w:val="auto"/>
                <w:sz w:val="24"/>
                <w:szCs w:val="24"/>
                <w:highlight w:val="none"/>
                <w:lang w:val="zh-CN" w:eastAsia="zh-CN"/>
              </w:rPr>
            </w:pPr>
            <w:r>
              <w:rPr>
                <w:rFonts w:hint="eastAsia"/>
                <w:color w:val="auto"/>
                <w:highlight w:val="none"/>
                <w:lang w:val="zh-CN"/>
              </w:rPr>
              <w:t>分公司投标</w:t>
            </w:r>
          </w:p>
        </w:tc>
        <w:tc>
          <w:tcPr>
            <w:tcW w:w="6599" w:type="dxa"/>
            <w:noWrap w:val="0"/>
            <w:vAlign w:val="center"/>
          </w:tcPr>
          <w:p w14:paraId="44ED0C5F">
            <w:pPr>
              <w:pStyle w:val="10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Times New Roman"/>
                <w:color w:val="auto"/>
                <w:kern w:val="2"/>
                <w:sz w:val="24"/>
                <w:szCs w:val="24"/>
                <w:highlight w:val="none"/>
                <w:lang w:val="en-US" w:eastAsia="zh-CN"/>
              </w:rPr>
            </w:pPr>
            <w:r>
              <w:rPr>
                <w:rFonts w:hint="eastAsia" w:cs="Times New Roman"/>
                <w:color w:val="auto"/>
                <w:kern w:val="2"/>
                <w:highlight w:val="none"/>
              </w:rPr>
              <w:t xml:space="preserve">  </w:t>
            </w:r>
            <w:r>
              <w:rPr>
                <w:rFonts w:hint="eastAsia" w:cs="Times New Roman"/>
                <w:color w:val="auto"/>
                <w:kern w:val="2"/>
                <w:highlight w:val="none"/>
                <w:lang w:val="en-US" w:eastAsia="zh-CN"/>
              </w:rPr>
              <w:t xml:space="preserve"> </w:t>
            </w:r>
            <w:r>
              <w:rPr>
                <w:rFonts w:hint="eastAsia" w:cs="Times New Roman"/>
                <w:color w:val="auto"/>
                <w:kern w:val="2"/>
                <w:highlight w:val="none"/>
              </w:rPr>
              <w:t xml:space="preserve"> 除银行、保险、电力、电信等特殊行业外，本项目不接受非独立法人单位分公司的投标</w:t>
            </w:r>
          </w:p>
        </w:tc>
      </w:tr>
      <w:tr w14:paraId="1A8362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3" w:hRule="exact"/>
          <w:jc w:val="center"/>
        </w:trPr>
        <w:tc>
          <w:tcPr>
            <w:tcW w:w="832" w:type="dxa"/>
            <w:shd w:val="clear" w:color="auto" w:fill="auto"/>
            <w:noWrap w:val="0"/>
            <w:vAlign w:val="center"/>
          </w:tcPr>
          <w:p w14:paraId="79492472">
            <w:pPr>
              <w:pStyle w:val="103"/>
              <w:ind w:right="230" w:rightChars="0"/>
              <w:jc w:val="center"/>
              <w:rPr>
                <w:rFonts w:hint="eastAsia" w:ascii="宋体" w:hAnsi="Times New Roman" w:eastAsia="宋体" w:cs="Courier New"/>
                <w:color w:val="auto"/>
                <w:sz w:val="24"/>
                <w:szCs w:val="24"/>
                <w:highlight w:val="none"/>
                <w:lang w:val="zh-CN" w:eastAsia="zh-CN" w:bidi="en-US"/>
              </w:rPr>
            </w:pPr>
            <w:r>
              <w:rPr>
                <w:rFonts w:ascii="仿宋_GB2312" w:hAnsi="仿宋_GB2312" w:eastAsia="仿宋_GB2312" w:cs="仿宋_GB2312"/>
                <w:sz w:val="21"/>
                <w:szCs w:val="21"/>
                <w:lang w:eastAsia="zh-CN"/>
              </w:rPr>
              <w:t>15</w:t>
            </w:r>
          </w:p>
        </w:tc>
        <w:tc>
          <w:tcPr>
            <w:tcW w:w="2196" w:type="dxa"/>
            <w:noWrap w:val="0"/>
            <w:vAlign w:val="center"/>
          </w:tcPr>
          <w:p w14:paraId="30722763">
            <w:pPr>
              <w:pStyle w:val="103"/>
              <w:jc w:val="center"/>
              <w:rPr>
                <w:rFonts w:hint="eastAsia" w:cs="Times New Roman"/>
                <w:color w:val="auto"/>
                <w:kern w:val="2"/>
                <w:highlight w:val="none"/>
                <w:lang w:val="zh-CN"/>
              </w:rPr>
            </w:pPr>
            <w:r>
              <w:rPr>
                <w:rFonts w:hint="eastAsia" w:cs="Times New Roman"/>
                <w:color w:val="auto"/>
                <w:kern w:val="2"/>
                <w:highlight w:val="none"/>
                <w:lang w:val="zh-CN"/>
              </w:rPr>
              <w:t>现场踏勘</w:t>
            </w:r>
          </w:p>
          <w:p w14:paraId="749452B5">
            <w:pPr>
              <w:pStyle w:val="103"/>
              <w:jc w:val="center"/>
              <w:rPr>
                <w:color w:val="auto"/>
                <w:highlight w:val="none"/>
                <w:lang w:val="zh-CN"/>
              </w:rPr>
            </w:pPr>
            <w:r>
              <w:rPr>
                <w:rFonts w:hint="eastAsia" w:cs="Times New Roman"/>
                <w:color w:val="auto"/>
                <w:kern w:val="2"/>
                <w:highlight w:val="none"/>
                <w:lang w:val="zh-CN"/>
              </w:rPr>
              <w:t>（标前答疑会</w:t>
            </w:r>
            <w:r>
              <w:rPr>
                <w:rFonts w:hint="eastAsia" w:cs="Times New Roman"/>
                <w:color w:val="auto"/>
                <w:kern w:val="2"/>
                <w:highlight w:val="none"/>
                <w:lang w:val="en-US" w:eastAsia="zh-CN"/>
              </w:rPr>
              <w:t>)</w:t>
            </w:r>
          </w:p>
        </w:tc>
        <w:tc>
          <w:tcPr>
            <w:tcW w:w="6599" w:type="dxa"/>
            <w:noWrap w:val="0"/>
            <w:vAlign w:val="center"/>
          </w:tcPr>
          <w:p w14:paraId="7A349BDC">
            <w:pPr>
              <w:pStyle w:val="119"/>
              <w:pageBreakBefore w:val="0"/>
              <w:widowControl w:val="0"/>
              <w:numPr>
                <w:ilvl w:val="0"/>
                <w:numId w:val="0"/>
              </w:numPr>
              <w:kinsoku/>
              <w:wordWrap/>
              <w:overflowPunct/>
              <w:topLinePunct w:val="0"/>
              <w:bidi w:val="0"/>
              <w:snapToGrid/>
              <w:spacing w:before="0" w:beforeLines="0" w:after="0" w:afterLines="0" w:line="360" w:lineRule="auto"/>
              <w:ind w:left="422" w:hanging="482" w:hangingChars="201"/>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bidi="ar-SA"/>
              </w:rPr>
              <w:t xml:space="preserve">   </w:t>
            </w:r>
            <w:bookmarkStart w:id="29" w:name="_Toc23014"/>
            <w:bookmarkStart w:id="30" w:name="_Toc8674"/>
            <w:bookmarkStart w:id="31" w:name="_Toc8576"/>
            <w:bookmarkStart w:id="32" w:name="_Toc20994"/>
            <w:r>
              <w:rPr>
                <w:rFonts w:hint="eastAsia" w:ascii="宋体" w:hAnsi="宋体" w:eastAsia="宋体" w:cs="宋体"/>
                <w:b w:val="0"/>
                <w:bCs w:val="0"/>
                <w:color w:val="auto"/>
                <w:sz w:val="24"/>
                <w:szCs w:val="24"/>
                <w:highlight w:val="none"/>
                <w:lang w:val="zh-CN" w:eastAsia="zh-CN"/>
              </w:rPr>
              <w:t>（</w:t>
            </w:r>
            <w:r>
              <w:rPr>
                <w:rFonts w:hint="eastAsia" w:cs="宋体"/>
                <w:b w:val="0"/>
                <w:bCs w:val="0"/>
                <w:color w:val="auto"/>
                <w:sz w:val="24"/>
                <w:szCs w:val="24"/>
                <w:highlight w:val="none"/>
                <w:lang w:val="en-US" w:eastAsia="zh-CN"/>
              </w:rPr>
              <w:t xml:space="preserve"> </w:t>
            </w:r>
            <w:r>
              <w:rPr>
                <w:rFonts w:hint="default" w:ascii="Arial" w:hAnsi="Arial" w:eastAsia="宋体" w:cs="Arial"/>
                <w:color w:val="auto"/>
                <w:highlight w:val="none"/>
                <w:lang w:val="en-US" w:eastAsia="zh-CN"/>
              </w:rPr>
              <w:t>√</w:t>
            </w:r>
            <w:r>
              <w:rPr>
                <w:rFonts w:hint="eastAsia" w:ascii="宋体" w:hAnsi="宋体" w:eastAsia="宋体" w:cs="宋体"/>
                <w:color w:val="auto"/>
                <w:highlight w:val="none"/>
                <w:lang w:val="en-US" w:eastAsia="zh-CN"/>
              </w:rPr>
              <w:t xml:space="preserve"> </w:t>
            </w:r>
            <w:r>
              <w:rPr>
                <w:rFonts w:hint="eastAsia" w:ascii="宋体" w:hAnsi="宋体" w:eastAsia="宋体" w:cs="宋体"/>
                <w:b w:val="0"/>
                <w:bCs w:val="0"/>
                <w:color w:val="auto"/>
                <w:sz w:val="24"/>
                <w:szCs w:val="24"/>
                <w:highlight w:val="none"/>
                <w:lang w:val="zh-CN" w:eastAsia="zh-CN"/>
              </w:rPr>
              <w:t>）不组织</w:t>
            </w:r>
            <w:bookmarkEnd w:id="29"/>
            <w:bookmarkEnd w:id="30"/>
            <w:bookmarkEnd w:id="31"/>
            <w:bookmarkEnd w:id="32"/>
          </w:p>
          <w:p w14:paraId="33E4BF73">
            <w:pPr>
              <w:pStyle w:val="119"/>
              <w:pageBreakBefore w:val="0"/>
              <w:widowControl w:val="0"/>
              <w:numPr>
                <w:ilvl w:val="0"/>
                <w:numId w:val="0"/>
              </w:numPr>
              <w:kinsoku/>
              <w:wordWrap/>
              <w:overflowPunct/>
              <w:topLinePunct w:val="0"/>
              <w:bidi w:val="0"/>
              <w:snapToGrid/>
              <w:spacing w:before="0" w:beforeLines="0" w:after="0" w:afterLines="0" w:line="360" w:lineRule="auto"/>
              <w:ind w:left="422" w:hanging="482" w:hangingChars="201"/>
              <w:jc w:val="left"/>
              <w:textAlignment w:val="auto"/>
              <w:outlineLvl w:val="9"/>
              <w:rPr>
                <w:rFonts w:hint="eastAsia" w:ascii="宋体" w:hAnsi="宋体" w:eastAsia="宋体" w:cs="宋体"/>
                <w:b w:val="0"/>
                <w:bCs w:val="0"/>
                <w:color w:val="auto"/>
                <w:sz w:val="24"/>
                <w:szCs w:val="24"/>
                <w:highlight w:val="none"/>
                <w:lang w:val="zh-CN" w:eastAsia="zh-CN" w:bidi="ar-SA"/>
              </w:rPr>
            </w:pPr>
            <w:r>
              <w:rPr>
                <w:rFonts w:hint="eastAsia" w:ascii="宋体" w:hAnsi="宋体" w:eastAsia="宋体" w:cs="宋体"/>
                <w:b w:val="0"/>
                <w:bCs w:val="0"/>
                <w:color w:val="auto"/>
                <w:sz w:val="24"/>
                <w:szCs w:val="24"/>
                <w:highlight w:val="none"/>
                <w:lang w:val="en-US" w:eastAsia="zh-CN"/>
              </w:rPr>
              <w:t xml:space="preserve">    </w:t>
            </w:r>
            <w:bookmarkStart w:id="33" w:name="_Toc8008"/>
            <w:bookmarkStart w:id="34" w:name="_Toc12883"/>
            <w:bookmarkStart w:id="35" w:name="_Toc1024"/>
            <w:bookmarkStart w:id="36" w:name="_Toc12392"/>
            <w:r>
              <w:rPr>
                <w:rFonts w:hint="eastAsia" w:ascii="宋体" w:hAnsi="宋体" w:eastAsia="宋体" w:cs="宋体"/>
                <w:b w:val="0"/>
                <w:bCs w:val="0"/>
                <w:color w:val="auto"/>
                <w:sz w:val="24"/>
                <w:szCs w:val="24"/>
                <w:highlight w:val="none"/>
                <w:lang w:val="en-US" w:eastAsia="zh-CN"/>
              </w:rPr>
              <w:t>(     )</w:t>
            </w:r>
            <w:r>
              <w:rPr>
                <w:rFonts w:hint="eastAsia" w:ascii="宋体" w:hAnsi="宋体" w:eastAsia="宋体" w:cs="宋体"/>
                <w:b w:val="0"/>
                <w:bCs w:val="0"/>
                <w:color w:val="auto"/>
                <w:sz w:val="24"/>
                <w:szCs w:val="24"/>
                <w:highlight w:val="none"/>
                <w:lang w:val="zh-CN" w:eastAsia="zh-CN"/>
              </w:rPr>
              <w:t>组</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zh-CN"/>
              </w:rPr>
              <w:t>织</w:t>
            </w:r>
            <w:bookmarkEnd w:id="33"/>
            <w:bookmarkEnd w:id="34"/>
            <w:bookmarkEnd w:id="35"/>
            <w:bookmarkEnd w:id="36"/>
            <w:r>
              <w:rPr>
                <w:rFonts w:hint="eastAsia" w:ascii="宋体" w:hAnsi="宋体" w:eastAsia="宋体" w:cs="宋体"/>
                <w:b w:val="0"/>
                <w:bCs w:val="0"/>
                <w:color w:val="auto"/>
                <w:sz w:val="24"/>
                <w:szCs w:val="24"/>
                <w:highlight w:val="none"/>
                <w:lang w:val="en-US" w:eastAsia="zh-CN"/>
              </w:rPr>
              <w:t xml:space="preserve">   </w:t>
            </w:r>
            <w:r>
              <w:rPr>
                <w:rFonts w:hint="eastAsia" w:cs="宋体"/>
                <w:b w:val="0"/>
                <w:bCs w:val="0"/>
                <w:color w:val="auto"/>
                <w:sz w:val="24"/>
                <w:szCs w:val="24"/>
                <w:highlight w:val="none"/>
                <w:lang w:val="en-US" w:eastAsia="zh-CN" w:bidi="ar-SA"/>
              </w:rPr>
              <w:t xml:space="preserve">      </w:t>
            </w:r>
          </w:p>
        </w:tc>
      </w:tr>
      <w:tr w14:paraId="3FF586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14" w:hRule="exact"/>
          <w:jc w:val="center"/>
        </w:trPr>
        <w:tc>
          <w:tcPr>
            <w:tcW w:w="832" w:type="dxa"/>
            <w:shd w:val="clear" w:color="auto" w:fill="auto"/>
            <w:noWrap w:val="0"/>
            <w:vAlign w:val="center"/>
          </w:tcPr>
          <w:p w14:paraId="748B6E6B">
            <w:pPr>
              <w:pStyle w:val="103"/>
              <w:ind w:right="230" w:rightChars="0"/>
              <w:jc w:val="center"/>
              <w:rPr>
                <w:rFonts w:hint="default" w:ascii="宋体" w:hAnsi="Times New Roman" w:eastAsia="宋体" w:cs="宋体"/>
                <w:color w:val="auto"/>
                <w:sz w:val="24"/>
                <w:szCs w:val="24"/>
                <w:highlight w:val="none"/>
                <w:lang w:val="en-US" w:eastAsia="zh-CN" w:bidi="en-US"/>
              </w:rPr>
            </w:pPr>
            <w:r>
              <w:rPr>
                <w:rFonts w:ascii="仿宋_GB2312" w:hAnsi="仿宋_GB2312" w:eastAsia="仿宋_GB2312" w:cs="仿宋_GB2312"/>
                <w:sz w:val="21"/>
                <w:szCs w:val="21"/>
                <w:lang w:eastAsia="zh-CN"/>
              </w:rPr>
              <w:t>16</w:t>
            </w:r>
          </w:p>
        </w:tc>
        <w:tc>
          <w:tcPr>
            <w:tcW w:w="2196" w:type="dxa"/>
            <w:noWrap w:val="0"/>
            <w:vAlign w:val="center"/>
          </w:tcPr>
          <w:p w14:paraId="34EE6398">
            <w:pPr>
              <w:pStyle w:val="103"/>
              <w:ind w:left="52" w:leftChars="0"/>
              <w:jc w:val="center"/>
              <w:rPr>
                <w:rFonts w:hint="eastAsia"/>
                <w:color w:val="auto"/>
                <w:highlight w:val="none"/>
                <w:lang w:val="zh-CN"/>
              </w:rPr>
            </w:pPr>
            <w:r>
              <w:rPr>
                <w:rFonts w:hint="eastAsia"/>
                <w:color w:val="auto"/>
                <w:highlight w:val="none"/>
                <w:lang w:val="zh-CN"/>
              </w:rPr>
              <w:t>招标文件的构成</w:t>
            </w:r>
          </w:p>
        </w:tc>
        <w:tc>
          <w:tcPr>
            <w:tcW w:w="6599" w:type="dxa"/>
            <w:noWrap w:val="0"/>
            <w:vAlign w:val="center"/>
          </w:tcPr>
          <w:p w14:paraId="65FB15BA">
            <w:pPr>
              <w:pStyle w:val="104"/>
              <w:spacing w:line="360" w:lineRule="auto"/>
              <w:jc w:val="both"/>
              <w:rPr>
                <w:rFonts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加注“●”号条款为实质性条款，不得出现负偏离，发生负偏离即做无效标处理。加注“▲”号的产品为核心产品，任意一种核心产品为同一品牌时，按照</w:t>
            </w: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第3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.4条款执行。</w:t>
            </w:r>
          </w:p>
          <w:p w14:paraId="37DE9CD9">
            <w:pPr>
              <w:pStyle w:val="103"/>
              <w:ind w:left="240" w:leftChars="0" w:hanging="240" w:hangingChars="100"/>
              <w:rPr>
                <w:rFonts w:hint="eastAsia"/>
                <w:color w:val="auto"/>
                <w:highlight w:val="none"/>
                <w:lang w:val="zh-CN"/>
              </w:rPr>
            </w:pPr>
          </w:p>
        </w:tc>
      </w:tr>
      <w:tr w14:paraId="72369B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9" w:hRule="exact"/>
          <w:jc w:val="center"/>
        </w:trPr>
        <w:tc>
          <w:tcPr>
            <w:tcW w:w="832" w:type="dxa"/>
            <w:shd w:val="clear" w:color="auto" w:fill="auto"/>
            <w:noWrap w:val="0"/>
            <w:vAlign w:val="center"/>
          </w:tcPr>
          <w:p w14:paraId="51D6961D">
            <w:pPr>
              <w:pStyle w:val="103"/>
              <w:ind w:right="230" w:rightChars="0"/>
              <w:jc w:val="center"/>
              <w:rPr>
                <w:rFonts w:hint="default" w:ascii="宋体" w:hAnsi="Times New Roman" w:eastAsia="宋体" w:cs="宋体"/>
                <w:color w:val="auto"/>
                <w:sz w:val="24"/>
                <w:szCs w:val="24"/>
                <w:highlight w:val="none"/>
                <w:lang w:val="zh-CN" w:eastAsia="zh-CN" w:bidi="en-US"/>
              </w:rPr>
            </w:pPr>
            <w:r>
              <w:rPr>
                <w:rFonts w:ascii="仿宋_GB2312" w:hAnsi="仿宋_GB2312" w:eastAsia="仿宋_GB2312" w:cs="仿宋_GB2312"/>
                <w:sz w:val="21"/>
                <w:szCs w:val="21"/>
                <w:lang w:eastAsia="zh-CN"/>
              </w:rPr>
              <w:t>17</w:t>
            </w:r>
          </w:p>
        </w:tc>
        <w:tc>
          <w:tcPr>
            <w:tcW w:w="2196" w:type="dxa"/>
            <w:noWrap w:val="0"/>
            <w:vAlign w:val="center"/>
          </w:tcPr>
          <w:p w14:paraId="6AA83FA9">
            <w:pPr>
              <w:pStyle w:val="103"/>
              <w:ind w:left="52"/>
              <w:jc w:val="center"/>
              <w:rPr>
                <w:color w:val="auto"/>
                <w:highlight w:val="none"/>
                <w:lang w:val="zh-CN"/>
              </w:rPr>
            </w:pPr>
            <w:r>
              <w:rPr>
                <w:rFonts w:hint="eastAsia"/>
                <w:color w:val="auto"/>
                <w:highlight w:val="none"/>
                <w:lang w:val="zh-CN"/>
              </w:rPr>
              <w:t>构成招标文件的其他文件</w:t>
            </w:r>
          </w:p>
        </w:tc>
        <w:tc>
          <w:tcPr>
            <w:tcW w:w="6599" w:type="dxa"/>
            <w:noWrap w:val="0"/>
            <w:vAlign w:val="center"/>
          </w:tcPr>
          <w:p w14:paraId="113FEB81">
            <w:pPr>
              <w:pStyle w:val="103"/>
              <w:keepNext w:val="0"/>
              <w:keepLines w:val="0"/>
              <w:pageBreakBefore w:val="0"/>
              <w:widowControl w:val="0"/>
              <w:kinsoku/>
              <w:wordWrap/>
              <w:overflowPunct/>
              <w:topLinePunct w:val="0"/>
              <w:autoSpaceDE w:val="0"/>
              <w:autoSpaceDN w:val="0"/>
              <w:bidi w:val="0"/>
              <w:adjustRightInd w:val="0"/>
              <w:snapToGrid/>
              <w:spacing w:line="360" w:lineRule="auto"/>
              <w:ind w:left="0" w:hanging="240" w:hangingChars="100"/>
              <w:textAlignment w:val="auto"/>
              <w:rPr>
                <w:color w:val="auto"/>
                <w:highlight w:val="none"/>
                <w:lang w:val="zh-CN"/>
              </w:rPr>
            </w:pPr>
            <w:r>
              <w:rPr>
                <w:rFonts w:hint="eastAsia"/>
                <w:color w:val="auto"/>
                <w:highlight w:val="none"/>
                <w:lang w:val="zh-CN"/>
              </w:rPr>
              <w:t xml:space="preserve">  招标文件的澄清</w:t>
            </w:r>
            <w:r>
              <w:rPr>
                <w:rFonts w:hint="eastAsia"/>
                <w:color w:val="auto"/>
                <w:highlight w:val="none"/>
              </w:rPr>
              <w:t>、</w:t>
            </w:r>
            <w:r>
              <w:rPr>
                <w:rFonts w:hint="eastAsia"/>
                <w:color w:val="auto"/>
                <w:highlight w:val="none"/>
                <w:lang w:eastAsia="zh-CN"/>
              </w:rPr>
              <w:t>更正</w:t>
            </w:r>
            <w:r>
              <w:rPr>
                <w:rFonts w:hint="eastAsia"/>
                <w:color w:val="auto"/>
                <w:highlight w:val="none"/>
              </w:rPr>
              <w:t>及有关补充通知为招标文件的有效组成部分。</w:t>
            </w:r>
          </w:p>
        </w:tc>
      </w:tr>
      <w:tr w14:paraId="2B8891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0" w:hRule="exact"/>
          <w:jc w:val="center"/>
        </w:trPr>
        <w:tc>
          <w:tcPr>
            <w:tcW w:w="832" w:type="dxa"/>
            <w:shd w:val="clear" w:color="auto" w:fill="auto"/>
            <w:noWrap w:val="0"/>
            <w:vAlign w:val="center"/>
          </w:tcPr>
          <w:p w14:paraId="30AC50C5">
            <w:pPr>
              <w:pStyle w:val="103"/>
              <w:ind w:right="230" w:rightChars="0"/>
              <w:jc w:val="center"/>
              <w:rPr>
                <w:rFonts w:hint="default" w:ascii="宋体" w:hAnsi="Times New Roman" w:eastAsia="宋体" w:cs="Courier New"/>
                <w:color w:val="auto"/>
                <w:sz w:val="24"/>
                <w:szCs w:val="24"/>
                <w:highlight w:val="none"/>
                <w:lang w:val="zh-CN" w:eastAsia="en-US" w:bidi="en-US"/>
              </w:rPr>
            </w:pPr>
            <w:r>
              <w:rPr>
                <w:rFonts w:ascii="仿宋_GB2312" w:hAnsi="仿宋_GB2312" w:eastAsia="仿宋_GB2312" w:cs="仿宋_GB2312"/>
                <w:sz w:val="21"/>
                <w:szCs w:val="21"/>
                <w:lang w:eastAsia="zh-CN"/>
              </w:rPr>
              <w:t>18</w:t>
            </w:r>
          </w:p>
        </w:tc>
        <w:tc>
          <w:tcPr>
            <w:tcW w:w="2196" w:type="dxa"/>
            <w:noWrap w:val="0"/>
            <w:vAlign w:val="center"/>
          </w:tcPr>
          <w:p w14:paraId="668DC9EC">
            <w:pPr>
              <w:pStyle w:val="103"/>
              <w:jc w:val="center"/>
              <w:rPr>
                <w:color w:val="auto"/>
                <w:highlight w:val="none"/>
                <w:lang w:val="zh-CN"/>
              </w:rPr>
            </w:pPr>
            <w:r>
              <w:rPr>
                <w:rFonts w:hint="eastAsia"/>
                <w:color w:val="auto"/>
                <w:highlight w:val="none"/>
                <w:lang w:val="zh-CN"/>
              </w:rPr>
              <w:t>备选投标方案和报价</w:t>
            </w:r>
          </w:p>
        </w:tc>
        <w:tc>
          <w:tcPr>
            <w:tcW w:w="6599" w:type="dxa"/>
            <w:noWrap w:val="0"/>
            <w:vAlign w:val="center"/>
          </w:tcPr>
          <w:p w14:paraId="531CB548">
            <w:pPr>
              <w:pStyle w:val="103"/>
              <w:ind w:firstLine="240" w:firstLineChars="100"/>
              <w:jc w:val="both"/>
              <w:rPr>
                <w:color w:val="auto"/>
                <w:highlight w:val="none"/>
                <w:lang w:val="zh-CN"/>
              </w:rPr>
            </w:pPr>
            <w:r>
              <w:rPr>
                <w:rFonts w:hint="eastAsia"/>
                <w:color w:val="auto"/>
                <w:highlight w:val="none"/>
                <w:lang w:val="zh-CN"/>
              </w:rPr>
              <w:t>不接受备选投标方案和多个报价</w:t>
            </w:r>
          </w:p>
        </w:tc>
      </w:tr>
      <w:tr w14:paraId="0F4128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3" w:hRule="exact"/>
          <w:jc w:val="center"/>
        </w:trPr>
        <w:tc>
          <w:tcPr>
            <w:tcW w:w="832" w:type="dxa"/>
            <w:shd w:val="clear" w:color="auto" w:fill="auto"/>
            <w:noWrap w:val="0"/>
            <w:vAlign w:val="center"/>
          </w:tcPr>
          <w:p w14:paraId="7287E687">
            <w:pPr>
              <w:pStyle w:val="103"/>
              <w:ind w:right="230" w:rightChars="0"/>
              <w:jc w:val="center"/>
              <w:rPr>
                <w:rFonts w:hint="default" w:ascii="宋体" w:hAnsi="Times New Roman" w:eastAsia="宋体" w:cs="Courier New"/>
                <w:color w:val="auto"/>
                <w:sz w:val="24"/>
                <w:szCs w:val="24"/>
                <w:highlight w:val="none"/>
                <w:lang w:val="en-US" w:eastAsia="zh-CN" w:bidi="en-US"/>
              </w:rPr>
            </w:pPr>
            <w:r>
              <w:rPr>
                <w:rFonts w:ascii="仿宋_GB2312" w:hAnsi="仿宋_GB2312" w:eastAsia="仿宋_GB2312" w:cs="仿宋_GB2312"/>
                <w:sz w:val="21"/>
                <w:szCs w:val="21"/>
                <w:lang w:eastAsia="zh-CN"/>
              </w:rPr>
              <w:t>19</w:t>
            </w:r>
          </w:p>
        </w:tc>
        <w:tc>
          <w:tcPr>
            <w:tcW w:w="2196" w:type="dxa"/>
            <w:noWrap w:val="0"/>
            <w:vAlign w:val="center"/>
          </w:tcPr>
          <w:p w14:paraId="38FBEF9B">
            <w:pPr>
              <w:pStyle w:val="103"/>
              <w:spacing w:line="360" w:lineRule="auto"/>
              <w:ind w:left="33"/>
              <w:jc w:val="center"/>
              <w:rPr>
                <w:color w:val="auto"/>
                <w:highlight w:val="none"/>
                <w:lang w:val="zh-CN"/>
              </w:rPr>
            </w:pPr>
            <w:r>
              <w:rPr>
                <w:rFonts w:hint="eastAsia" w:ascii="宋体" w:hAnsi="Times New Roman" w:eastAsia="宋体" w:cs="宋体"/>
                <w:color w:val="auto"/>
                <w:highlight w:val="none"/>
                <w:lang w:val="zh-CN"/>
              </w:rPr>
              <w:t>投标保证金</w:t>
            </w:r>
          </w:p>
          <w:p w14:paraId="4FD3DD3D">
            <w:pPr>
              <w:pStyle w:val="103"/>
              <w:jc w:val="center"/>
              <w:rPr>
                <w:color w:val="auto"/>
                <w:highlight w:val="none"/>
                <w:lang w:val="zh-CN"/>
              </w:rPr>
            </w:pPr>
          </w:p>
          <w:p w14:paraId="63D8D6E7">
            <w:pPr>
              <w:pStyle w:val="103"/>
              <w:jc w:val="center"/>
              <w:rPr>
                <w:color w:val="auto"/>
                <w:highlight w:val="none"/>
                <w:lang w:val="zh-CN"/>
              </w:rPr>
            </w:pPr>
          </w:p>
          <w:p w14:paraId="113F881C">
            <w:pPr>
              <w:pStyle w:val="103"/>
              <w:jc w:val="center"/>
              <w:rPr>
                <w:color w:val="auto"/>
                <w:highlight w:val="none"/>
                <w:lang w:val="zh-CN"/>
              </w:rPr>
            </w:pPr>
          </w:p>
        </w:tc>
        <w:tc>
          <w:tcPr>
            <w:tcW w:w="6599" w:type="dxa"/>
            <w:noWrap w:val="0"/>
            <w:vAlign w:val="center"/>
          </w:tcPr>
          <w:p w14:paraId="4C0E8B7A">
            <w:pPr>
              <w:pStyle w:val="103"/>
              <w:jc w:val="left"/>
              <w:rPr>
                <w:color w:val="auto"/>
                <w:highlight w:val="none"/>
                <w:lang w:val="zh-CN"/>
              </w:rPr>
            </w:pPr>
            <w:r>
              <w:rPr>
                <w:rFonts w:hint="eastAsia" w:ascii="宋体" w:hAnsi="宋体" w:cs="宋体"/>
                <w:b/>
                <w:bCs/>
                <w:color w:val="000000"/>
                <w:kern w:val="0"/>
                <w:sz w:val="24"/>
                <w:lang w:bidi="ar"/>
              </w:rPr>
              <w:t>本项目不收取投标保证金。</w:t>
            </w:r>
          </w:p>
        </w:tc>
      </w:tr>
      <w:tr w14:paraId="5A442E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atLeast"/>
          <w:jc w:val="center"/>
        </w:trPr>
        <w:tc>
          <w:tcPr>
            <w:tcW w:w="832" w:type="dxa"/>
            <w:shd w:val="clear" w:color="auto" w:fill="auto"/>
            <w:noWrap w:val="0"/>
            <w:vAlign w:val="center"/>
          </w:tcPr>
          <w:p w14:paraId="694E0955">
            <w:pPr>
              <w:pStyle w:val="103"/>
              <w:keepNext w:val="0"/>
              <w:keepLines w:val="0"/>
              <w:pageBreakBefore w:val="0"/>
              <w:widowControl w:val="0"/>
              <w:kinsoku/>
              <w:wordWrap/>
              <w:overflowPunct/>
              <w:topLinePunct w:val="0"/>
              <w:autoSpaceDE w:val="0"/>
              <w:autoSpaceDN w:val="0"/>
              <w:bidi w:val="0"/>
              <w:adjustRightInd w:val="0"/>
              <w:snapToGrid/>
              <w:spacing w:after="0"/>
              <w:ind w:right="264" w:rightChars="0"/>
              <w:jc w:val="center"/>
              <w:textAlignment w:val="auto"/>
              <w:rPr>
                <w:rFonts w:hint="default" w:ascii="宋体" w:hAnsi="Times New Roman" w:eastAsia="宋体" w:cs="Courier New"/>
                <w:color w:val="auto"/>
                <w:sz w:val="24"/>
                <w:szCs w:val="24"/>
                <w:highlight w:val="none"/>
                <w:lang w:val="zh-CN" w:eastAsia="zh-CN" w:bidi="en-US"/>
              </w:rPr>
            </w:pPr>
            <w:r>
              <w:rPr>
                <w:rFonts w:ascii="仿宋_GB2312" w:hAnsi="仿宋_GB2312" w:eastAsia="仿宋_GB2312" w:cs="仿宋_GB2312"/>
                <w:sz w:val="21"/>
                <w:szCs w:val="21"/>
                <w:lang w:eastAsia="zh-CN"/>
              </w:rPr>
              <w:t>20</w:t>
            </w:r>
          </w:p>
        </w:tc>
        <w:tc>
          <w:tcPr>
            <w:tcW w:w="2196" w:type="dxa"/>
            <w:noWrap w:val="0"/>
            <w:vAlign w:val="center"/>
          </w:tcPr>
          <w:p w14:paraId="111D24FC">
            <w:pPr>
              <w:pStyle w:val="103"/>
              <w:spacing w:line="360" w:lineRule="auto"/>
              <w:ind w:left="33"/>
              <w:jc w:val="center"/>
              <w:rPr>
                <w:color w:val="auto"/>
                <w:highlight w:val="none"/>
                <w:lang w:val="zh-CN"/>
              </w:rPr>
            </w:pPr>
            <w:r>
              <w:rPr>
                <w:rFonts w:hint="eastAsia"/>
                <w:color w:val="auto"/>
                <w:highlight w:val="none"/>
                <w:lang w:val="zh-CN"/>
              </w:rPr>
              <w:t>投标有效期</w:t>
            </w:r>
          </w:p>
        </w:tc>
        <w:tc>
          <w:tcPr>
            <w:tcW w:w="6599" w:type="dxa"/>
            <w:noWrap w:val="0"/>
            <w:vAlign w:val="center"/>
          </w:tcPr>
          <w:p w14:paraId="1CB9583D">
            <w:pPr>
              <w:pStyle w:val="103"/>
              <w:spacing w:line="360" w:lineRule="auto"/>
              <w:jc w:val="left"/>
              <w:rPr>
                <w:rFonts w:hint="eastAsia" w:eastAsia="宋体"/>
                <w:color w:val="auto"/>
                <w:highlight w:val="none"/>
                <w:lang w:val="zh-CN" w:eastAsia="zh-CN"/>
              </w:rPr>
            </w:pPr>
            <w:r>
              <w:rPr>
                <w:rFonts w:hint="eastAsia"/>
                <w:color w:val="auto"/>
                <w:highlight w:val="none"/>
              </w:rPr>
              <w:t>开标后</w:t>
            </w:r>
            <w:r>
              <w:rPr>
                <w:rFonts w:hint="eastAsia"/>
                <w:color w:val="auto"/>
                <w:highlight w:val="none"/>
                <w:lang w:val="en-US" w:eastAsia="zh-CN"/>
              </w:rPr>
              <w:t>60</w:t>
            </w:r>
            <w:r>
              <w:rPr>
                <w:rFonts w:hint="eastAsia"/>
                <w:color w:val="auto"/>
                <w:highlight w:val="none"/>
              </w:rPr>
              <w:t>天</w:t>
            </w:r>
            <w:r>
              <w:rPr>
                <w:rFonts w:hint="eastAsia"/>
                <w:color w:val="auto"/>
                <w:highlight w:val="none"/>
                <w:lang w:eastAsia="zh-CN"/>
              </w:rPr>
              <w:t>（日历日）</w:t>
            </w:r>
          </w:p>
        </w:tc>
      </w:tr>
      <w:tr w14:paraId="7A4A40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8" w:hRule="atLeast"/>
          <w:jc w:val="center"/>
        </w:trPr>
        <w:tc>
          <w:tcPr>
            <w:tcW w:w="832" w:type="dxa"/>
            <w:shd w:val="clear" w:color="auto" w:fill="auto"/>
            <w:noWrap w:val="0"/>
            <w:vAlign w:val="center"/>
          </w:tcPr>
          <w:p w14:paraId="72372507">
            <w:pPr>
              <w:pStyle w:val="103"/>
              <w:ind w:right="264" w:rightChars="0"/>
              <w:jc w:val="center"/>
              <w:rPr>
                <w:rFonts w:ascii="宋体" w:hAnsi="Times New Roman" w:eastAsia="宋体" w:cs="宋体"/>
                <w:color w:val="auto"/>
                <w:sz w:val="24"/>
                <w:szCs w:val="24"/>
                <w:highlight w:val="none"/>
                <w:lang w:val="zh-CN" w:eastAsia="en-US" w:bidi="en-US"/>
              </w:rPr>
            </w:pPr>
            <w:r>
              <w:rPr>
                <w:rFonts w:ascii="仿宋_GB2312" w:hAnsi="仿宋_GB2312" w:eastAsia="仿宋_GB2312" w:cs="仿宋_GB2312"/>
                <w:sz w:val="21"/>
                <w:szCs w:val="21"/>
                <w:lang w:eastAsia="zh-CN"/>
              </w:rPr>
              <w:t>21</w:t>
            </w:r>
          </w:p>
        </w:tc>
        <w:tc>
          <w:tcPr>
            <w:tcW w:w="2196" w:type="dxa"/>
            <w:noWrap w:val="0"/>
            <w:vAlign w:val="center"/>
          </w:tcPr>
          <w:p w14:paraId="2D9BE3EC">
            <w:pPr>
              <w:pStyle w:val="103"/>
              <w:jc w:val="center"/>
              <w:outlineLvl w:val="9"/>
              <w:rPr>
                <w:color w:val="auto"/>
                <w:sz w:val="24"/>
                <w:szCs w:val="24"/>
                <w:highlight w:val="none"/>
                <w:lang w:val="zh-CN"/>
              </w:rPr>
            </w:pPr>
            <w:r>
              <w:rPr>
                <w:rFonts w:hint="eastAsia" w:hAnsi="宋体"/>
                <w:sz w:val="24"/>
                <w:szCs w:val="24"/>
                <w:lang w:val="zh-CN" w:eastAsia="zh-CN"/>
              </w:rPr>
              <w:t>投标文件递交及有关事项说明</w:t>
            </w:r>
          </w:p>
        </w:tc>
        <w:tc>
          <w:tcPr>
            <w:tcW w:w="6599" w:type="dxa"/>
            <w:noWrap w:val="0"/>
            <w:vAlign w:val="center"/>
          </w:tcPr>
          <w:p w14:paraId="4B2162CA">
            <w:pPr>
              <w:pStyle w:val="103"/>
              <w:ind w:firstLine="241" w:firstLineChars="100"/>
              <w:outlineLvl w:val="9"/>
              <w:rPr>
                <w:rFonts w:hint="eastAsia" w:hAnsi="宋体"/>
                <w:b/>
                <w:sz w:val="24"/>
                <w:szCs w:val="24"/>
                <w:lang w:eastAsia="zh-CN"/>
              </w:rPr>
            </w:pPr>
            <w:r>
              <w:rPr>
                <w:rFonts w:hint="eastAsia" w:hAnsi="宋体"/>
                <w:b/>
                <w:sz w:val="24"/>
                <w:szCs w:val="24"/>
                <w:lang w:eastAsia="zh-CN"/>
              </w:rPr>
              <w:t>1、该项目采用新点不见面网上开标方式：开评活动</w:t>
            </w:r>
            <w:r>
              <w:rPr>
                <w:rFonts w:hint="eastAsia" w:hAnsi="宋体"/>
                <w:b/>
                <w:sz w:val="24"/>
                <w:szCs w:val="24"/>
                <w:lang w:val="en-US" w:eastAsia="zh-CN"/>
              </w:rPr>
              <w:t>在陇南市公共资源交易网</w:t>
            </w:r>
            <w:r>
              <w:rPr>
                <w:rFonts w:hint="eastAsia" w:hAnsi="宋体"/>
                <w:b/>
                <w:sz w:val="24"/>
                <w:szCs w:val="24"/>
                <w:lang w:eastAsia="zh-CN"/>
              </w:rPr>
              <w:t>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14:paraId="63D0CC94">
            <w:pPr>
              <w:widowControl/>
              <w:ind w:firstLine="241" w:firstLineChars="100"/>
              <w:jc w:val="left"/>
              <w:outlineLvl w:val="9"/>
              <w:rPr>
                <w:rFonts w:hint="eastAsia" w:ascii="宋体" w:hAnsi="宋体" w:cs="宋体"/>
                <w:b/>
                <w:color w:val="000000"/>
                <w:kern w:val="0"/>
                <w:sz w:val="24"/>
                <w:szCs w:val="24"/>
              </w:rPr>
            </w:pPr>
            <w:r>
              <w:rPr>
                <w:rFonts w:hint="eastAsia" w:ascii="宋体" w:hAnsi="宋体"/>
                <w:b/>
                <w:sz w:val="24"/>
                <w:szCs w:val="24"/>
              </w:rPr>
              <w:t>2、</w:t>
            </w:r>
            <w:r>
              <w:rPr>
                <w:rFonts w:hint="eastAsia" w:ascii="宋体" w:hAnsi="宋体" w:cs="宋体"/>
                <w:b/>
                <w:color w:val="000000"/>
                <w:kern w:val="0"/>
                <w:sz w:val="24"/>
                <w:szCs w:val="24"/>
              </w:rPr>
              <w:t>投标人需在开标时间截止前在不见面开标大厅进行签到，开标后，因未按要求签到而造成的相关操作和流程无法正常进行的相关责任，其投标人自行负责。</w:t>
            </w:r>
          </w:p>
          <w:p w14:paraId="3D9C78B3">
            <w:pPr>
              <w:widowControl/>
              <w:ind w:firstLine="241" w:firstLineChars="100"/>
              <w:jc w:val="left"/>
              <w:outlineLvl w:val="9"/>
              <w:rPr>
                <w:rFonts w:hint="eastAsia" w:ascii="宋体" w:hAnsi="宋体" w:cs="宋体"/>
                <w:b/>
                <w:color w:val="FF0000"/>
                <w:kern w:val="0"/>
                <w:sz w:val="24"/>
                <w:szCs w:val="24"/>
                <w:lang w:bidi="en-US"/>
              </w:rPr>
            </w:pPr>
            <w:r>
              <w:rPr>
                <w:rFonts w:hint="eastAsia" w:ascii="宋体" w:hAnsi="宋体" w:cs="宋体"/>
                <w:b/>
                <w:color w:val="FF0000"/>
                <w:kern w:val="0"/>
                <w:sz w:val="24"/>
                <w:szCs w:val="24"/>
                <w:lang w:bidi="en-US"/>
              </w:rPr>
              <w:t>3、为确保开标活动顺利进行，开标之后投标单位需要在 202</w:t>
            </w:r>
            <w:r>
              <w:rPr>
                <w:rFonts w:hint="eastAsia" w:ascii="宋体" w:hAnsi="宋体" w:cs="宋体"/>
                <w:b/>
                <w:color w:val="FF0000"/>
                <w:kern w:val="0"/>
                <w:sz w:val="24"/>
                <w:szCs w:val="24"/>
                <w:lang w:val="en-US" w:eastAsia="zh-CN" w:bidi="en-US"/>
              </w:rPr>
              <w:t>4</w:t>
            </w:r>
            <w:r>
              <w:rPr>
                <w:rFonts w:hint="eastAsia" w:ascii="宋体" w:hAnsi="宋体" w:cs="宋体"/>
                <w:b/>
                <w:color w:val="FF0000"/>
                <w:kern w:val="0"/>
                <w:sz w:val="24"/>
                <w:szCs w:val="24"/>
                <w:lang w:bidi="en-US"/>
              </w:rPr>
              <w:t xml:space="preserve"> 年</w:t>
            </w:r>
            <w:r>
              <w:rPr>
                <w:rFonts w:hint="eastAsia" w:ascii="宋体" w:hAnsi="宋体" w:cs="宋体"/>
                <w:b/>
                <w:color w:val="FF0000"/>
                <w:kern w:val="0"/>
                <w:sz w:val="24"/>
                <w:szCs w:val="24"/>
                <w:lang w:val="en-US" w:eastAsia="zh-CN" w:bidi="en-US"/>
              </w:rPr>
              <w:t>12</w:t>
            </w:r>
            <w:r>
              <w:rPr>
                <w:rFonts w:hint="eastAsia" w:ascii="宋体" w:hAnsi="宋体" w:cs="宋体"/>
                <w:b/>
                <w:color w:val="FF0000"/>
                <w:kern w:val="0"/>
                <w:sz w:val="24"/>
                <w:szCs w:val="24"/>
                <w:lang w:bidi="en-US"/>
              </w:rPr>
              <w:t>月</w:t>
            </w:r>
            <w:r>
              <w:rPr>
                <w:rFonts w:hint="eastAsia" w:ascii="宋体" w:hAnsi="宋体" w:cs="宋体"/>
                <w:b/>
                <w:color w:val="FF0000"/>
                <w:kern w:val="0"/>
                <w:sz w:val="24"/>
                <w:szCs w:val="24"/>
                <w:u w:val="single"/>
                <w:lang w:val="en-US" w:eastAsia="zh-CN" w:bidi="en-US"/>
              </w:rPr>
              <w:t xml:space="preserve"> 11</w:t>
            </w:r>
            <w:bookmarkStart w:id="288" w:name="_GoBack"/>
            <w:bookmarkEnd w:id="288"/>
            <w:r>
              <w:rPr>
                <w:rFonts w:hint="eastAsia" w:ascii="宋体" w:hAnsi="宋体" w:cs="宋体"/>
                <w:b/>
                <w:color w:val="FF0000"/>
                <w:kern w:val="0"/>
                <w:sz w:val="24"/>
                <w:szCs w:val="24"/>
                <w:u w:val="single"/>
                <w:lang w:val="en-US" w:eastAsia="zh-CN" w:bidi="en-US"/>
              </w:rPr>
              <w:t xml:space="preserve">  </w:t>
            </w:r>
            <w:r>
              <w:rPr>
                <w:rFonts w:hint="eastAsia" w:ascii="宋体" w:hAnsi="宋体" w:cs="宋体"/>
                <w:b/>
                <w:color w:val="FF0000"/>
                <w:kern w:val="0"/>
                <w:sz w:val="24"/>
                <w:szCs w:val="24"/>
                <w:lang w:bidi="en-US"/>
              </w:rPr>
              <w:t>日下午15:30 时前解密投标文件，因投标人原因造成投标文件未解密的，视为撤销其投标文件。</w:t>
            </w:r>
          </w:p>
          <w:p w14:paraId="3C337EC8">
            <w:pPr>
              <w:widowControl/>
              <w:jc w:val="left"/>
              <w:outlineLvl w:val="9"/>
              <w:rPr>
                <w:rFonts w:hint="eastAsia" w:ascii="宋体" w:hAnsi="宋体" w:cs="宋体"/>
                <w:b/>
                <w:color w:val="FF0000"/>
                <w:kern w:val="0"/>
                <w:sz w:val="24"/>
                <w:szCs w:val="24"/>
                <w:lang w:eastAsia="zh-CN" w:bidi="en-US"/>
              </w:rPr>
            </w:pPr>
            <w:r>
              <w:rPr>
                <w:rFonts w:hint="eastAsia" w:ascii="宋体" w:hAnsi="宋体" w:cs="宋体"/>
                <w:b/>
                <w:color w:val="FF0000"/>
                <w:kern w:val="0"/>
                <w:sz w:val="24"/>
                <w:szCs w:val="24"/>
                <w:lang w:bidi="en-US"/>
              </w:rPr>
              <w:t xml:space="preserve"> 注：开始开标前检查自己开标设备网络稳定性，如有中途退出等问题，导致无法解密责任自行承担</w:t>
            </w:r>
            <w:r>
              <w:rPr>
                <w:rFonts w:hint="eastAsia" w:ascii="宋体" w:hAnsi="宋体" w:cs="宋体"/>
                <w:b/>
                <w:color w:val="FF0000"/>
                <w:kern w:val="0"/>
                <w:sz w:val="24"/>
                <w:szCs w:val="24"/>
                <w:lang w:eastAsia="zh-CN" w:bidi="en-US"/>
              </w:rPr>
              <w:t>。</w:t>
            </w:r>
          </w:p>
          <w:p w14:paraId="594D466F">
            <w:pPr>
              <w:pStyle w:val="2"/>
              <w:rPr>
                <w:rFonts w:hint="eastAsia"/>
                <w:lang w:val="zh-CN" w:eastAsia="zh-CN"/>
              </w:rPr>
            </w:pPr>
          </w:p>
        </w:tc>
      </w:tr>
      <w:tr w14:paraId="091716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32" w:type="dxa"/>
            <w:shd w:val="clear" w:color="auto" w:fill="auto"/>
            <w:noWrap w:val="0"/>
            <w:vAlign w:val="center"/>
          </w:tcPr>
          <w:p w14:paraId="1FA551B9">
            <w:pPr>
              <w:pStyle w:val="103"/>
              <w:ind w:right="264" w:rightChars="0"/>
              <w:jc w:val="center"/>
              <w:rPr>
                <w:rFonts w:ascii="宋体" w:hAnsi="Times New Roman" w:eastAsia="宋体" w:cs="宋体"/>
                <w:color w:val="auto"/>
                <w:sz w:val="24"/>
                <w:szCs w:val="24"/>
                <w:highlight w:val="none"/>
                <w:lang w:val="zh-CN" w:eastAsia="en-US" w:bidi="en-US"/>
              </w:rPr>
            </w:pPr>
            <w:r>
              <w:rPr>
                <w:rFonts w:ascii="仿宋_GB2312" w:hAnsi="仿宋_GB2312" w:eastAsia="仿宋_GB2312" w:cs="仿宋_GB2312"/>
                <w:sz w:val="21"/>
                <w:szCs w:val="21"/>
                <w:lang w:eastAsia="zh-CN"/>
              </w:rPr>
              <w:t>22</w:t>
            </w:r>
          </w:p>
        </w:tc>
        <w:tc>
          <w:tcPr>
            <w:tcW w:w="2196" w:type="dxa"/>
            <w:noWrap w:val="0"/>
            <w:vAlign w:val="center"/>
          </w:tcPr>
          <w:p w14:paraId="4DEBDF02">
            <w:pPr>
              <w:pStyle w:val="103"/>
              <w:spacing w:line="360" w:lineRule="auto"/>
              <w:jc w:val="center"/>
              <w:rPr>
                <w:color w:val="auto"/>
                <w:highlight w:val="none"/>
                <w:lang w:val="zh-CN"/>
              </w:rPr>
            </w:pPr>
            <w:r>
              <w:rPr>
                <w:rFonts w:hint="eastAsia"/>
                <w:color w:val="auto"/>
                <w:highlight w:val="none"/>
                <w:lang w:val="zh-CN"/>
              </w:rPr>
              <w:t>电子投标文件的签字、盖章</w:t>
            </w:r>
          </w:p>
        </w:tc>
        <w:tc>
          <w:tcPr>
            <w:tcW w:w="6599" w:type="dxa"/>
            <w:noWrap w:val="0"/>
            <w:vAlign w:val="center"/>
          </w:tcPr>
          <w:p w14:paraId="5F8CEAB3">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color w:val="auto"/>
                <w:highlight w:val="none"/>
                <w:lang w:val="zh-CN"/>
              </w:rPr>
            </w:pPr>
            <w:r>
              <w:rPr>
                <w:rFonts w:hint="eastAsia" w:cs="宋体"/>
                <w:color w:val="auto"/>
                <w:sz w:val="24"/>
                <w:szCs w:val="24"/>
                <w:highlight w:val="none"/>
                <w:lang w:val="en-US" w:eastAsia="zh-CN"/>
              </w:rPr>
              <w:t xml:space="preserve">  </w:t>
            </w:r>
            <w:r>
              <w:rPr>
                <w:rFonts w:hint="eastAsia" w:hAnsi="宋体" w:cs="宋体"/>
                <w:color w:val="auto"/>
                <w:sz w:val="24"/>
                <w:szCs w:val="24"/>
                <w:highlight w:val="none"/>
              </w:rPr>
              <w:t>投标人在投标文件及相关文件的签订、履行、通知等事项的书面文件中的单位盖章、印章、公章等处均仅指与当事人名称全称相一致的标准公章或</w:t>
            </w:r>
            <w:r>
              <w:rPr>
                <w:rFonts w:hint="eastAsia" w:hAnsi="宋体" w:cs="宋体"/>
                <w:color w:val="auto"/>
                <w:sz w:val="24"/>
                <w:szCs w:val="24"/>
                <w:highlight w:val="none"/>
                <w:lang w:eastAsia="zh-CN"/>
              </w:rPr>
              <w:t>具有法定效力的</w:t>
            </w:r>
            <w:r>
              <w:rPr>
                <w:rFonts w:hint="eastAsia" w:hAnsi="宋体" w:cs="宋体"/>
                <w:color w:val="auto"/>
                <w:sz w:val="24"/>
                <w:szCs w:val="24"/>
                <w:highlight w:val="none"/>
              </w:rPr>
              <w:t>电子签章，不得使用其它形式（如带有“专用章”等字样的印章）。投标人的法定代表人或</w:t>
            </w:r>
            <w:r>
              <w:rPr>
                <w:rFonts w:hint="default" w:cs="宋体"/>
                <w:color w:val="auto"/>
                <w:sz w:val="24"/>
                <w:szCs w:val="24"/>
                <w:highlight w:val="none"/>
                <w:lang w:val="en"/>
              </w:rPr>
              <w:t>授权代表</w:t>
            </w:r>
            <w:r>
              <w:rPr>
                <w:rFonts w:hint="eastAsia" w:hAnsi="宋体" w:cs="宋体"/>
                <w:color w:val="auto"/>
                <w:sz w:val="24"/>
                <w:szCs w:val="24"/>
                <w:highlight w:val="none"/>
              </w:rPr>
              <w:t>签字或盖</w:t>
            </w:r>
            <w:r>
              <w:rPr>
                <w:rFonts w:hint="eastAsia" w:hAnsi="宋体" w:cs="宋体"/>
                <w:color w:val="auto"/>
                <w:sz w:val="24"/>
                <w:szCs w:val="24"/>
                <w:highlight w:val="none"/>
                <w:lang w:eastAsia="zh-CN"/>
              </w:rPr>
              <w:t>章等处仅指与法定代表人或者</w:t>
            </w:r>
            <w:r>
              <w:rPr>
                <w:rFonts w:hint="default" w:cs="宋体"/>
                <w:color w:val="auto"/>
                <w:sz w:val="24"/>
                <w:szCs w:val="24"/>
                <w:highlight w:val="none"/>
                <w:lang w:val="en" w:eastAsia="zh-CN"/>
              </w:rPr>
              <w:t>授权代表</w:t>
            </w:r>
            <w:r>
              <w:rPr>
                <w:rFonts w:hint="eastAsia" w:hAnsi="宋体" w:cs="宋体"/>
                <w:color w:val="auto"/>
                <w:sz w:val="24"/>
                <w:szCs w:val="24"/>
                <w:highlight w:val="none"/>
                <w:lang w:eastAsia="zh-CN"/>
              </w:rPr>
              <w:t>名称相一致的签名或盖具有法定效力的</w:t>
            </w:r>
            <w:r>
              <w:rPr>
                <w:rFonts w:hint="eastAsia" w:hAnsi="宋体" w:cs="宋体"/>
                <w:color w:val="auto"/>
                <w:sz w:val="24"/>
                <w:szCs w:val="24"/>
                <w:highlight w:val="none"/>
              </w:rPr>
              <w:t>个人印鉴</w:t>
            </w:r>
            <w:r>
              <w:rPr>
                <w:rFonts w:hint="eastAsia" w:hAnsi="宋体" w:cs="宋体"/>
                <w:color w:val="auto"/>
                <w:sz w:val="24"/>
                <w:szCs w:val="24"/>
                <w:highlight w:val="none"/>
                <w:lang w:eastAsia="zh-CN"/>
              </w:rPr>
              <w:t>或签字章或电子章，</w:t>
            </w:r>
            <w:r>
              <w:rPr>
                <w:rFonts w:hint="eastAsia" w:hAnsi="宋体" w:cs="宋体"/>
                <w:color w:val="auto"/>
                <w:sz w:val="24"/>
                <w:szCs w:val="24"/>
                <w:highlight w:val="none"/>
              </w:rPr>
              <w:t>不符合本条规定的投标将被拒绝。</w:t>
            </w:r>
          </w:p>
        </w:tc>
      </w:tr>
      <w:tr w14:paraId="48A5D3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32" w:type="dxa"/>
            <w:shd w:val="clear" w:color="auto" w:fill="auto"/>
            <w:noWrap w:val="0"/>
            <w:vAlign w:val="center"/>
          </w:tcPr>
          <w:p w14:paraId="3B61B847">
            <w:pPr>
              <w:pStyle w:val="103"/>
              <w:ind w:right="264" w:rightChars="0"/>
              <w:jc w:val="center"/>
              <w:rPr>
                <w:rFonts w:hint="eastAsia" w:ascii="宋体" w:hAnsi="Times New Roman" w:eastAsia="宋体" w:cs="Arial"/>
                <w:color w:val="auto"/>
                <w:sz w:val="24"/>
                <w:szCs w:val="24"/>
                <w:highlight w:val="none"/>
                <w:lang w:val="zh-CN" w:eastAsia="en-US" w:bidi="en-US"/>
              </w:rPr>
            </w:pPr>
            <w:r>
              <w:rPr>
                <w:rFonts w:hint="eastAsia" w:ascii="仿宋_GB2312" w:hAnsi="仿宋_GB2312" w:eastAsia="仿宋_GB2312" w:cs="仿宋_GB2312"/>
                <w:sz w:val="21"/>
                <w:szCs w:val="21"/>
                <w:lang w:val="en-US" w:eastAsia="zh-CN"/>
              </w:rPr>
              <w:t>23</w:t>
            </w:r>
          </w:p>
        </w:tc>
        <w:tc>
          <w:tcPr>
            <w:tcW w:w="2196" w:type="dxa"/>
            <w:noWrap w:val="0"/>
            <w:vAlign w:val="center"/>
          </w:tcPr>
          <w:p w14:paraId="593E5511">
            <w:pPr>
              <w:pStyle w:val="103"/>
              <w:spacing w:line="360" w:lineRule="auto"/>
              <w:jc w:val="center"/>
              <w:rPr>
                <w:rFonts w:cs="Arial"/>
                <w:color w:val="auto"/>
                <w:highlight w:val="none"/>
                <w:lang w:val="zh-CN"/>
              </w:rPr>
            </w:pPr>
            <w:r>
              <w:rPr>
                <w:rFonts w:hint="eastAsia"/>
                <w:color w:val="auto"/>
                <w:highlight w:val="none"/>
                <w:lang w:val="zh-CN"/>
              </w:rPr>
              <w:t>开标时间和地点</w:t>
            </w:r>
          </w:p>
        </w:tc>
        <w:tc>
          <w:tcPr>
            <w:tcW w:w="6599" w:type="dxa"/>
            <w:noWrap w:val="0"/>
            <w:vAlign w:val="center"/>
          </w:tcPr>
          <w:p w14:paraId="24267BF4">
            <w:pPr>
              <w:pStyle w:val="103"/>
              <w:spacing w:line="360" w:lineRule="auto"/>
              <w:ind w:firstLine="240" w:firstLineChars="100"/>
              <w:rPr>
                <w:color w:val="auto"/>
                <w:highlight w:val="none"/>
                <w:lang w:val="zh-CN"/>
              </w:rPr>
            </w:pPr>
            <w:r>
              <w:rPr>
                <w:rFonts w:hint="eastAsia"/>
                <w:color w:val="auto"/>
                <w:highlight w:val="none"/>
                <w:lang w:val="zh-CN"/>
              </w:rPr>
              <w:t>开标时间：同</w:t>
            </w:r>
            <w:r>
              <w:rPr>
                <w:rFonts w:hint="eastAsia"/>
                <w:color w:val="auto"/>
                <w:highlight w:val="none"/>
                <w:lang w:val="en-US" w:eastAsia="zh-CN"/>
              </w:rPr>
              <w:t>招标公告中</w:t>
            </w:r>
            <w:r>
              <w:rPr>
                <w:rFonts w:hint="eastAsia"/>
                <w:color w:val="auto"/>
                <w:highlight w:val="none"/>
                <w:lang w:val="zh-CN"/>
              </w:rPr>
              <w:t>投标截止时间。</w:t>
            </w:r>
          </w:p>
          <w:p w14:paraId="3C3D617E">
            <w:pPr>
              <w:pStyle w:val="103"/>
              <w:spacing w:line="360" w:lineRule="auto"/>
              <w:ind w:firstLine="240" w:firstLineChars="100"/>
              <w:rPr>
                <w:color w:val="auto"/>
                <w:highlight w:val="none"/>
                <w:lang w:val="zh-CN"/>
              </w:rPr>
            </w:pPr>
            <w:r>
              <w:rPr>
                <w:rFonts w:hint="eastAsia"/>
                <w:color w:val="auto"/>
                <w:highlight w:val="none"/>
                <w:lang w:val="zh-CN"/>
              </w:rPr>
              <w:t>开标地点：</w:t>
            </w:r>
            <w:r>
              <w:rPr>
                <w:rFonts w:hint="eastAsia"/>
                <w:strike w:val="0"/>
                <w:dstrike w:val="0"/>
                <w:color w:val="auto"/>
                <w:highlight w:val="none"/>
                <w:lang w:val="zh-CN" w:eastAsia="zh-CN"/>
              </w:rPr>
              <w:t>同</w:t>
            </w:r>
            <w:r>
              <w:rPr>
                <w:rFonts w:hint="eastAsia"/>
                <w:strike w:val="0"/>
                <w:dstrike w:val="0"/>
                <w:color w:val="auto"/>
                <w:highlight w:val="none"/>
                <w:lang w:val="en-US" w:eastAsia="zh-CN"/>
              </w:rPr>
              <w:t>招标公告</w:t>
            </w:r>
            <w:r>
              <w:rPr>
                <w:rFonts w:hint="eastAsia"/>
                <w:strike w:val="0"/>
                <w:dstrike w:val="0"/>
                <w:color w:val="auto"/>
                <w:highlight w:val="none"/>
                <w:lang w:val="zh-CN" w:eastAsia="zh-CN"/>
              </w:rPr>
              <w:t>中的开标地点</w:t>
            </w:r>
          </w:p>
        </w:tc>
      </w:tr>
      <w:tr w14:paraId="205E17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0" w:hRule="exact"/>
          <w:jc w:val="center"/>
        </w:trPr>
        <w:tc>
          <w:tcPr>
            <w:tcW w:w="832" w:type="dxa"/>
            <w:shd w:val="clear" w:color="auto" w:fill="auto"/>
            <w:noWrap w:val="0"/>
            <w:vAlign w:val="center"/>
          </w:tcPr>
          <w:p w14:paraId="04C5E857">
            <w:pPr>
              <w:pStyle w:val="103"/>
              <w:ind w:right="264" w:rightChars="0"/>
              <w:jc w:val="center"/>
              <w:rPr>
                <w:rFonts w:hint="eastAsia" w:ascii="宋体" w:hAnsi="Times New Roman" w:eastAsia="宋体" w:cs="Courier New"/>
                <w:color w:val="auto"/>
                <w:sz w:val="24"/>
                <w:szCs w:val="24"/>
                <w:highlight w:val="none"/>
                <w:lang w:val="zh-CN" w:eastAsia="en-US" w:bidi="en-US"/>
              </w:rPr>
            </w:pPr>
            <w:r>
              <w:rPr>
                <w:rFonts w:hint="eastAsia" w:ascii="仿宋_GB2312" w:hAnsi="仿宋_GB2312" w:eastAsia="仿宋_GB2312" w:cs="仿宋_GB2312"/>
                <w:sz w:val="21"/>
                <w:szCs w:val="21"/>
                <w:lang w:val="en-US" w:eastAsia="zh-CN"/>
              </w:rPr>
              <w:t>24</w:t>
            </w:r>
          </w:p>
        </w:tc>
        <w:tc>
          <w:tcPr>
            <w:tcW w:w="2196" w:type="dxa"/>
            <w:noWrap w:val="0"/>
            <w:vAlign w:val="center"/>
          </w:tcPr>
          <w:p w14:paraId="43785A2F">
            <w:pPr>
              <w:pStyle w:val="103"/>
              <w:jc w:val="center"/>
              <w:outlineLvl w:val="9"/>
              <w:rPr>
                <w:rFonts w:hint="eastAsia"/>
                <w:b w:val="0"/>
                <w:bCs w:val="0"/>
                <w:color w:val="auto"/>
                <w:sz w:val="24"/>
                <w:szCs w:val="24"/>
                <w:highlight w:val="none"/>
                <w:lang w:val="zh-CN"/>
              </w:rPr>
            </w:pPr>
            <w:r>
              <w:rPr>
                <w:rFonts w:hint="eastAsia" w:hAnsi="宋体"/>
                <w:sz w:val="24"/>
                <w:szCs w:val="24"/>
                <w:lang w:eastAsia="zh-CN"/>
              </w:rPr>
              <w:t>代理费用的收取标准和方式</w:t>
            </w:r>
          </w:p>
        </w:tc>
        <w:tc>
          <w:tcPr>
            <w:tcW w:w="6599" w:type="dxa"/>
            <w:noWrap w:val="0"/>
            <w:vAlign w:val="center"/>
          </w:tcPr>
          <w:p w14:paraId="5F03FCB0">
            <w:pPr>
              <w:spacing w:after="50" w:line="420" w:lineRule="exact"/>
              <w:jc w:val="left"/>
              <w:outlineLvl w:val="9"/>
              <w:rPr>
                <w:rFonts w:hAnsi="宋体"/>
                <w:b w:val="0"/>
                <w:bCs w:val="0"/>
                <w:color w:val="auto"/>
                <w:sz w:val="24"/>
                <w:szCs w:val="24"/>
                <w:highlight w:val="none"/>
              </w:rPr>
            </w:pPr>
            <w:r>
              <w:rPr>
                <w:rFonts w:hint="eastAsia" w:ascii="宋体" w:hAnsi="宋体" w:cs="宋体"/>
                <w:b/>
                <w:bCs/>
                <w:sz w:val="24"/>
                <w:szCs w:val="24"/>
                <w:lang w:val="zh-CN"/>
              </w:rPr>
              <w:t>集采机构不收取采购代理服务费,请各投标人在报价时充分考虑。</w:t>
            </w:r>
          </w:p>
        </w:tc>
      </w:tr>
      <w:tr w14:paraId="3CFF3A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5" w:hRule="exact"/>
          <w:jc w:val="center"/>
        </w:trPr>
        <w:tc>
          <w:tcPr>
            <w:tcW w:w="832" w:type="dxa"/>
            <w:shd w:val="clear" w:color="auto" w:fill="auto"/>
            <w:noWrap w:val="0"/>
            <w:vAlign w:val="center"/>
          </w:tcPr>
          <w:p w14:paraId="21AA2E54">
            <w:pPr>
              <w:pStyle w:val="103"/>
              <w:ind w:right="264" w:rightChars="0"/>
              <w:jc w:val="center"/>
              <w:rPr>
                <w:rFonts w:hint="eastAsia" w:ascii="宋体" w:hAnsi="宋体" w:eastAsia="宋体" w:cs="Courier New"/>
                <w:color w:val="auto"/>
                <w:sz w:val="24"/>
                <w:szCs w:val="24"/>
                <w:highlight w:val="none"/>
                <w:lang w:val="en-US" w:eastAsia="zh-CN" w:bidi="en-US"/>
              </w:rPr>
            </w:pPr>
            <w:r>
              <w:rPr>
                <w:rFonts w:hint="eastAsia" w:ascii="仿宋_GB2312" w:hAnsi="仿宋_GB2312" w:eastAsia="仿宋_GB2312" w:cs="仿宋_GB2312"/>
                <w:sz w:val="21"/>
                <w:szCs w:val="21"/>
                <w:lang w:val="en-US" w:eastAsia="zh-CN"/>
              </w:rPr>
              <w:t>25</w:t>
            </w:r>
          </w:p>
        </w:tc>
        <w:tc>
          <w:tcPr>
            <w:tcW w:w="2196" w:type="dxa"/>
            <w:noWrap w:val="0"/>
            <w:vAlign w:val="center"/>
          </w:tcPr>
          <w:p w14:paraId="0A9FD838">
            <w:pPr>
              <w:pStyle w:val="103"/>
              <w:jc w:val="center"/>
              <w:outlineLvl w:val="9"/>
              <w:rPr>
                <w:rFonts w:hint="eastAsia" w:ascii="宋体" w:hAnsi="宋体" w:eastAsia="宋体" w:cs="Times New Roman"/>
                <w:color w:val="auto"/>
                <w:kern w:val="2"/>
                <w:sz w:val="24"/>
                <w:szCs w:val="24"/>
                <w:highlight w:val="none"/>
                <w:lang w:val="zh-CN" w:eastAsia="zh-CN"/>
              </w:rPr>
            </w:pPr>
            <w:r>
              <w:rPr>
                <w:rFonts w:hint="eastAsia" w:hAnsi="宋体"/>
                <w:b/>
                <w:bCs/>
                <w:sz w:val="24"/>
                <w:szCs w:val="24"/>
                <w:lang w:val="zh-CN" w:eastAsia="zh-CN"/>
              </w:rPr>
              <w:t>评标委员会</w:t>
            </w:r>
          </w:p>
        </w:tc>
        <w:tc>
          <w:tcPr>
            <w:tcW w:w="6599" w:type="dxa"/>
            <w:noWrap w:val="0"/>
            <w:vAlign w:val="center"/>
          </w:tcPr>
          <w:p w14:paraId="4D3930D7">
            <w:pPr>
              <w:pStyle w:val="109"/>
              <w:spacing w:line="460" w:lineRule="exact"/>
              <w:ind w:left="1" w:leftChars="0" w:firstLine="480" w:firstLineChars="200"/>
              <w:outlineLvl w:val="9"/>
              <w:rPr>
                <w:rFonts w:hint="eastAsia" w:ascii="宋体" w:hAnsi="宋体" w:eastAsia="宋体" w:cs="Times New Roman"/>
                <w:b/>
                <w:bCs/>
                <w:smallCaps/>
                <w:color w:val="auto"/>
                <w:kern w:val="2"/>
                <w:sz w:val="24"/>
                <w:szCs w:val="24"/>
                <w:highlight w:val="none"/>
                <w:lang w:val="en-US" w:eastAsia="zh-CN"/>
              </w:rPr>
            </w:pPr>
            <w:r>
              <w:rPr>
                <w:rFonts w:hint="eastAsia" w:hAnsi="宋体" w:cs="宋体"/>
                <w:sz w:val="24"/>
                <w:szCs w:val="24"/>
              </w:rPr>
              <w:t>评标委员会由采购人代表和评标专家共</w:t>
            </w:r>
            <w:r>
              <w:rPr>
                <w:rFonts w:hint="eastAsia" w:hAnsi="宋体" w:cs="宋体"/>
                <w:sz w:val="24"/>
                <w:szCs w:val="24"/>
                <w:lang w:val="en-US" w:eastAsia="zh-CN"/>
              </w:rPr>
              <w:t>5</w:t>
            </w:r>
            <w:r>
              <w:rPr>
                <w:rFonts w:hint="eastAsia" w:hAnsi="宋体" w:cs="宋体"/>
                <w:sz w:val="24"/>
                <w:szCs w:val="24"/>
              </w:rPr>
              <w:t>人单数组成。其中：采购人代表1人，在陇南市公共资源交易中心政府采购专家库中随机抽取行业专家</w:t>
            </w:r>
            <w:r>
              <w:rPr>
                <w:rFonts w:hint="eastAsia" w:hAnsi="宋体" w:cs="宋体"/>
                <w:sz w:val="24"/>
                <w:szCs w:val="24"/>
                <w:lang w:val="en-US" w:eastAsia="zh-CN"/>
              </w:rPr>
              <w:t>4</w:t>
            </w:r>
            <w:r>
              <w:rPr>
                <w:rFonts w:hint="eastAsia" w:hAnsi="宋体" w:cs="宋体"/>
                <w:sz w:val="24"/>
                <w:szCs w:val="24"/>
              </w:rPr>
              <w:t>人。</w:t>
            </w:r>
          </w:p>
        </w:tc>
      </w:tr>
      <w:tr w14:paraId="7D9D9C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15" w:hRule="exact"/>
          <w:jc w:val="center"/>
        </w:trPr>
        <w:tc>
          <w:tcPr>
            <w:tcW w:w="832" w:type="dxa"/>
            <w:shd w:val="clear" w:color="auto" w:fill="auto"/>
            <w:noWrap w:val="0"/>
            <w:vAlign w:val="center"/>
          </w:tcPr>
          <w:p w14:paraId="057845A7">
            <w:pPr>
              <w:pStyle w:val="103"/>
              <w:ind w:right="264" w:rightChars="0"/>
              <w:jc w:val="center"/>
              <w:rPr>
                <w:rFonts w:hint="eastAsia" w:ascii="宋体" w:hAnsi="宋体" w:eastAsia="宋体" w:cs="Courier New"/>
                <w:color w:val="auto"/>
                <w:sz w:val="24"/>
                <w:szCs w:val="24"/>
                <w:highlight w:val="none"/>
                <w:lang w:val="en-US" w:eastAsia="zh-CN" w:bidi="en-US"/>
              </w:rPr>
            </w:pPr>
            <w:r>
              <w:rPr>
                <w:rFonts w:hint="eastAsia" w:ascii="仿宋_GB2312" w:hAnsi="仿宋_GB2312" w:eastAsia="仿宋_GB2312" w:cs="仿宋_GB2312"/>
                <w:sz w:val="21"/>
                <w:szCs w:val="21"/>
                <w:lang w:val="en-US" w:eastAsia="zh-CN"/>
              </w:rPr>
              <w:t>26</w:t>
            </w:r>
          </w:p>
        </w:tc>
        <w:tc>
          <w:tcPr>
            <w:tcW w:w="2196" w:type="dxa"/>
            <w:noWrap w:val="0"/>
            <w:vAlign w:val="center"/>
          </w:tcPr>
          <w:p w14:paraId="339FD280">
            <w:pPr>
              <w:pStyle w:val="103"/>
              <w:spacing w:line="360" w:lineRule="auto"/>
              <w:jc w:val="center"/>
              <w:rPr>
                <w:rFonts w:hint="eastAsia" w:ascii="宋体" w:hAnsi="宋体" w:eastAsia="宋体" w:cs="Times New Roman"/>
                <w:color w:val="auto"/>
                <w:kern w:val="2"/>
                <w:sz w:val="24"/>
                <w:szCs w:val="24"/>
                <w:highlight w:val="none"/>
                <w:lang w:val="zh-CN" w:eastAsia="zh-CN"/>
              </w:rPr>
            </w:pPr>
            <w:r>
              <w:rPr>
                <w:rFonts w:hint="eastAsia"/>
                <w:color w:val="auto"/>
                <w:highlight w:val="none"/>
                <w:lang w:val="zh-CN"/>
              </w:rPr>
              <w:t>评标原则</w:t>
            </w:r>
          </w:p>
        </w:tc>
        <w:tc>
          <w:tcPr>
            <w:tcW w:w="6599" w:type="dxa"/>
            <w:noWrap w:val="0"/>
            <w:vAlign w:val="center"/>
          </w:tcPr>
          <w:p w14:paraId="762DB465">
            <w:pPr>
              <w:autoSpaceDE w:val="0"/>
              <w:autoSpaceDN w:val="0"/>
              <w:adjustRightInd w:val="0"/>
              <w:spacing w:line="360" w:lineRule="auto"/>
              <w:jc w:val="both"/>
              <w:rPr>
                <w:rFonts w:hint="eastAsia" w:ascii="宋体" w:hAnsi="Times New Roman" w:eastAsia="宋体" w:cs="Times New Roman"/>
                <w:color w:val="auto"/>
                <w:kern w:val="2"/>
                <w:sz w:val="34"/>
                <w:highlight w:val="none"/>
                <w:lang w:val="en-US" w:eastAsia="zh-CN"/>
              </w:rPr>
            </w:pPr>
            <w:r>
              <w:rPr>
                <w:rFonts w:hint="eastAsia" w:ascii="宋体" w:hAnsi="宋体" w:eastAsia="宋体" w:cs="宋体"/>
                <w:color w:val="auto"/>
                <w:sz w:val="24"/>
                <w:szCs w:val="24"/>
                <w:highlight w:val="none"/>
                <w:lang w:val="en-US" w:eastAsia="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35FD4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5" w:hRule="exact"/>
          <w:jc w:val="center"/>
        </w:trPr>
        <w:tc>
          <w:tcPr>
            <w:tcW w:w="832" w:type="dxa"/>
            <w:shd w:val="clear" w:color="auto" w:fill="auto"/>
            <w:noWrap w:val="0"/>
            <w:vAlign w:val="center"/>
          </w:tcPr>
          <w:p w14:paraId="20A2A919">
            <w:pPr>
              <w:pStyle w:val="103"/>
              <w:ind w:right="264" w:rightChars="0"/>
              <w:jc w:val="center"/>
              <w:rPr>
                <w:rFonts w:hint="eastAsia" w:ascii="宋体" w:hAnsi="Times New Roman" w:eastAsia="宋体" w:cs="Courier New"/>
                <w:color w:val="auto"/>
                <w:sz w:val="24"/>
                <w:szCs w:val="24"/>
                <w:highlight w:val="none"/>
                <w:lang w:val="zh-CN" w:eastAsia="zh-CN" w:bidi="en-US"/>
              </w:rPr>
            </w:pPr>
            <w:r>
              <w:rPr>
                <w:rFonts w:hint="eastAsia" w:ascii="仿宋_GB2312" w:hAnsi="仿宋_GB2312" w:eastAsia="仿宋_GB2312" w:cs="仿宋_GB2312"/>
                <w:sz w:val="21"/>
                <w:szCs w:val="21"/>
                <w:lang w:val="en-US" w:eastAsia="zh-CN"/>
              </w:rPr>
              <w:t>27</w:t>
            </w:r>
          </w:p>
        </w:tc>
        <w:tc>
          <w:tcPr>
            <w:tcW w:w="2196" w:type="dxa"/>
            <w:noWrap w:val="0"/>
            <w:vAlign w:val="center"/>
          </w:tcPr>
          <w:p w14:paraId="6CEFF3EF">
            <w:pPr>
              <w:pStyle w:val="103"/>
              <w:spacing w:line="360" w:lineRule="auto"/>
              <w:jc w:val="center"/>
              <w:rPr>
                <w:b w:val="0"/>
                <w:bCs w:val="0"/>
                <w:color w:val="auto"/>
                <w:highlight w:val="none"/>
                <w:lang w:val="zh-CN"/>
              </w:rPr>
            </w:pPr>
            <w:r>
              <w:rPr>
                <w:rFonts w:hint="eastAsia"/>
                <w:b w:val="0"/>
                <w:bCs w:val="0"/>
                <w:color w:val="auto"/>
                <w:highlight w:val="none"/>
                <w:lang w:val="zh-CN"/>
              </w:rPr>
              <w:t>评标方法</w:t>
            </w:r>
          </w:p>
        </w:tc>
        <w:tc>
          <w:tcPr>
            <w:tcW w:w="6599" w:type="dxa"/>
            <w:noWrap w:val="0"/>
            <w:vAlign w:val="center"/>
          </w:tcPr>
          <w:p w14:paraId="4A5D63EE">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0" w:firstLineChars="0"/>
              <w:textAlignment w:val="auto"/>
              <w:outlineLvl w:val="9"/>
              <w:rPr>
                <w:rFonts w:hint="eastAsia" w:ascii="宋体" w:hAnsi="宋体" w:eastAsia="宋体" w:cs="Times New Roman"/>
                <w:b w:val="0"/>
                <w:bCs w:val="0"/>
                <w:color w:val="auto"/>
                <w:kern w:val="2"/>
                <w:sz w:val="24"/>
                <w:szCs w:val="24"/>
                <w:highlight w:val="none"/>
                <w:lang w:val="en-US" w:eastAsia="zh-CN"/>
              </w:rPr>
            </w:pPr>
            <w:r>
              <w:rPr>
                <w:rFonts w:hint="eastAsia" w:hAnsi="宋体"/>
                <w:b w:val="0"/>
                <w:bCs w:val="0"/>
                <w:color w:val="auto"/>
                <w:sz w:val="24"/>
                <w:szCs w:val="24"/>
                <w:highlight w:val="none"/>
              </w:rPr>
              <w:t xml:space="preserve">   </w:t>
            </w:r>
            <w:r>
              <w:rPr>
                <w:rFonts w:hint="eastAsia" w:ascii="宋体" w:hAnsi="宋体" w:eastAsia="宋体" w:cs="Times New Roman"/>
                <w:b w:val="0"/>
                <w:bCs w:val="0"/>
                <w:color w:val="auto"/>
                <w:kern w:val="2"/>
                <w:sz w:val="24"/>
                <w:szCs w:val="24"/>
                <w:highlight w:val="none"/>
                <w:lang w:val="en-US" w:eastAsia="zh-CN"/>
              </w:rPr>
              <w:t xml:space="preserve">（ </w:t>
            </w:r>
            <w:r>
              <w:rPr>
                <w:rFonts w:hint="default" w:ascii="Arial" w:hAnsi="Arial" w:eastAsia="宋体" w:cs="Arial"/>
                <w:b w:val="0"/>
                <w:bCs w:val="0"/>
                <w:color w:val="auto"/>
                <w:kern w:val="2"/>
                <w:sz w:val="24"/>
                <w:szCs w:val="24"/>
                <w:highlight w:val="none"/>
                <w:lang w:val="en-US" w:eastAsia="zh-CN"/>
              </w:rPr>
              <w:t>√</w:t>
            </w:r>
            <w:r>
              <w:rPr>
                <w:rFonts w:hint="eastAsia" w:ascii="宋体" w:hAnsi="宋体" w:eastAsia="宋体" w:cs="Times New Roman"/>
                <w:b w:val="0"/>
                <w:bCs w:val="0"/>
                <w:color w:val="auto"/>
                <w:kern w:val="2"/>
                <w:sz w:val="24"/>
                <w:szCs w:val="24"/>
                <w:highlight w:val="none"/>
                <w:lang w:val="en-US" w:eastAsia="zh-CN"/>
              </w:rPr>
              <w:t xml:space="preserve"> ）综合评分法    </w:t>
            </w:r>
          </w:p>
          <w:p w14:paraId="6B1F3E8D">
            <w:pPr>
              <w:pStyle w:val="2"/>
              <w:keepNext w:val="0"/>
              <w:keepLines w:val="0"/>
              <w:pageBreakBefore w:val="0"/>
              <w:widowControl w:val="0"/>
              <w:tabs>
                <w:tab w:val="right" w:leader="dot" w:pos="8400"/>
              </w:tabs>
              <w:kinsoku/>
              <w:wordWrap/>
              <w:overflowPunct/>
              <w:topLinePunct w:val="0"/>
              <w:bidi w:val="0"/>
              <w:snapToGrid/>
              <w:spacing w:line="360" w:lineRule="auto"/>
              <w:ind w:right="0" w:rightChars="0" w:firstLine="0" w:firstLineChars="0"/>
              <w:textAlignment w:val="auto"/>
              <w:outlineLvl w:val="9"/>
              <w:rPr>
                <w:rFonts w:hint="eastAsia" w:ascii="宋体" w:hAnsi="宋体" w:eastAsia="宋体" w:cs="Times New Roman"/>
                <w:b w:val="0"/>
                <w:bCs w:val="0"/>
                <w:color w:val="auto"/>
                <w:kern w:val="2"/>
                <w:sz w:val="24"/>
                <w:szCs w:val="24"/>
                <w:highlight w:val="none"/>
                <w:lang w:val="en-US" w:eastAsia="zh-CN"/>
              </w:rPr>
            </w:pPr>
            <w:r>
              <w:rPr>
                <w:rFonts w:hint="eastAsia" w:ascii="宋体" w:hAnsi="宋体" w:eastAsia="宋体" w:cs="Times New Roman"/>
                <w:b w:val="0"/>
                <w:bCs w:val="0"/>
                <w:color w:val="auto"/>
                <w:kern w:val="2"/>
                <w:sz w:val="24"/>
                <w:szCs w:val="24"/>
                <w:highlight w:val="none"/>
                <w:lang w:val="en-US" w:eastAsia="zh-CN"/>
              </w:rPr>
              <w:t xml:space="preserve"> </w:t>
            </w:r>
            <w:r>
              <w:rPr>
                <w:rFonts w:hint="eastAsia" w:cs="Times New Roman"/>
                <w:b w:val="0"/>
                <w:bCs w:val="0"/>
                <w:color w:val="auto"/>
                <w:kern w:val="2"/>
                <w:sz w:val="24"/>
                <w:szCs w:val="24"/>
                <w:highlight w:val="none"/>
                <w:lang w:val="en-US" w:eastAsia="zh-CN"/>
              </w:rPr>
              <w:t xml:space="preserve"> </w:t>
            </w:r>
            <w:r>
              <w:rPr>
                <w:rFonts w:hint="eastAsia" w:ascii="宋体" w:hAnsi="宋体" w:eastAsia="宋体" w:cs="Times New Roman"/>
                <w:b w:val="0"/>
                <w:bCs w:val="0"/>
                <w:color w:val="auto"/>
                <w:kern w:val="2"/>
                <w:sz w:val="24"/>
                <w:szCs w:val="24"/>
                <w:highlight w:val="none"/>
                <w:lang w:val="en-US" w:eastAsia="zh-CN"/>
              </w:rPr>
              <w:t>（   ）最低评标价法</w:t>
            </w:r>
          </w:p>
          <w:p w14:paraId="668173F2">
            <w:pPr>
              <w:autoSpaceDE w:val="0"/>
              <w:autoSpaceDN w:val="0"/>
              <w:adjustRightIn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定标方式：由评标委员会推荐，采购单位按照评标报告推荐的顺序确定中标单位。</w:t>
            </w:r>
          </w:p>
          <w:p w14:paraId="3E3BDD28">
            <w:pPr>
              <w:autoSpaceDE w:val="0"/>
              <w:autoSpaceDN w:val="0"/>
              <w:adjustRightInd w:val="0"/>
              <w:spacing w:line="360" w:lineRule="auto"/>
              <w:ind w:left="286" w:leftChars="136"/>
              <w:jc w:val="center"/>
              <w:rPr>
                <w:rFonts w:hAnsi="宋体"/>
                <w:b w:val="0"/>
                <w:bCs w:val="0"/>
                <w:color w:val="auto"/>
                <w:sz w:val="24"/>
                <w:szCs w:val="24"/>
                <w:highlight w:val="none"/>
              </w:rPr>
            </w:pPr>
          </w:p>
          <w:p w14:paraId="4E915A98">
            <w:pPr>
              <w:autoSpaceDE w:val="0"/>
              <w:autoSpaceDN w:val="0"/>
              <w:adjustRightInd w:val="0"/>
              <w:spacing w:line="360" w:lineRule="auto"/>
              <w:ind w:left="286" w:leftChars="136"/>
              <w:jc w:val="center"/>
              <w:rPr>
                <w:rFonts w:hAnsi="宋体"/>
                <w:b w:val="0"/>
                <w:bCs w:val="0"/>
                <w:color w:val="auto"/>
                <w:sz w:val="24"/>
                <w:szCs w:val="24"/>
                <w:highlight w:val="none"/>
              </w:rPr>
            </w:pPr>
          </w:p>
          <w:p w14:paraId="2640A108">
            <w:pPr>
              <w:autoSpaceDE w:val="0"/>
              <w:autoSpaceDN w:val="0"/>
              <w:adjustRightInd w:val="0"/>
              <w:spacing w:line="360" w:lineRule="auto"/>
              <w:ind w:left="286" w:leftChars="136"/>
              <w:jc w:val="center"/>
              <w:rPr>
                <w:rFonts w:hAnsi="宋体"/>
                <w:b w:val="0"/>
                <w:bCs w:val="0"/>
                <w:color w:val="auto"/>
                <w:sz w:val="24"/>
                <w:szCs w:val="24"/>
                <w:highlight w:val="none"/>
              </w:rPr>
            </w:pPr>
          </w:p>
          <w:p w14:paraId="6C20345A">
            <w:pPr>
              <w:autoSpaceDE w:val="0"/>
              <w:autoSpaceDN w:val="0"/>
              <w:adjustRightInd w:val="0"/>
              <w:spacing w:line="360" w:lineRule="auto"/>
              <w:ind w:left="286" w:leftChars="136"/>
              <w:jc w:val="center"/>
              <w:rPr>
                <w:rFonts w:hAnsi="宋体"/>
                <w:b w:val="0"/>
                <w:bCs w:val="0"/>
                <w:color w:val="auto"/>
                <w:sz w:val="24"/>
                <w:szCs w:val="24"/>
                <w:highlight w:val="none"/>
              </w:rPr>
            </w:pPr>
          </w:p>
          <w:p w14:paraId="2C68B089">
            <w:pPr>
              <w:autoSpaceDE w:val="0"/>
              <w:autoSpaceDN w:val="0"/>
              <w:adjustRightInd w:val="0"/>
              <w:spacing w:line="360" w:lineRule="auto"/>
              <w:ind w:left="286" w:leftChars="136"/>
              <w:jc w:val="center"/>
              <w:rPr>
                <w:rFonts w:hAnsi="宋体"/>
                <w:b w:val="0"/>
                <w:bCs w:val="0"/>
                <w:color w:val="auto"/>
                <w:sz w:val="24"/>
                <w:szCs w:val="24"/>
                <w:highlight w:val="none"/>
              </w:rPr>
            </w:pPr>
          </w:p>
          <w:p w14:paraId="1A8BA517">
            <w:pPr>
              <w:autoSpaceDE w:val="0"/>
              <w:autoSpaceDN w:val="0"/>
              <w:adjustRightInd w:val="0"/>
              <w:spacing w:line="360" w:lineRule="auto"/>
              <w:ind w:left="286" w:leftChars="136"/>
              <w:jc w:val="center"/>
              <w:rPr>
                <w:rFonts w:hAnsi="宋体"/>
                <w:b w:val="0"/>
                <w:bCs w:val="0"/>
                <w:color w:val="auto"/>
                <w:sz w:val="24"/>
                <w:szCs w:val="24"/>
                <w:highlight w:val="none"/>
              </w:rPr>
            </w:pPr>
          </w:p>
          <w:p w14:paraId="2F394DB2">
            <w:pPr>
              <w:autoSpaceDE w:val="0"/>
              <w:autoSpaceDN w:val="0"/>
              <w:adjustRightInd w:val="0"/>
              <w:spacing w:line="360" w:lineRule="auto"/>
              <w:ind w:left="286" w:leftChars="136"/>
              <w:jc w:val="center"/>
              <w:rPr>
                <w:rFonts w:hAnsi="宋体"/>
                <w:b w:val="0"/>
                <w:bCs w:val="0"/>
                <w:color w:val="auto"/>
                <w:sz w:val="24"/>
                <w:szCs w:val="24"/>
                <w:highlight w:val="none"/>
              </w:rPr>
            </w:pPr>
          </w:p>
          <w:p w14:paraId="60AFE1F4">
            <w:pPr>
              <w:autoSpaceDE w:val="0"/>
              <w:autoSpaceDN w:val="0"/>
              <w:adjustRightInd w:val="0"/>
              <w:spacing w:line="360" w:lineRule="auto"/>
              <w:ind w:left="286" w:leftChars="136"/>
              <w:jc w:val="center"/>
              <w:rPr>
                <w:rFonts w:hAnsi="宋体"/>
                <w:b w:val="0"/>
                <w:bCs w:val="0"/>
                <w:color w:val="auto"/>
                <w:sz w:val="24"/>
                <w:szCs w:val="24"/>
                <w:highlight w:val="none"/>
              </w:rPr>
            </w:pPr>
          </w:p>
        </w:tc>
      </w:tr>
      <w:tr w14:paraId="394F59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832" w:type="dxa"/>
            <w:shd w:val="clear" w:color="auto" w:fill="auto"/>
            <w:noWrap w:val="0"/>
            <w:vAlign w:val="center"/>
          </w:tcPr>
          <w:p w14:paraId="2319C008">
            <w:pPr>
              <w:pStyle w:val="103"/>
              <w:ind w:right="264" w:rightChars="0"/>
              <w:jc w:val="center"/>
              <w:rPr>
                <w:rFonts w:hint="default" w:ascii="宋体" w:hAnsi="Times New Roman" w:eastAsia="宋体" w:cs="Courier New"/>
                <w:color w:val="auto"/>
                <w:sz w:val="24"/>
                <w:szCs w:val="24"/>
                <w:highlight w:val="none"/>
                <w:lang w:val="zh-CN" w:eastAsia="en-US" w:bidi="en-US"/>
              </w:rPr>
            </w:pPr>
            <w:r>
              <w:rPr>
                <w:rFonts w:hint="eastAsia" w:ascii="仿宋_GB2312" w:hAnsi="仿宋_GB2312" w:eastAsia="仿宋_GB2312" w:cs="仿宋_GB2312"/>
                <w:sz w:val="21"/>
                <w:szCs w:val="21"/>
                <w:lang w:val="en-US" w:eastAsia="zh-CN"/>
              </w:rPr>
              <w:t>28</w:t>
            </w:r>
          </w:p>
        </w:tc>
        <w:tc>
          <w:tcPr>
            <w:tcW w:w="2196" w:type="dxa"/>
            <w:noWrap w:val="0"/>
            <w:vAlign w:val="center"/>
          </w:tcPr>
          <w:p w14:paraId="0780C63A">
            <w:pPr>
              <w:pStyle w:val="103"/>
              <w:spacing w:line="360" w:lineRule="auto"/>
              <w:jc w:val="center"/>
              <w:rPr>
                <w:rFonts w:cs="Times New Roman"/>
                <w:color w:val="auto"/>
                <w:kern w:val="2"/>
                <w:highlight w:val="none"/>
              </w:rPr>
            </w:pPr>
            <w:r>
              <w:rPr>
                <w:rFonts w:hint="eastAsia" w:cs="Times New Roman"/>
                <w:color w:val="auto"/>
                <w:kern w:val="2"/>
                <w:highlight w:val="none"/>
              </w:rPr>
              <w:t>分包履约</w:t>
            </w:r>
          </w:p>
        </w:tc>
        <w:tc>
          <w:tcPr>
            <w:tcW w:w="6599" w:type="dxa"/>
            <w:noWrap w:val="0"/>
            <w:vAlign w:val="center"/>
          </w:tcPr>
          <w:p w14:paraId="47680610">
            <w:pPr>
              <w:pStyle w:val="103"/>
              <w:spacing w:line="360" w:lineRule="auto"/>
              <w:jc w:val="center"/>
              <w:rPr>
                <w:rFonts w:cs="Times New Roman"/>
                <w:color w:val="auto"/>
                <w:kern w:val="2"/>
                <w:highlight w:val="none"/>
              </w:rPr>
            </w:pPr>
            <w:r>
              <w:rPr>
                <w:rFonts w:hint="eastAsia" w:cs="Times New Roman"/>
                <w:color w:val="auto"/>
                <w:kern w:val="2"/>
                <w:highlight w:val="none"/>
              </w:rPr>
              <w:t>中标</w:t>
            </w:r>
            <w:r>
              <w:rPr>
                <w:rFonts w:hint="eastAsia" w:cs="Times New Roman"/>
                <w:color w:val="auto"/>
                <w:kern w:val="2"/>
                <w:highlight w:val="none"/>
                <w:lang w:eastAsia="zh-CN"/>
              </w:rPr>
              <w:t>人</w:t>
            </w:r>
            <w:r>
              <w:rPr>
                <w:rFonts w:hint="eastAsia" w:cs="Times New Roman"/>
                <w:color w:val="auto"/>
                <w:kern w:val="2"/>
                <w:highlight w:val="none"/>
              </w:rPr>
              <w:t>在合同签订之前必须征得采购人同意</w:t>
            </w:r>
          </w:p>
        </w:tc>
      </w:tr>
      <w:tr w14:paraId="293A96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70" w:hRule="atLeast"/>
          <w:jc w:val="center"/>
        </w:trPr>
        <w:tc>
          <w:tcPr>
            <w:tcW w:w="832" w:type="dxa"/>
            <w:shd w:val="clear" w:color="auto" w:fill="auto"/>
            <w:noWrap w:val="0"/>
            <w:vAlign w:val="center"/>
          </w:tcPr>
          <w:p w14:paraId="1ACA5D17">
            <w:pPr>
              <w:pStyle w:val="103"/>
              <w:ind w:right="264" w:rightChars="0"/>
              <w:jc w:val="center"/>
              <w:rPr>
                <w:rFonts w:hint="default" w:ascii="宋体" w:hAnsi="Times New Roman" w:eastAsia="宋体" w:cs="Courier New"/>
                <w:color w:val="auto"/>
                <w:sz w:val="24"/>
                <w:szCs w:val="24"/>
                <w:highlight w:val="none"/>
                <w:lang w:val="en-US" w:eastAsia="zh-CN" w:bidi="en-US"/>
              </w:rPr>
            </w:pPr>
            <w:r>
              <w:rPr>
                <w:rFonts w:hint="eastAsia" w:ascii="仿宋_GB2312" w:hAnsi="仿宋_GB2312" w:eastAsia="仿宋_GB2312" w:cs="仿宋_GB2312"/>
                <w:sz w:val="21"/>
                <w:szCs w:val="21"/>
                <w:lang w:val="en-US" w:eastAsia="zh-CN"/>
              </w:rPr>
              <w:t>29</w:t>
            </w:r>
          </w:p>
        </w:tc>
        <w:tc>
          <w:tcPr>
            <w:tcW w:w="2196" w:type="dxa"/>
            <w:noWrap w:val="0"/>
            <w:vAlign w:val="center"/>
          </w:tcPr>
          <w:p w14:paraId="60074622">
            <w:pPr>
              <w:pStyle w:val="103"/>
              <w:jc w:val="center"/>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政府采购合同融资</w:t>
            </w:r>
          </w:p>
        </w:tc>
        <w:tc>
          <w:tcPr>
            <w:tcW w:w="6599" w:type="dxa"/>
            <w:noWrap w:val="0"/>
            <w:vAlign w:val="center"/>
          </w:tcPr>
          <w:p w14:paraId="38D4524A">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在甘肃省注册、具有法人资格且依法取得省内政府采购合同的中小微企业在依法签订政府采购合同后，即可通过融资平台自行选择金融机构及合同融资产品，申请合同融资。</w:t>
            </w:r>
            <w:r>
              <w:rPr>
                <w:rFonts w:hint="eastAsia" w:ascii="宋体" w:hAnsi="宋体" w:eastAsia="宋体" w:cs="宋体"/>
                <w:color w:val="auto"/>
                <w:sz w:val="24"/>
                <w:szCs w:val="24"/>
                <w:highlight w:val="none"/>
                <w:lang w:val="en-US" w:eastAsia="zh-CN"/>
              </w:rPr>
              <w:t>详见《甘肃省财政厅关于开展甘肃省政府采购合同融资业务有关事宜的通知》（甘财采〔2019〕16号）。</w:t>
            </w:r>
          </w:p>
        </w:tc>
      </w:tr>
      <w:tr w14:paraId="76D689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832" w:type="dxa"/>
            <w:shd w:val="clear" w:color="auto" w:fill="auto"/>
            <w:noWrap w:val="0"/>
            <w:vAlign w:val="center"/>
          </w:tcPr>
          <w:p w14:paraId="2BD12B98">
            <w:pPr>
              <w:pStyle w:val="103"/>
              <w:ind w:right="264" w:rightChars="0"/>
              <w:jc w:val="center"/>
              <w:rPr>
                <w:rFonts w:hint="default" w:ascii="宋体" w:hAnsi="宋体" w:eastAsia="宋体" w:cs="Courier New"/>
                <w:color w:val="auto"/>
                <w:sz w:val="24"/>
                <w:szCs w:val="24"/>
                <w:highlight w:val="none"/>
                <w:lang w:val="en-US" w:eastAsia="zh-CN" w:bidi="en-US"/>
              </w:rPr>
            </w:pPr>
            <w:r>
              <w:rPr>
                <w:rFonts w:hint="eastAsia" w:ascii="仿宋_GB2312" w:hAnsi="仿宋_GB2312" w:eastAsia="仿宋_GB2312" w:cs="仿宋_GB2312"/>
                <w:sz w:val="21"/>
                <w:szCs w:val="21"/>
                <w:lang w:val="en-US" w:eastAsia="zh-CN"/>
              </w:rPr>
              <w:t>30</w:t>
            </w:r>
          </w:p>
        </w:tc>
        <w:tc>
          <w:tcPr>
            <w:tcW w:w="2196" w:type="dxa"/>
            <w:noWrap w:val="0"/>
            <w:vAlign w:val="center"/>
          </w:tcPr>
          <w:p w14:paraId="17A10A7B">
            <w:pPr>
              <w:pStyle w:val="103"/>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color w:val="auto"/>
                <w:highlight w:val="none"/>
                <w:lang w:val="zh-CN"/>
              </w:rPr>
            </w:pPr>
            <w:r>
              <w:rPr>
                <w:rFonts w:hint="eastAsia"/>
                <w:color w:val="auto"/>
                <w:highlight w:val="none"/>
                <w:lang w:val="zh-CN"/>
              </w:rPr>
              <w:t>投标人对招标文件</w:t>
            </w:r>
          </w:p>
          <w:p w14:paraId="554010B9">
            <w:pPr>
              <w:pStyle w:val="103"/>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color w:val="auto"/>
                <w:highlight w:val="none"/>
                <w:lang w:val="zh-CN"/>
              </w:rPr>
              <w:t>提出质疑的时间</w:t>
            </w:r>
          </w:p>
        </w:tc>
        <w:tc>
          <w:tcPr>
            <w:tcW w:w="6599" w:type="dxa"/>
            <w:noWrap w:val="0"/>
            <w:vAlign w:val="center"/>
          </w:tcPr>
          <w:p w14:paraId="1B6CEDE5">
            <w:pPr>
              <w:pStyle w:val="103"/>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sz w:val="24"/>
                <w:szCs w:val="24"/>
                <w:highlight w:val="none"/>
                <w:lang w:val="zh-CN" w:eastAsia="zh-CN"/>
              </w:rPr>
            </w:pPr>
            <w:r>
              <w:rPr>
                <w:rFonts w:hint="eastAsia"/>
                <w:color w:val="auto"/>
                <w:highlight w:val="none"/>
                <w:lang w:val="zh-CN"/>
              </w:rPr>
              <w:t>供应商应在其获取招标文件之日起7个工作日内对招标文件的内容提出质疑</w:t>
            </w:r>
          </w:p>
        </w:tc>
      </w:tr>
      <w:tr w14:paraId="0838B0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2" w:hRule="atLeast"/>
          <w:jc w:val="center"/>
        </w:trPr>
        <w:tc>
          <w:tcPr>
            <w:tcW w:w="832" w:type="dxa"/>
            <w:shd w:val="clear" w:color="auto" w:fill="auto"/>
            <w:noWrap w:val="0"/>
            <w:vAlign w:val="center"/>
          </w:tcPr>
          <w:p w14:paraId="3FD9156B">
            <w:pPr>
              <w:pStyle w:val="103"/>
              <w:ind w:right="264" w:rightChars="0"/>
              <w:jc w:val="center"/>
              <w:rPr>
                <w:rFonts w:hint="default" w:ascii="宋体" w:hAnsi="宋体" w:eastAsia="宋体" w:cs="Courier New"/>
                <w:color w:val="auto"/>
                <w:sz w:val="24"/>
                <w:szCs w:val="24"/>
                <w:highlight w:val="none"/>
                <w:lang w:val="en-US" w:eastAsia="zh-CN" w:bidi="en-US"/>
              </w:rPr>
            </w:pPr>
            <w:r>
              <w:rPr>
                <w:rFonts w:hint="eastAsia" w:ascii="仿宋_GB2312" w:hAnsi="仿宋_GB2312" w:eastAsia="仿宋_GB2312" w:cs="仿宋_GB2312"/>
                <w:sz w:val="21"/>
                <w:szCs w:val="21"/>
                <w:lang w:val="en-US" w:eastAsia="zh-CN"/>
              </w:rPr>
              <w:t>31</w:t>
            </w:r>
          </w:p>
        </w:tc>
        <w:tc>
          <w:tcPr>
            <w:tcW w:w="2196" w:type="dxa"/>
            <w:noWrap w:val="0"/>
            <w:vAlign w:val="center"/>
          </w:tcPr>
          <w:p w14:paraId="7BBB29EC">
            <w:pPr>
              <w:widowControl/>
              <w:jc w:val="center"/>
              <w:outlineLvl w:val="9"/>
              <w:rPr>
                <w:rFonts w:ascii="宋体" w:hAnsi="宋体"/>
                <w:sz w:val="24"/>
                <w:szCs w:val="24"/>
              </w:rPr>
            </w:pPr>
            <w:r>
              <w:rPr>
                <w:rFonts w:hint="eastAsia" w:ascii="宋体" w:hAnsi="宋体" w:cs="宋体"/>
                <w:b/>
                <w:bCs/>
                <w:color w:val="000000"/>
                <w:kern w:val="0"/>
                <w:sz w:val="24"/>
                <w:szCs w:val="24"/>
                <w:lang w:bidi="ar"/>
              </w:rPr>
              <w:t>中标通知书</w:t>
            </w:r>
          </w:p>
          <w:p w14:paraId="2F5EE5A1">
            <w:pPr>
              <w:widowControl/>
              <w:jc w:val="center"/>
              <w:outlineLvl w:val="9"/>
              <w:rPr>
                <w:b/>
                <w:bCs/>
                <w:color w:val="auto"/>
                <w:sz w:val="24"/>
                <w:szCs w:val="24"/>
                <w:highlight w:val="none"/>
                <w:lang w:val="zh-CN"/>
              </w:rPr>
            </w:pPr>
            <w:r>
              <w:rPr>
                <w:rFonts w:hint="eastAsia" w:ascii="宋体" w:hAnsi="宋体" w:cs="宋体"/>
                <w:b/>
                <w:bCs/>
                <w:color w:val="000000"/>
                <w:kern w:val="0"/>
                <w:sz w:val="24"/>
                <w:szCs w:val="24"/>
                <w:lang w:bidi="ar"/>
              </w:rPr>
              <w:t>领取</w:t>
            </w:r>
          </w:p>
        </w:tc>
        <w:tc>
          <w:tcPr>
            <w:tcW w:w="6599" w:type="dxa"/>
            <w:noWrap w:val="0"/>
            <w:vAlign w:val="center"/>
          </w:tcPr>
          <w:p w14:paraId="0C81F6AC">
            <w:pPr>
              <w:widowControl/>
              <w:jc w:val="center"/>
              <w:outlineLvl w:val="9"/>
              <w:rPr>
                <w:rFonts w:hAnsi="宋体"/>
                <w:b/>
                <w:bCs/>
                <w:color w:val="auto"/>
                <w:sz w:val="24"/>
                <w:szCs w:val="24"/>
                <w:highlight w:val="none"/>
                <w:lang w:val="zh-CN"/>
              </w:rPr>
            </w:pPr>
            <w:r>
              <w:rPr>
                <w:rFonts w:hint="eastAsia" w:ascii="宋体" w:hAnsi="宋体" w:cs="宋体"/>
                <w:b/>
                <w:bCs/>
                <w:color w:val="000000"/>
                <w:kern w:val="0"/>
                <w:sz w:val="24"/>
                <w:szCs w:val="24"/>
                <w:lang w:bidi="ar"/>
              </w:rPr>
              <w:t>中标公告发布后，中标人在陇南市公共资源交易中心三楼3</w:t>
            </w:r>
            <w:r>
              <w:rPr>
                <w:rFonts w:hint="eastAsia" w:ascii="宋体" w:hAnsi="宋体" w:cs="宋体"/>
                <w:b/>
                <w:bCs/>
                <w:color w:val="000000"/>
                <w:kern w:val="0"/>
                <w:sz w:val="24"/>
                <w:szCs w:val="24"/>
                <w:lang w:val="en-US" w:eastAsia="zh-CN" w:bidi="ar"/>
              </w:rPr>
              <w:t>16</w:t>
            </w:r>
            <w:r>
              <w:rPr>
                <w:rFonts w:hint="eastAsia" w:ascii="宋体" w:hAnsi="宋体" w:cs="宋体"/>
                <w:b/>
                <w:bCs/>
                <w:color w:val="000000"/>
                <w:kern w:val="0"/>
                <w:sz w:val="24"/>
                <w:szCs w:val="24"/>
                <w:lang w:bidi="ar"/>
              </w:rPr>
              <w:t>室政府采购科领取中标通知书，不再另行通知。因逾期未领 取造成的后果由中标人自行承担。</w:t>
            </w:r>
          </w:p>
        </w:tc>
      </w:tr>
      <w:tr w14:paraId="46E4BD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32" w:type="dxa"/>
            <w:shd w:val="clear" w:color="auto" w:fill="auto"/>
            <w:noWrap w:val="0"/>
            <w:vAlign w:val="center"/>
          </w:tcPr>
          <w:p w14:paraId="1B8F35E0">
            <w:pPr>
              <w:pStyle w:val="103"/>
              <w:ind w:right="264" w:righ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2196" w:type="dxa"/>
            <w:noWrap w:val="0"/>
            <w:vAlign w:val="center"/>
          </w:tcPr>
          <w:p w14:paraId="1A0FD975">
            <w:pPr>
              <w:pStyle w:val="103"/>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default" w:ascii="宋体" w:eastAsia="宋体" w:cs="宋体"/>
                <w:color w:val="auto"/>
                <w:highlight w:val="none"/>
                <w:lang w:val="en-US" w:eastAsia="zh-CN"/>
              </w:rPr>
            </w:pPr>
            <w:r>
              <w:rPr>
                <w:rFonts w:hint="eastAsia" w:ascii="宋体" w:eastAsia="宋体" w:cs="宋体"/>
                <w:color w:val="auto"/>
                <w:highlight w:val="none"/>
                <w:lang w:val="en-US" w:eastAsia="zh-CN"/>
              </w:rPr>
              <w:t>付款方式</w:t>
            </w:r>
          </w:p>
        </w:tc>
        <w:tc>
          <w:tcPr>
            <w:tcW w:w="6599" w:type="dxa"/>
            <w:noWrap w:val="0"/>
            <w:vAlign w:val="center"/>
          </w:tcPr>
          <w:p w14:paraId="1D67E55C">
            <w:pPr>
              <w:pStyle w:val="103"/>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eastAsia="宋体" w:cs="宋体"/>
                <w:color w:val="auto"/>
                <w:highlight w:val="none"/>
                <w:lang w:val="zh-CN"/>
              </w:rPr>
            </w:pPr>
            <w:r>
              <w:rPr>
                <w:rFonts w:hint="eastAsia" w:ascii="宋体" w:eastAsia="宋体" w:cs="宋体"/>
                <w:color w:val="auto"/>
                <w:highlight w:val="none"/>
                <w:lang w:val="zh-CN"/>
              </w:rPr>
              <w:t>按财政拨付进度及时支付。</w:t>
            </w:r>
          </w:p>
        </w:tc>
      </w:tr>
      <w:tr w14:paraId="2BB2D1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32" w:type="dxa"/>
            <w:shd w:val="clear" w:color="auto" w:fill="auto"/>
            <w:noWrap w:val="0"/>
            <w:vAlign w:val="center"/>
          </w:tcPr>
          <w:p w14:paraId="59D65F00">
            <w:pPr>
              <w:pStyle w:val="103"/>
              <w:ind w:right="264" w:righ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2196" w:type="dxa"/>
            <w:noWrap w:val="0"/>
            <w:vAlign w:val="center"/>
          </w:tcPr>
          <w:p w14:paraId="12D9DA10">
            <w:pPr>
              <w:pStyle w:val="103"/>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服务期限</w:t>
            </w:r>
          </w:p>
        </w:tc>
        <w:tc>
          <w:tcPr>
            <w:tcW w:w="6599" w:type="dxa"/>
            <w:noWrap w:val="0"/>
            <w:vAlign w:val="center"/>
          </w:tcPr>
          <w:p w14:paraId="152D527D">
            <w:pPr>
              <w:pStyle w:val="103"/>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eastAsia="宋体" w:cs="宋体"/>
                <w:color w:val="auto"/>
                <w:highlight w:val="none"/>
                <w:lang w:val="zh-CN"/>
              </w:rPr>
            </w:pPr>
            <w:r>
              <w:rPr>
                <w:rFonts w:hint="eastAsia" w:ascii="宋体" w:eastAsia="宋体" w:cs="宋体"/>
                <w:color w:val="auto"/>
                <w:highlight w:val="none"/>
                <w:lang w:val="zh-CN"/>
              </w:rPr>
              <w:t>合同签订后</w:t>
            </w:r>
            <w:r>
              <w:rPr>
                <w:rFonts w:hint="eastAsia" w:ascii="宋体" w:eastAsia="宋体" w:cs="宋体"/>
                <w:color w:val="auto"/>
                <w:highlight w:val="none"/>
                <w:lang w:val="en-US" w:eastAsia="zh-CN"/>
              </w:rPr>
              <w:t>一年。</w:t>
            </w:r>
          </w:p>
        </w:tc>
      </w:tr>
      <w:tr w14:paraId="328437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32" w:type="dxa"/>
            <w:shd w:val="clear" w:color="auto" w:fill="auto"/>
            <w:noWrap w:val="0"/>
            <w:vAlign w:val="center"/>
          </w:tcPr>
          <w:p w14:paraId="66A96881">
            <w:pPr>
              <w:pStyle w:val="103"/>
              <w:ind w:right="264" w:righ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2196" w:type="dxa"/>
            <w:noWrap w:val="0"/>
            <w:vAlign w:val="center"/>
          </w:tcPr>
          <w:p w14:paraId="6D412A8A">
            <w:pPr>
              <w:pStyle w:val="103"/>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default" w:ascii="宋体" w:eastAsia="宋体" w:cs="宋体"/>
                <w:b/>
                <w:bCs/>
                <w:color w:val="auto"/>
                <w:highlight w:val="none"/>
                <w:lang w:val="en-US" w:eastAsia="zh-CN"/>
              </w:rPr>
            </w:pPr>
            <w:r>
              <w:rPr>
                <w:rFonts w:hint="eastAsia" w:ascii="宋体" w:eastAsia="宋体" w:cs="宋体"/>
                <w:b/>
                <w:bCs/>
                <w:color w:val="auto"/>
                <w:highlight w:val="none"/>
                <w:lang w:val="en-US" w:eastAsia="zh-CN"/>
              </w:rPr>
              <w:t>报价要求</w:t>
            </w:r>
          </w:p>
        </w:tc>
        <w:tc>
          <w:tcPr>
            <w:tcW w:w="6599" w:type="dxa"/>
            <w:noWrap w:val="0"/>
            <w:vAlign w:val="center"/>
          </w:tcPr>
          <w:p w14:paraId="03C73966">
            <w:pPr>
              <w:pStyle w:val="103"/>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eastAsia="宋体" w:cs="宋体"/>
                <w:b/>
                <w:bCs/>
                <w:color w:val="auto"/>
                <w:highlight w:val="none"/>
                <w:lang w:val="zh-CN"/>
              </w:rPr>
            </w:pPr>
            <w:r>
              <w:rPr>
                <w:rFonts w:hint="eastAsia" w:ascii="宋体" w:eastAsia="宋体" w:cs="宋体"/>
                <w:b/>
                <w:bCs/>
                <w:color w:val="auto"/>
                <w:highlight w:val="none"/>
                <w:lang w:val="en-US" w:eastAsia="zh-CN"/>
              </w:rPr>
              <w:t>本项目</w:t>
            </w:r>
            <w:r>
              <w:rPr>
                <w:rFonts w:hint="eastAsia" w:ascii="宋体" w:eastAsia="宋体" w:cs="宋体"/>
                <w:b/>
                <w:bCs/>
                <w:color w:val="auto"/>
                <w:highlight w:val="none"/>
                <w:lang w:val="zh-CN"/>
              </w:rPr>
              <w:t>采用固定价格采购，其价格不列为评审因素。</w:t>
            </w:r>
          </w:p>
        </w:tc>
      </w:tr>
    </w:tbl>
    <w:p w14:paraId="01EE0CD6">
      <w:pPr>
        <w:pStyle w:val="4"/>
        <w:spacing w:before="0" w:beforeLines="0" w:after="0" w:afterLines="0" w:line="360" w:lineRule="auto"/>
        <w:jc w:val="center"/>
        <w:rPr>
          <w:rFonts w:ascii="宋体" w:hAnsi="宋体" w:eastAsia="宋体"/>
          <w:bCs/>
          <w:color w:val="auto"/>
          <w:sz w:val="24"/>
          <w:szCs w:val="24"/>
          <w:highlight w:val="none"/>
        </w:rPr>
      </w:pPr>
      <w:r>
        <w:rPr>
          <w:rFonts w:ascii="宋体" w:hAnsi="宋体" w:eastAsia="宋体"/>
          <w:color w:val="auto"/>
          <w:sz w:val="24"/>
          <w:szCs w:val="24"/>
          <w:highlight w:val="none"/>
        </w:rPr>
        <w:br w:type="page"/>
      </w:r>
      <w:bookmarkStart w:id="37" w:name="_Toc23308"/>
      <w:bookmarkStart w:id="38" w:name="_Toc77400778"/>
      <w:bookmarkStart w:id="39" w:name="_Toc183582204"/>
      <w:bookmarkStart w:id="40" w:name="_Toc89075873"/>
      <w:bookmarkStart w:id="41" w:name="_Toc183682341"/>
      <w:bookmarkStart w:id="42" w:name="_Toc10027"/>
      <w:bookmarkStart w:id="43" w:name="_Toc17194"/>
      <w:bookmarkStart w:id="44" w:name="_Toc217446033"/>
      <w:bookmarkStart w:id="45" w:name="_Toc13667"/>
      <w:r>
        <w:rPr>
          <w:rFonts w:hint="eastAsia" w:ascii="宋体" w:hAnsi="宋体" w:eastAsia="宋体"/>
          <w:bCs/>
          <w:color w:val="auto"/>
          <w:szCs w:val="28"/>
          <w:highlight w:val="none"/>
        </w:rPr>
        <w:t>一、总  则</w:t>
      </w:r>
      <w:bookmarkEnd w:id="37"/>
      <w:bookmarkEnd w:id="38"/>
      <w:bookmarkEnd w:id="39"/>
      <w:bookmarkEnd w:id="40"/>
      <w:bookmarkEnd w:id="41"/>
      <w:bookmarkEnd w:id="42"/>
      <w:bookmarkEnd w:id="43"/>
      <w:bookmarkEnd w:id="44"/>
      <w:bookmarkEnd w:id="45"/>
    </w:p>
    <w:p w14:paraId="3A05B93D">
      <w:pPr>
        <w:pageBreakBefore w:val="0"/>
        <w:widowControl w:val="0"/>
        <w:kinsoku/>
        <w:wordWrap/>
        <w:overflowPunct/>
        <w:topLinePunct w:val="0"/>
        <w:bidi w:val="0"/>
        <w:spacing w:before="0" w:beforeLines="0" w:after="0" w:afterLines="0" w:line="360" w:lineRule="auto"/>
        <w:ind w:left="0"/>
        <w:textAlignment w:val="auto"/>
        <w:outlineLvl w:val="9"/>
        <w:rPr>
          <w:rFonts w:hAnsi="宋体"/>
          <w:color w:val="auto"/>
          <w:sz w:val="24"/>
          <w:szCs w:val="24"/>
          <w:highlight w:val="none"/>
        </w:rPr>
      </w:pPr>
      <w:bookmarkStart w:id="46" w:name="_Toc183582205"/>
      <w:bookmarkStart w:id="47" w:name="_Toc183682342"/>
      <w:bookmarkStart w:id="48" w:name="_Toc217446034"/>
      <w:r>
        <w:rPr>
          <w:rFonts w:hint="eastAsia" w:hAnsi="宋体"/>
          <w:color w:val="auto"/>
          <w:sz w:val="24"/>
          <w:szCs w:val="24"/>
          <w:highlight w:val="none"/>
        </w:rPr>
        <w:t xml:space="preserve">    1</w:t>
      </w:r>
      <w:r>
        <w:rPr>
          <w:rFonts w:hAnsi="宋体"/>
          <w:color w:val="auto"/>
          <w:sz w:val="24"/>
          <w:szCs w:val="24"/>
          <w:highlight w:val="none"/>
        </w:rPr>
        <w:t>.</w:t>
      </w:r>
      <w:bookmarkEnd w:id="46"/>
      <w:bookmarkEnd w:id="47"/>
      <w:r>
        <w:rPr>
          <w:rFonts w:hint="eastAsia" w:hAnsi="宋体"/>
          <w:color w:val="auto"/>
          <w:sz w:val="24"/>
          <w:szCs w:val="24"/>
          <w:highlight w:val="none"/>
        </w:rPr>
        <w:t xml:space="preserve"> 适用范围</w:t>
      </w:r>
      <w:bookmarkEnd w:id="48"/>
    </w:p>
    <w:p w14:paraId="52ED14F1">
      <w:pPr>
        <w:pageBreakBefore w:val="0"/>
        <w:widowControl w:val="0"/>
        <w:tabs>
          <w:tab w:val="left" w:pos="7665"/>
        </w:tabs>
        <w:kinsoku/>
        <w:wordWrap/>
        <w:overflowPunct/>
        <w:topLinePunct w:val="0"/>
        <w:bidi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1</w:t>
      </w:r>
      <w:r>
        <w:rPr>
          <w:rFonts w:hAnsi="宋体"/>
          <w:color w:val="auto"/>
          <w:sz w:val="24"/>
          <w:szCs w:val="24"/>
          <w:highlight w:val="none"/>
        </w:rPr>
        <w:t>.</w:t>
      </w:r>
      <w:r>
        <w:rPr>
          <w:rFonts w:hint="eastAsia" w:hAnsi="宋体"/>
          <w:color w:val="auto"/>
          <w:sz w:val="24"/>
          <w:szCs w:val="24"/>
          <w:highlight w:val="none"/>
        </w:rPr>
        <w:t>1 本招标文件仅适用于本次公开招标所叙述的货物、工程或服务项目采购。</w:t>
      </w:r>
    </w:p>
    <w:p w14:paraId="3DA19DF1">
      <w:pPr>
        <w:pageBreakBefore w:val="0"/>
        <w:widowControl w:val="0"/>
        <w:kinsoku/>
        <w:wordWrap/>
        <w:overflowPunct/>
        <w:topLinePunct w:val="0"/>
        <w:bidi w:val="0"/>
        <w:spacing w:before="0" w:beforeLines="0" w:after="0" w:afterLines="0" w:line="360" w:lineRule="auto"/>
        <w:ind w:left="0"/>
        <w:textAlignment w:val="auto"/>
        <w:outlineLvl w:val="9"/>
        <w:rPr>
          <w:rFonts w:hAnsi="宋体"/>
          <w:color w:val="auto"/>
          <w:sz w:val="24"/>
          <w:szCs w:val="24"/>
          <w:highlight w:val="none"/>
        </w:rPr>
      </w:pPr>
      <w:bookmarkStart w:id="49" w:name="_Toc183582206"/>
      <w:bookmarkStart w:id="50" w:name="_Toc183682343"/>
      <w:bookmarkStart w:id="51" w:name="_Toc217446035"/>
      <w:r>
        <w:rPr>
          <w:rFonts w:hint="eastAsia" w:hAnsi="宋体"/>
          <w:color w:val="auto"/>
          <w:sz w:val="24"/>
          <w:szCs w:val="24"/>
          <w:highlight w:val="none"/>
          <w:lang w:val="en-US" w:eastAsia="zh-CN"/>
        </w:rPr>
        <w:t xml:space="preserve">    </w:t>
      </w:r>
      <w:r>
        <w:rPr>
          <w:rFonts w:hAnsi="宋体"/>
          <w:color w:val="auto"/>
          <w:sz w:val="24"/>
          <w:szCs w:val="24"/>
          <w:highlight w:val="none"/>
        </w:rPr>
        <w:t>2.</w:t>
      </w:r>
      <w:bookmarkEnd w:id="49"/>
      <w:bookmarkEnd w:id="50"/>
      <w:r>
        <w:rPr>
          <w:rFonts w:hint="eastAsia" w:hAnsi="宋体"/>
          <w:color w:val="auto"/>
          <w:sz w:val="24"/>
          <w:szCs w:val="24"/>
          <w:highlight w:val="none"/>
        </w:rPr>
        <w:t>有关定义</w:t>
      </w:r>
      <w:bookmarkEnd w:id="51"/>
    </w:p>
    <w:p w14:paraId="5E6B6211">
      <w:pPr>
        <w:pageBreakBefore w:val="0"/>
        <w:widowControl w:val="0"/>
        <w:kinsoku/>
        <w:wordWrap/>
        <w:overflowPunct/>
        <w:topLinePunct w:val="0"/>
        <w:bidi w:val="0"/>
        <w:adjustRightInd w:val="0"/>
        <w:snapToGrid w:val="0"/>
        <w:spacing w:line="360" w:lineRule="auto"/>
        <w:ind w:left="0"/>
        <w:textAlignment w:val="auto"/>
        <w:outlineLvl w:val="9"/>
        <w:rPr>
          <w:rFonts w:hAnsi="宋体"/>
          <w:color w:val="auto"/>
          <w:sz w:val="24"/>
          <w:szCs w:val="24"/>
          <w:highlight w:val="none"/>
        </w:rPr>
      </w:pPr>
      <w:bookmarkStart w:id="52" w:name="_Toc217446036"/>
      <w:bookmarkStart w:id="53" w:name="_Toc183582207"/>
      <w:bookmarkStart w:id="54" w:name="_Toc183682344"/>
      <w:bookmarkStart w:id="55" w:name="_Toc217390843"/>
      <w:r>
        <w:rPr>
          <w:rFonts w:hint="eastAsia" w:hAnsi="宋体"/>
          <w:color w:val="auto"/>
          <w:sz w:val="24"/>
          <w:szCs w:val="24"/>
          <w:highlight w:val="none"/>
        </w:rPr>
        <w:t xml:space="preserve">    2</w:t>
      </w:r>
      <w:r>
        <w:rPr>
          <w:rFonts w:hAnsi="宋体"/>
          <w:color w:val="auto"/>
          <w:sz w:val="24"/>
          <w:szCs w:val="24"/>
          <w:highlight w:val="none"/>
        </w:rPr>
        <w:t>.1</w:t>
      </w:r>
      <w:r>
        <w:rPr>
          <w:rFonts w:hint="eastAsia" w:hAnsi="宋体"/>
          <w:color w:val="auto"/>
          <w:sz w:val="24"/>
          <w:szCs w:val="24"/>
          <w:highlight w:val="none"/>
        </w:rPr>
        <w:t xml:space="preserve">“采购人”是指依法进行政府采购的国家机关、事业单位、团体组织。本次政府采购的采购人名称、地址、电话、联系人见投标人须知前附表。   </w:t>
      </w:r>
    </w:p>
    <w:p w14:paraId="55DA08F6">
      <w:pPr>
        <w:pageBreakBefore w:val="0"/>
        <w:widowControl w:val="0"/>
        <w:kinsoku/>
        <w:wordWrap/>
        <w:overflowPunct/>
        <w:topLinePunct w:val="0"/>
        <w:bidi w:val="0"/>
        <w:adjustRightInd w:val="0"/>
        <w:snapToGrid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w:t>
      </w:r>
      <w:r>
        <w:rPr>
          <w:rFonts w:hAnsi="宋体"/>
          <w:color w:val="auto"/>
          <w:sz w:val="24"/>
          <w:szCs w:val="24"/>
          <w:highlight w:val="none"/>
        </w:rPr>
        <w:t>.2</w:t>
      </w:r>
      <w:r>
        <w:rPr>
          <w:rFonts w:hint="eastAsia" w:hAnsi="宋体"/>
          <w:color w:val="auto"/>
          <w:sz w:val="24"/>
          <w:szCs w:val="24"/>
          <w:highlight w:val="none"/>
        </w:rPr>
        <w:t>集中采购机构（以下简称集采机构）是指</w:t>
      </w:r>
      <w:r>
        <w:rPr>
          <w:rFonts w:hint="eastAsia" w:hAnsi="宋体"/>
          <w:color w:val="auto"/>
          <w:sz w:val="24"/>
          <w:szCs w:val="24"/>
          <w:highlight w:val="none"/>
          <w:lang w:val="en-US" w:eastAsia="zh-CN"/>
        </w:rPr>
        <w:t>陇南市</w:t>
      </w:r>
      <w:r>
        <w:rPr>
          <w:rFonts w:hint="eastAsia" w:hAnsi="宋体"/>
          <w:color w:val="auto"/>
          <w:sz w:val="24"/>
          <w:szCs w:val="24"/>
          <w:highlight w:val="none"/>
        </w:rPr>
        <w:t>公共资源</w:t>
      </w:r>
      <w:r>
        <w:rPr>
          <w:rFonts w:hint="eastAsia" w:hAnsi="宋体"/>
          <w:color w:val="auto"/>
          <w:sz w:val="24"/>
          <w:szCs w:val="24"/>
          <w:highlight w:val="none"/>
          <w:lang w:eastAsia="zh-CN"/>
        </w:rPr>
        <w:t>交易中心</w:t>
      </w:r>
      <w:r>
        <w:rPr>
          <w:rFonts w:hint="eastAsia" w:hAnsi="宋体"/>
          <w:color w:val="auto"/>
          <w:sz w:val="24"/>
          <w:szCs w:val="24"/>
          <w:highlight w:val="none"/>
        </w:rPr>
        <w:t>。集采机构地址、电话、联系人见投标人须知前附表。</w:t>
      </w:r>
    </w:p>
    <w:p w14:paraId="7B63D96F">
      <w:pPr>
        <w:pageBreakBefore w:val="0"/>
        <w:widowControl w:val="0"/>
        <w:kinsoku/>
        <w:wordWrap/>
        <w:overflowPunct/>
        <w:topLinePunct w:val="0"/>
        <w:bidi w:val="0"/>
        <w:adjustRightInd w:val="0"/>
        <w:snapToGrid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w:t>
      </w:r>
      <w:r>
        <w:rPr>
          <w:rFonts w:hAnsi="宋体"/>
          <w:color w:val="auto"/>
          <w:sz w:val="24"/>
          <w:szCs w:val="24"/>
          <w:highlight w:val="none"/>
        </w:rPr>
        <w:t>.3</w:t>
      </w:r>
      <w:r>
        <w:rPr>
          <w:rFonts w:hint="eastAsia" w:hAnsi="宋体"/>
          <w:color w:val="auto"/>
          <w:sz w:val="24"/>
          <w:szCs w:val="24"/>
          <w:highlight w:val="none"/>
        </w:rPr>
        <w:t xml:space="preserve"> “投标人”是指向集采机构提交电子投标文件的供应商。</w:t>
      </w:r>
    </w:p>
    <w:p w14:paraId="66A06CF2">
      <w:pPr>
        <w:pageBreakBefore w:val="0"/>
        <w:widowControl w:val="0"/>
        <w:kinsoku/>
        <w:wordWrap/>
        <w:overflowPunct/>
        <w:topLinePunct w:val="0"/>
        <w:bidi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w:t>
      </w:r>
      <w:r>
        <w:rPr>
          <w:rFonts w:hAnsi="宋体"/>
          <w:color w:val="auto"/>
          <w:sz w:val="24"/>
          <w:szCs w:val="24"/>
          <w:highlight w:val="none"/>
        </w:rPr>
        <w:t>.</w:t>
      </w:r>
      <w:r>
        <w:rPr>
          <w:rFonts w:hint="eastAsia" w:hAnsi="宋体"/>
          <w:color w:val="auto"/>
          <w:sz w:val="24"/>
          <w:szCs w:val="24"/>
          <w:highlight w:val="none"/>
        </w:rPr>
        <w:t>4“供应商”是指向采购人提供货物、工程或者服务的法人、其他组织或者自然人。</w:t>
      </w:r>
    </w:p>
    <w:p w14:paraId="6A8895B3">
      <w:pPr>
        <w:pageBreakBefore w:val="0"/>
        <w:widowControl w:val="0"/>
        <w:kinsoku/>
        <w:wordWrap/>
        <w:overflowPunct/>
        <w:topLinePunct w:val="0"/>
        <w:bidi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2.5“招标采购单位”系指“采购人”和“集采机构”的统称。</w:t>
      </w:r>
    </w:p>
    <w:p w14:paraId="4E5B1DF5">
      <w:pPr>
        <w:pageBreakBefore w:val="0"/>
        <w:widowControl w:val="0"/>
        <w:kinsoku/>
        <w:wordWrap/>
        <w:overflowPunct/>
        <w:topLinePunct w:val="0"/>
        <w:bidi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w:t>
      </w:r>
      <w:r>
        <w:rPr>
          <w:rFonts w:hAnsi="宋体"/>
          <w:color w:val="auto"/>
          <w:sz w:val="24"/>
          <w:szCs w:val="24"/>
          <w:highlight w:val="none"/>
        </w:rPr>
        <w:t>.</w:t>
      </w:r>
      <w:r>
        <w:rPr>
          <w:rFonts w:hint="eastAsia" w:hAnsi="宋体"/>
          <w:color w:val="auto"/>
          <w:sz w:val="24"/>
          <w:szCs w:val="24"/>
          <w:highlight w:val="none"/>
        </w:rPr>
        <w:t>6“招标文件”是指由集采机构发出的文本、文件，包括全部章节和附件及答疑会议纪要。</w:t>
      </w:r>
    </w:p>
    <w:p w14:paraId="6A389595">
      <w:pPr>
        <w:pageBreakBefore w:val="0"/>
        <w:widowControl w:val="0"/>
        <w:kinsoku/>
        <w:wordWrap/>
        <w:overflowPunct/>
        <w:topLinePunct w:val="0"/>
        <w:bidi w:val="0"/>
        <w:spacing w:line="360" w:lineRule="auto"/>
        <w:ind w:left="0" w:firstLine="480"/>
        <w:textAlignment w:val="auto"/>
        <w:outlineLvl w:val="9"/>
        <w:rPr>
          <w:rFonts w:hint="eastAsia" w:hAnsi="宋体"/>
          <w:color w:val="auto"/>
          <w:sz w:val="24"/>
          <w:szCs w:val="24"/>
          <w:highlight w:val="none"/>
          <w:lang w:eastAsia="zh-CN"/>
        </w:rPr>
      </w:pP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7 “电子投标文件”是指投标人根据本招标文件</w:t>
      </w:r>
      <w:r>
        <w:rPr>
          <w:rFonts w:hint="eastAsia" w:hAnsi="宋体"/>
          <w:color w:val="auto"/>
          <w:sz w:val="24"/>
          <w:szCs w:val="24"/>
          <w:highlight w:val="none"/>
          <w:lang w:eastAsia="zh-CN"/>
        </w:rPr>
        <w:t>编制完成并</w:t>
      </w:r>
      <w:r>
        <w:rPr>
          <w:rFonts w:hint="eastAsia" w:hAnsi="宋体"/>
          <w:color w:val="auto"/>
          <w:sz w:val="24"/>
          <w:szCs w:val="24"/>
          <w:highlight w:val="none"/>
        </w:rPr>
        <w:t>向集采机构提交的全部文件。</w:t>
      </w:r>
    </w:p>
    <w:p w14:paraId="5E54645C">
      <w:pPr>
        <w:pageBreakBefore w:val="0"/>
        <w:widowControl w:val="0"/>
        <w:kinsoku/>
        <w:wordWrap/>
        <w:overflowPunct/>
        <w:topLinePunct w:val="0"/>
        <w:bidi w:val="0"/>
        <w:spacing w:line="360" w:lineRule="auto"/>
        <w:ind w:left="0" w:firstLine="480"/>
        <w:textAlignment w:val="auto"/>
        <w:outlineLvl w:val="9"/>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w:t>
      </w:r>
      <w:r>
        <w:rPr>
          <w:rFonts w:hint="eastAsia" w:hAnsi="宋体"/>
          <w:color w:val="auto"/>
          <w:sz w:val="24"/>
          <w:szCs w:val="24"/>
          <w:highlight w:val="none"/>
        </w:rPr>
        <w:t>8 “采购文件”是指包括采购活动记录、采购预算、招标文件、电子投标文件、评标标准、评标报告、定标文件、合同文本、验收证明、质疑答复、投诉处理决定及其他有关文件、资料。</w:t>
      </w:r>
    </w:p>
    <w:p w14:paraId="683026D6">
      <w:pPr>
        <w:pageBreakBefore w:val="0"/>
        <w:widowControl w:val="0"/>
        <w:kinsoku/>
        <w:wordWrap/>
        <w:overflowPunct/>
        <w:topLinePunct w:val="0"/>
        <w:bidi w:val="0"/>
        <w:adjustRightInd w:val="0"/>
        <w:snapToGrid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2.9 “货物”是指各种形态和种类的物品，包括原材料、燃料、设备、产品等，详见《政府采购品目分类目录</w:t>
      </w:r>
      <w:r>
        <w:rPr>
          <w:rFonts w:hint="eastAsia" w:hAnsi="宋体"/>
          <w:b w:val="0"/>
          <w:bCs w:val="0"/>
          <w:color w:val="auto"/>
          <w:sz w:val="24"/>
          <w:szCs w:val="24"/>
          <w:highlight w:val="none"/>
        </w:rPr>
        <w:t>》(</w:t>
      </w:r>
      <w:r>
        <w:rPr>
          <w:rStyle w:val="49"/>
          <w:rFonts w:hint="eastAsia" w:hAnsi="宋体"/>
          <w:b w:val="0"/>
          <w:bCs w:val="0"/>
          <w:color w:val="auto"/>
          <w:sz w:val="24"/>
          <w:szCs w:val="24"/>
          <w:highlight w:val="none"/>
        </w:rPr>
        <w:t>财库[2013]189号</w:t>
      </w:r>
      <w:r>
        <w:rPr>
          <w:rFonts w:hint="eastAsia" w:hAnsi="宋体"/>
          <w:b w:val="0"/>
          <w:bCs w:val="0"/>
          <w:color w:val="auto"/>
          <w:sz w:val="24"/>
          <w:szCs w:val="24"/>
          <w:highlight w:val="none"/>
        </w:rPr>
        <w:t>)。</w:t>
      </w:r>
    </w:p>
    <w:p w14:paraId="4E9FD41B">
      <w:pPr>
        <w:pageBreakBefore w:val="0"/>
        <w:widowControl w:val="0"/>
        <w:kinsoku/>
        <w:wordWrap/>
        <w:overflowPunct/>
        <w:topLinePunct w:val="0"/>
        <w:bidi w:val="0"/>
        <w:adjustRightInd w:val="0"/>
        <w:snapToGrid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2.10 “工程”是指建设工程，包括建筑物和构筑物的新建、改建、扩建、装修、拆除、修缮等，详见《政府采购品目分类目录</w:t>
      </w:r>
      <w:r>
        <w:rPr>
          <w:rFonts w:hint="eastAsia" w:hAnsi="宋体"/>
          <w:b/>
          <w:color w:val="auto"/>
          <w:sz w:val="24"/>
          <w:szCs w:val="24"/>
          <w:highlight w:val="none"/>
        </w:rPr>
        <w:t>》(</w:t>
      </w:r>
      <w:r>
        <w:rPr>
          <w:rStyle w:val="49"/>
          <w:rFonts w:hint="eastAsia" w:hAnsi="宋体"/>
          <w:b w:val="0"/>
          <w:color w:val="auto"/>
          <w:sz w:val="24"/>
          <w:szCs w:val="24"/>
          <w:highlight w:val="none"/>
        </w:rPr>
        <w:t>财库[2013]189号</w:t>
      </w:r>
      <w:r>
        <w:rPr>
          <w:rFonts w:hint="eastAsia" w:hAnsi="宋体"/>
          <w:b/>
          <w:color w:val="auto"/>
          <w:sz w:val="24"/>
          <w:szCs w:val="24"/>
          <w:highlight w:val="none"/>
        </w:rPr>
        <w:t>)。</w:t>
      </w:r>
    </w:p>
    <w:p w14:paraId="76140F87">
      <w:pPr>
        <w:pageBreakBefore w:val="0"/>
        <w:widowControl w:val="0"/>
        <w:kinsoku/>
        <w:wordWrap/>
        <w:overflowPunct/>
        <w:topLinePunct w:val="0"/>
        <w:bidi w:val="0"/>
        <w:adjustRightInd w:val="0"/>
        <w:snapToGrid w:val="0"/>
        <w:spacing w:line="360" w:lineRule="auto"/>
        <w:ind w:left="0"/>
        <w:textAlignment w:val="auto"/>
        <w:outlineLvl w:val="9"/>
        <w:rPr>
          <w:rFonts w:hAnsi="宋体"/>
          <w:color w:val="auto"/>
          <w:sz w:val="24"/>
          <w:szCs w:val="24"/>
          <w:highlight w:val="none"/>
        </w:rPr>
      </w:pPr>
      <w:r>
        <w:rPr>
          <w:rFonts w:hint="eastAsia" w:hAnsi="宋体"/>
          <w:color w:val="auto"/>
          <w:sz w:val="24"/>
          <w:szCs w:val="24"/>
          <w:highlight w:val="none"/>
        </w:rPr>
        <w:t xml:space="preserve">    2.11“服务”是指除货物和工程以外的其他政府采购对象，详见《政府采购品目分类目录》(财库[2013]189号)。</w:t>
      </w:r>
    </w:p>
    <w:p w14:paraId="6D250351">
      <w:pPr>
        <w:pageBreakBefore w:val="0"/>
        <w:widowControl w:val="0"/>
        <w:kinsoku/>
        <w:wordWrap/>
        <w:overflowPunct/>
        <w:topLinePunct w:val="0"/>
        <w:bidi w:val="0"/>
        <w:adjustRightInd w:val="0"/>
        <w:snapToGrid w:val="0"/>
        <w:spacing w:line="360" w:lineRule="auto"/>
        <w:ind w:left="0"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2.12 节能产品是指财政部和国家发展</w:t>
      </w:r>
      <w:r>
        <w:rPr>
          <w:rFonts w:hint="eastAsia" w:hAnsi="宋体"/>
          <w:color w:val="auto"/>
          <w:sz w:val="24"/>
          <w:szCs w:val="24"/>
          <w:highlight w:val="none"/>
          <w:lang w:eastAsia="zh-CN"/>
        </w:rPr>
        <w:t>和</w:t>
      </w:r>
      <w:r>
        <w:rPr>
          <w:rFonts w:hint="eastAsia" w:hAnsi="宋体"/>
          <w:color w:val="auto"/>
          <w:sz w:val="24"/>
          <w:szCs w:val="24"/>
          <w:highlight w:val="none"/>
        </w:rPr>
        <w:t>改革委员会公布现行的《节能产品政府采购品目清单》（财库[2019]19号）中“★”标注的品目产品。</w:t>
      </w:r>
    </w:p>
    <w:p w14:paraId="58BC8D25">
      <w:pPr>
        <w:pageBreakBefore w:val="0"/>
        <w:widowControl w:val="0"/>
        <w:kinsoku/>
        <w:wordWrap/>
        <w:overflowPunct/>
        <w:topLinePunct w:val="0"/>
        <w:bidi w:val="0"/>
        <w:adjustRightInd w:val="0"/>
        <w:snapToGrid w:val="0"/>
        <w:spacing w:line="360" w:lineRule="auto"/>
        <w:ind w:left="0" w:firstLine="480" w:firstLineChars="200"/>
        <w:textAlignment w:val="auto"/>
        <w:outlineLvl w:val="9"/>
        <w:rPr>
          <w:rFonts w:hAnsi="宋体"/>
          <w:color w:val="auto"/>
          <w:sz w:val="24"/>
          <w:szCs w:val="24"/>
          <w:highlight w:val="none"/>
        </w:rPr>
      </w:pPr>
      <w:r>
        <w:rPr>
          <w:rFonts w:hint="eastAsia" w:hAnsi="宋体"/>
          <w:color w:val="auto"/>
          <w:sz w:val="24"/>
          <w:szCs w:val="24"/>
          <w:highlight w:val="none"/>
        </w:rPr>
        <w:t>2.13 环境标志产品是指财政部、环境保护部发布现行的《环境标志产品政府采购清单》（财库[2019]18号）中的品目产品。</w:t>
      </w:r>
    </w:p>
    <w:p w14:paraId="45D9ECC5">
      <w:pPr>
        <w:pageBreakBefore w:val="0"/>
        <w:widowControl w:val="0"/>
        <w:kinsoku/>
        <w:wordWrap/>
        <w:overflowPunct/>
        <w:topLinePunct w:val="0"/>
        <w:bidi w:val="0"/>
        <w:adjustRightInd w:val="0"/>
        <w:snapToGrid w:val="0"/>
        <w:spacing w:line="360" w:lineRule="auto"/>
        <w:ind w:left="0"/>
        <w:textAlignment w:val="auto"/>
        <w:outlineLvl w:val="9"/>
        <w:rPr>
          <w:rFonts w:hAnsi="宋体" w:cs="宋体"/>
          <w:color w:val="auto"/>
          <w:sz w:val="24"/>
          <w:szCs w:val="24"/>
          <w:highlight w:val="none"/>
        </w:rPr>
      </w:pPr>
      <w:r>
        <w:rPr>
          <w:rFonts w:hint="eastAsia" w:hAnsi="宋体"/>
          <w:color w:val="auto"/>
          <w:sz w:val="24"/>
          <w:szCs w:val="24"/>
          <w:highlight w:val="none"/>
        </w:rPr>
        <w:t xml:space="preserve">    2.14 “进口产品”是指通过中国海关报关验放进入中国境内且产自关境外的产品，详见《关于政府采购进口产品管理有关问题的通知》(财库[2007]119</w:t>
      </w:r>
      <w:r>
        <w:rPr>
          <w:rFonts w:hint="eastAsia" w:hAnsi="宋体" w:cs="宋体"/>
          <w:color w:val="auto"/>
          <w:sz w:val="24"/>
          <w:szCs w:val="24"/>
          <w:highlight w:val="none"/>
        </w:rPr>
        <w:t>号)。</w:t>
      </w:r>
    </w:p>
    <w:p w14:paraId="45933FED">
      <w:pPr>
        <w:pageBreakBefore w:val="0"/>
        <w:widowControl w:val="0"/>
        <w:kinsoku/>
        <w:wordWrap/>
        <w:overflowPunct/>
        <w:topLinePunct w:val="0"/>
        <w:bidi w:val="0"/>
        <w:spacing w:line="360" w:lineRule="auto"/>
        <w:ind w:left="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2.15 “书面形式”是指任</w:t>
      </w:r>
      <w:bookmarkStart w:id="56" w:name="_Toc128372732"/>
      <w:bookmarkStart w:id="57" w:name="_Toc139965328"/>
      <w:bookmarkStart w:id="58" w:name="_Toc128372054"/>
      <w:r>
        <w:rPr>
          <w:rFonts w:hint="eastAsia" w:hAnsi="宋体" w:cs="宋体"/>
          <w:color w:val="auto"/>
          <w:sz w:val="24"/>
          <w:szCs w:val="24"/>
          <w:highlight w:val="none"/>
        </w:rPr>
        <w:t>何手写、打印或印刷的各种函件，不包括电传、电报、传真、电子邮件。</w:t>
      </w:r>
    </w:p>
    <w:bookmarkEnd w:id="56"/>
    <w:bookmarkEnd w:id="57"/>
    <w:bookmarkEnd w:id="58"/>
    <w:p w14:paraId="7419D501">
      <w:pPr>
        <w:pageBreakBefore w:val="0"/>
        <w:widowControl w:val="0"/>
        <w:kinsoku/>
        <w:wordWrap/>
        <w:overflowPunct/>
        <w:topLinePunct w:val="0"/>
        <w:bidi w:val="0"/>
        <w:spacing w:before="0" w:beforeLines="0" w:after="0" w:afterLines="0" w:line="360" w:lineRule="auto"/>
        <w:ind w:left="0"/>
        <w:textAlignment w:val="auto"/>
        <w:outlineLvl w:val="9"/>
        <w:rPr>
          <w:rFonts w:hAnsi="宋体" w:cs="宋体"/>
          <w:bCs/>
          <w:color w:val="auto"/>
          <w:sz w:val="24"/>
          <w:szCs w:val="24"/>
          <w:highlight w:val="none"/>
        </w:rPr>
      </w:pPr>
      <w:bookmarkStart w:id="59" w:name="_Toc217446047"/>
      <w:r>
        <w:rPr>
          <w:rFonts w:hint="eastAsia" w:hAnsi="宋体" w:cs="宋体"/>
          <w:bCs/>
          <w:color w:val="auto"/>
          <w:sz w:val="24"/>
          <w:szCs w:val="24"/>
          <w:highlight w:val="none"/>
        </w:rPr>
        <w:t xml:space="preserve">    3. 知识产权</w:t>
      </w:r>
      <w:bookmarkEnd w:id="59"/>
    </w:p>
    <w:p w14:paraId="0DC30E3A">
      <w:pPr>
        <w:pStyle w:val="160"/>
        <w:pageBreakBefore w:val="0"/>
        <w:widowControl w:val="0"/>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AE9DF44">
      <w:pPr>
        <w:pStyle w:val="160"/>
        <w:pageBreakBefore w:val="0"/>
        <w:widowControl w:val="0"/>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3.2 采购人享有本项目实施过程中产生的知识成果及知识产权。</w:t>
      </w:r>
    </w:p>
    <w:p w14:paraId="582922E0">
      <w:pPr>
        <w:pageBreakBefore w:val="0"/>
        <w:widowControl w:val="0"/>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3.3 投标人如欲在项目实施过程中采用自有知识成果，需在电子投标文件中声明，并提供相关知识产权证明文件。使用该知识成果后，投标人需提供开发接口和开发手册等技术文档，并承诺提供无限期技术支持，采购人享有永久使用权。</w:t>
      </w:r>
    </w:p>
    <w:p w14:paraId="4245C4F9">
      <w:pPr>
        <w:pageBreakBefore w:val="0"/>
        <w:widowControl w:val="0"/>
        <w:kinsoku/>
        <w:wordWrap/>
        <w:overflowPunct/>
        <w:topLinePunct w:val="0"/>
        <w:bidi w:val="0"/>
        <w:adjustRightInd w:val="0"/>
        <w:snapToGrid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3.4 如采用投标人所不拥有的知识产权，则在投标报价中必须包括合法获取该知识产权的相关费用。</w:t>
      </w:r>
    </w:p>
    <w:p w14:paraId="526FC6EE">
      <w:pPr>
        <w:pageBreakBefore w:val="0"/>
        <w:widowControl w:val="0"/>
        <w:kinsoku/>
        <w:wordWrap/>
        <w:overflowPunct/>
        <w:topLinePunct w:val="0"/>
        <w:bidi w:val="0"/>
        <w:adjustRightInd w:val="0"/>
        <w:snapToGrid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3.5采购人、</w:t>
      </w:r>
      <w:r>
        <w:rPr>
          <w:rFonts w:hint="eastAsia" w:hAnsi="宋体"/>
          <w:color w:val="auto"/>
          <w:sz w:val="24"/>
          <w:szCs w:val="24"/>
          <w:highlight w:val="none"/>
        </w:rPr>
        <w:t>集采机构和评标专家对投标人提交的电子投标文件及其内容负有保密义务，未经对方书面同意，不得泄露或提供给第三人。</w:t>
      </w:r>
    </w:p>
    <w:bookmarkEnd w:id="52"/>
    <w:bookmarkEnd w:id="53"/>
    <w:bookmarkEnd w:id="54"/>
    <w:bookmarkEnd w:id="55"/>
    <w:p w14:paraId="7781729B">
      <w:pPr>
        <w:pageBreakBefore w:val="0"/>
        <w:widowControl w:val="0"/>
        <w:tabs>
          <w:tab w:val="left" w:pos="7665"/>
        </w:tabs>
        <w:kinsoku/>
        <w:wordWrap/>
        <w:overflowPunct/>
        <w:topLinePunct w:val="0"/>
        <w:bidi w:val="0"/>
        <w:spacing w:line="360" w:lineRule="auto"/>
        <w:ind w:left="0" w:firstLine="482" w:firstLineChars="200"/>
        <w:textAlignment w:val="auto"/>
        <w:outlineLvl w:val="9"/>
        <w:rPr>
          <w:rFonts w:hAnsi="宋体" w:cs="宋体"/>
          <w:b/>
          <w:color w:val="auto"/>
          <w:sz w:val="24"/>
          <w:szCs w:val="24"/>
          <w:highlight w:val="none"/>
        </w:rPr>
      </w:pPr>
      <w:r>
        <w:rPr>
          <w:rFonts w:hint="eastAsia" w:hAnsi="宋体" w:cs="宋体"/>
          <w:b/>
          <w:color w:val="auto"/>
          <w:sz w:val="24"/>
          <w:szCs w:val="24"/>
          <w:highlight w:val="none"/>
        </w:rPr>
        <w:t xml:space="preserve"> 4.合格的投标人</w:t>
      </w:r>
    </w:p>
    <w:p w14:paraId="6834FCF7">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4.1符合《中华人民共和国政府采购法》第二十二条供应商参加政府采购活动应当具备的条件及其他有关法律、法规关于供应商的有关规定，有能力提供招标采购货物及服务的供应商。</w:t>
      </w:r>
    </w:p>
    <w:p w14:paraId="1E524A74">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int="eastAsia" w:hAnsi="宋体" w:cs="宋体"/>
          <w:color w:val="auto"/>
          <w:sz w:val="24"/>
          <w:szCs w:val="24"/>
          <w:highlight w:val="none"/>
        </w:rPr>
      </w:pPr>
      <w:r>
        <w:rPr>
          <w:rFonts w:hint="eastAsia" w:hAnsi="宋体" w:cs="宋体"/>
          <w:color w:val="auto"/>
          <w:sz w:val="24"/>
          <w:szCs w:val="24"/>
          <w:highlight w:val="none"/>
        </w:rPr>
        <w:t>4.2 符合《</w:t>
      </w:r>
      <w:r>
        <w:rPr>
          <w:rFonts w:hint="eastAsia" w:hAnsi="宋体" w:cs="宋体"/>
          <w:color w:val="auto"/>
          <w:sz w:val="24"/>
          <w:szCs w:val="24"/>
          <w:highlight w:val="none"/>
          <w:lang w:val="en-US" w:eastAsia="zh-CN"/>
        </w:rPr>
        <w:t>招标公告</w:t>
      </w:r>
      <w:r>
        <w:rPr>
          <w:rFonts w:hint="eastAsia" w:hAnsi="宋体" w:cs="宋体"/>
          <w:color w:val="auto"/>
          <w:sz w:val="24"/>
          <w:szCs w:val="24"/>
          <w:highlight w:val="none"/>
        </w:rPr>
        <w:t>》中关于供应商资格要求的规定。</w:t>
      </w:r>
    </w:p>
    <w:p w14:paraId="6A5DDD42">
      <w:pPr>
        <w:pageBreakBefore w:val="0"/>
        <w:widowControl w:val="0"/>
        <w:tabs>
          <w:tab w:val="left" w:pos="7665"/>
        </w:tabs>
        <w:kinsoku/>
        <w:wordWrap/>
        <w:overflowPunct/>
        <w:topLinePunct w:val="0"/>
        <w:bidi w:val="0"/>
        <w:spacing w:line="360" w:lineRule="auto"/>
        <w:ind w:left="0"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5. </w:t>
      </w:r>
      <w:r>
        <w:rPr>
          <w:rFonts w:hint="eastAsia" w:ascii="宋体" w:hAnsi="宋体" w:eastAsia="宋体" w:cs="宋体"/>
          <w:b/>
          <w:color w:val="auto"/>
          <w:sz w:val="24"/>
          <w:szCs w:val="24"/>
          <w:highlight w:val="none"/>
        </w:rPr>
        <w:t>关于中小企业投标</w:t>
      </w:r>
    </w:p>
    <w:p w14:paraId="22BCE53C">
      <w:pPr>
        <w:pStyle w:val="104"/>
        <w:pageBreakBefore w:val="0"/>
        <w:widowControl w:val="0"/>
        <w:kinsoku/>
        <w:wordWrap/>
        <w:overflowPunct/>
        <w:topLinePunct w:val="0"/>
        <w:bidi w:val="0"/>
        <w:spacing w:line="360" w:lineRule="auto"/>
        <w:ind w:left="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5.1 </w:t>
      </w:r>
      <w:r>
        <w:rPr>
          <w:rFonts w:hint="eastAsia" w:ascii="宋体" w:hAnsi="宋体" w:eastAsia="宋体" w:cs="宋体"/>
          <w:color w:val="auto"/>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hAnsi="宋体" w:eastAsia="宋体" w:cs="宋体"/>
          <w:color w:val="auto"/>
          <w:highlight w:val="none"/>
          <w:lang w:val="en-US" w:eastAsia="zh-CN"/>
        </w:rPr>
        <w:t>中小企业投标应提供《中小企业声明函》，采购标的对应的中小企业划分标准所属行业详见投标邀请和投标人须知前附表。</w:t>
      </w:r>
    </w:p>
    <w:p w14:paraId="0AF173F1">
      <w:pPr>
        <w:pStyle w:val="104"/>
        <w:pageBreakBefore w:val="0"/>
        <w:widowControl w:val="0"/>
        <w:kinsoku/>
        <w:wordWrap/>
        <w:overflowPunct/>
        <w:topLinePunct w:val="0"/>
        <w:bidi w:val="0"/>
        <w:spacing w:line="360" w:lineRule="auto"/>
        <w:ind w:left="0" w:firstLine="480" w:firstLineChars="200"/>
        <w:textAlignment w:va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 符合中小企业划分标准的个体工商户，在政府采购活动中视同中小企业。</w:t>
      </w:r>
    </w:p>
    <w:p w14:paraId="5F617CFE">
      <w:pPr>
        <w:pStyle w:val="104"/>
        <w:pageBreakBefore w:val="0"/>
        <w:widowControl w:val="0"/>
        <w:kinsoku/>
        <w:wordWrap/>
        <w:overflowPunct/>
        <w:topLinePunct w:val="0"/>
        <w:bidi w:val="0"/>
        <w:spacing w:line="360" w:lineRule="auto"/>
        <w:ind w:left="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5.3 </w:t>
      </w:r>
      <w:r>
        <w:rPr>
          <w:rFonts w:hint="eastAsia" w:ascii="宋体" w:hAnsi="宋体" w:eastAsia="宋体" w:cs="宋体"/>
          <w:color w:val="auto"/>
          <w:highlight w:val="none"/>
        </w:rPr>
        <w:t>中小企业</w:t>
      </w:r>
      <w:r>
        <w:rPr>
          <w:rFonts w:hint="eastAsia" w:ascii="宋体" w:hAnsi="宋体" w:eastAsia="宋体" w:cs="宋体"/>
          <w:color w:val="auto"/>
          <w:highlight w:val="none"/>
          <w:lang w:eastAsia="zh-CN"/>
        </w:rPr>
        <w:t>提供的货物由中小企业生产且使用该中小企业商号或者注册商标的，享受中小企业扶持政策。</w:t>
      </w:r>
      <w:r>
        <w:rPr>
          <w:rFonts w:hint="eastAsia" w:ascii="宋体" w:hAnsi="宋体" w:eastAsia="宋体" w:cs="宋体"/>
          <w:color w:val="auto"/>
          <w:highlight w:val="none"/>
          <w:lang w:val="en-US" w:eastAsia="zh-CN"/>
        </w:rPr>
        <w:t>提供的货物既有中小企业制造</w:t>
      </w:r>
      <w:r>
        <w:rPr>
          <w:rFonts w:hint="eastAsia" w:ascii="宋体" w:hAnsi="宋体" w:eastAsia="宋体" w:cs="宋体"/>
          <w:color w:val="auto"/>
          <w:highlight w:val="none"/>
          <w:lang w:val="en" w:eastAsia="zh-CN"/>
        </w:rPr>
        <w:t>的</w:t>
      </w:r>
      <w:r>
        <w:rPr>
          <w:rFonts w:hint="eastAsia" w:ascii="宋体" w:hAnsi="宋体" w:eastAsia="宋体" w:cs="宋体"/>
          <w:color w:val="auto"/>
          <w:highlight w:val="none"/>
          <w:lang w:val="en-US" w:eastAsia="zh-CN"/>
        </w:rPr>
        <w:t>货物，也有大型企业制造货物的，不享受中小企业扶持政策。</w:t>
      </w:r>
    </w:p>
    <w:p w14:paraId="50FE25BD">
      <w:pPr>
        <w:pStyle w:val="104"/>
        <w:pageBreakBefore w:val="0"/>
        <w:widowControl w:val="0"/>
        <w:kinsoku/>
        <w:wordWrap/>
        <w:overflowPunct/>
        <w:topLinePunct w:val="0"/>
        <w:bidi w:val="0"/>
        <w:spacing w:line="360" w:lineRule="auto"/>
        <w:ind w:left="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 xml:space="preserve">5.4 </w:t>
      </w:r>
      <w:r>
        <w:rPr>
          <w:rFonts w:hint="eastAsia" w:ascii="宋体" w:hAnsi="宋体" w:eastAsia="宋体" w:cs="宋体"/>
          <w:color w:val="auto"/>
          <w:highlight w:val="none"/>
        </w:rPr>
        <w:t>根据财库〔2014〕68号《财政部 司法部关于政府采购支持监狱企业发展有关问题的通知》，监狱企业视同小</w:t>
      </w:r>
      <w:r>
        <w:rPr>
          <w:rFonts w:hint="eastAsia" w:ascii="宋体" w:hAnsi="宋体" w:eastAsia="宋体" w:cs="宋体"/>
          <w:color w:val="auto"/>
          <w:highlight w:val="none"/>
          <w:lang w:eastAsia="zh-CN"/>
        </w:rPr>
        <w:t>型、</w:t>
      </w:r>
      <w:r>
        <w:rPr>
          <w:rFonts w:hint="eastAsia" w:ascii="宋体" w:hAnsi="宋体" w:eastAsia="宋体" w:cs="宋体"/>
          <w:color w:val="auto"/>
          <w:highlight w:val="none"/>
        </w:rPr>
        <w:t>微</w:t>
      </w:r>
      <w:r>
        <w:rPr>
          <w:rFonts w:hint="eastAsia" w:ascii="宋体" w:hAnsi="宋体" w:eastAsia="宋体" w:cs="宋体"/>
          <w:color w:val="auto"/>
          <w:highlight w:val="none"/>
          <w:lang w:eastAsia="zh-CN"/>
        </w:rPr>
        <w:t>型</w:t>
      </w:r>
      <w:r>
        <w:rPr>
          <w:rFonts w:hint="eastAsia" w:ascii="宋体" w:hAnsi="宋体" w:eastAsia="宋体" w:cs="宋体"/>
          <w:color w:val="auto"/>
          <w:highlight w:val="none"/>
        </w:rPr>
        <w:t>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FD6D388">
      <w:pPr>
        <w:pStyle w:val="104"/>
        <w:pageBreakBefore w:val="0"/>
        <w:widowControl w:val="0"/>
        <w:kinsoku/>
        <w:wordWrap/>
        <w:overflowPunct/>
        <w:topLinePunct w:val="0"/>
        <w:bidi w:val="0"/>
        <w:spacing w:line="360" w:lineRule="auto"/>
        <w:ind w:left="0" w:firstLine="48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5.5 </w:t>
      </w:r>
      <w:r>
        <w:rPr>
          <w:rFonts w:hint="eastAsia" w:ascii="宋体" w:hAnsi="宋体" w:eastAsia="宋体" w:cs="宋体"/>
          <w:color w:val="auto"/>
          <w:szCs w:val="21"/>
          <w:highlight w:val="none"/>
        </w:rPr>
        <w:t>根据《财政部 民政部 中国残疾人联合会关于促进残疾人就业政府采购政策的通知》（财库〔2017〕141号）的规定，残疾人福利性单位视同为小型、微型企业。</w:t>
      </w:r>
    </w:p>
    <w:p w14:paraId="30165E49">
      <w:pPr>
        <w:pStyle w:val="104"/>
        <w:pageBreakBefore w:val="0"/>
        <w:widowControl w:val="0"/>
        <w:kinsoku/>
        <w:wordWrap/>
        <w:overflowPunct/>
        <w:topLinePunct w:val="0"/>
        <w:bidi w:val="0"/>
        <w:spacing w:line="360" w:lineRule="auto"/>
        <w:ind w:left="0" w:firstLine="48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5.6 </w:t>
      </w:r>
      <w:r>
        <w:rPr>
          <w:rFonts w:hint="eastAsia" w:ascii="宋体" w:hAnsi="宋体" w:eastAsia="宋体" w:cs="宋体"/>
          <w:strike w:val="0"/>
          <w:dstrike w:val="0"/>
          <w:color w:val="auto"/>
          <w:sz w:val="24"/>
          <w:szCs w:val="21"/>
          <w:highlight w:val="none"/>
          <w:lang w:val="en-US" w:eastAsia="zh-CN"/>
        </w:rPr>
        <w:t>采购人</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随中标结果同时公告</w:t>
      </w:r>
      <w:r>
        <w:rPr>
          <w:rFonts w:hint="eastAsia" w:ascii="宋体" w:hAnsi="宋体" w:eastAsia="宋体" w:cs="宋体"/>
          <w:color w:val="auto"/>
          <w:szCs w:val="21"/>
          <w:highlight w:val="none"/>
          <w:lang w:val="en-US" w:eastAsia="zh-CN"/>
        </w:rPr>
        <w:t>中标供应商的《中小企业声明函》。</w:t>
      </w:r>
    </w:p>
    <w:p w14:paraId="6F26E9B7">
      <w:pPr>
        <w:pStyle w:val="104"/>
        <w:pageBreakBefore w:val="0"/>
        <w:widowControl w:val="0"/>
        <w:kinsoku/>
        <w:wordWrap/>
        <w:overflowPunct/>
        <w:topLinePunct w:val="0"/>
        <w:bidi w:val="0"/>
        <w:spacing w:line="360" w:lineRule="auto"/>
        <w:ind w:left="0" w:firstLine="48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5.7 </w:t>
      </w:r>
      <w:r>
        <w:rPr>
          <w:rFonts w:hint="eastAsia" w:ascii="宋体" w:hAnsi="宋体" w:eastAsia="宋体" w:cs="宋体"/>
          <w:color w:val="auto"/>
          <w:szCs w:val="21"/>
          <w:highlight w:val="none"/>
        </w:rPr>
        <w:t>中标供应商为残疾人福利性单位的，</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随中标结果同时公告其《残疾人福利性单位声明函》，接受社会监督。</w:t>
      </w:r>
    </w:p>
    <w:p w14:paraId="2370D9D2">
      <w:pPr>
        <w:pageBreakBefore w:val="0"/>
        <w:widowControl w:val="0"/>
        <w:tabs>
          <w:tab w:val="left" w:pos="7665"/>
        </w:tabs>
        <w:kinsoku/>
        <w:wordWrap/>
        <w:overflowPunct/>
        <w:topLinePunct w:val="0"/>
        <w:bidi w:val="0"/>
        <w:spacing w:line="360" w:lineRule="auto"/>
        <w:ind w:left="0" w:firstLine="482" w:firstLineChars="200"/>
        <w:textAlignment w:val="auto"/>
        <w:outlineLvl w:val="9"/>
        <w:rPr>
          <w:rFonts w:hAnsi="宋体" w:cs="宋体"/>
          <w:b/>
          <w:bCs/>
          <w:color w:val="auto"/>
          <w:sz w:val="24"/>
          <w:szCs w:val="24"/>
          <w:highlight w:val="none"/>
        </w:rPr>
      </w:pPr>
      <w:r>
        <w:rPr>
          <w:rFonts w:hint="eastAsia" w:hAnsi="宋体" w:cs="宋体"/>
          <w:b/>
          <w:bCs/>
          <w:color w:val="auto"/>
          <w:sz w:val="24"/>
          <w:szCs w:val="24"/>
          <w:highlight w:val="none"/>
          <w:lang w:val="en-US" w:eastAsia="zh-CN"/>
        </w:rPr>
        <w:t>6.</w:t>
      </w:r>
      <w:r>
        <w:rPr>
          <w:rFonts w:hint="eastAsia" w:hAnsi="宋体" w:cs="宋体"/>
          <w:b/>
          <w:bCs/>
          <w:color w:val="auto"/>
          <w:sz w:val="24"/>
          <w:szCs w:val="24"/>
          <w:highlight w:val="none"/>
        </w:rPr>
        <w:t>关于联合体投标</w:t>
      </w:r>
    </w:p>
    <w:p w14:paraId="0C4BBBC6">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若《投标邀请》接受联合体投标的：</w:t>
      </w:r>
    </w:p>
    <w:p w14:paraId="1B527A4D">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（1）两个以上的自然人、法人或者其他组织可以组成一个联合体，以一个供应商的身份共同参加政府采购。</w:t>
      </w:r>
    </w:p>
    <w:p w14:paraId="238D19C4">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（2）联合体各方均应当符合《政府采购法》第二十二条第一款规定的条件，根据采购项目的特殊要求规定投标人特定条件的，联合体各方中至少应当有一方符合《投标邀请》规定的供应商资格条件。</w:t>
      </w:r>
    </w:p>
    <w:p w14:paraId="3089EB66">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（3）联合体各方之间应当签订</w:t>
      </w:r>
      <w:r>
        <w:rPr>
          <w:rFonts w:hint="eastAsia" w:hAnsi="宋体" w:cs="宋体"/>
          <w:color w:val="auto"/>
          <w:sz w:val="24"/>
          <w:szCs w:val="24"/>
          <w:highlight w:val="none"/>
          <w:lang w:eastAsia="zh-CN"/>
        </w:rPr>
        <w:t>联合</w:t>
      </w:r>
      <w:r>
        <w:rPr>
          <w:rFonts w:hint="eastAsia" w:hAnsi="宋体" w:cs="宋体"/>
          <w:color w:val="auto"/>
          <w:sz w:val="24"/>
          <w:szCs w:val="24"/>
          <w:highlight w:val="none"/>
        </w:rPr>
        <w:t>协议并在电子投标文件内提交，明确约定联合体主体及联合体各方承担的工作和相应的责任。联合体各方签订</w:t>
      </w:r>
      <w:r>
        <w:rPr>
          <w:rFonts w:hint="eastAsia" w:hAnsi="宋体" w:cs="宋体"/>
          <w:color w:val="auto"/>
          <w:sz w:val="24"/>
          <w:szCs w:val="24"/>
          <w:highlight w:val="none"/>
          <w:lang w:eastAsia="zh-CN"/>
        </w:rPr>
        <w:t>联合</w:t>
      </w:r>
      <w:r>
        <w:rPr>
          <w:rFonts w:hint="eastAsia" w:hAnsi="宋体" w:cs="宋体"/>
          <w:color w:val="auto"/>
          <w:sz w:val="24"/>
          <w:szCs w:val="24"/>
          <w:highlight w:val="none"/>
        </w:rPr>
        <w:t>协议后，不得再以自己名义单独在同一项目中投标，也不得组成新的联合体参加同一项目投标。</w:t>
      </w:r>
    </w:p>
    <w:p w14:paraId="381CD707">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int="eastAsia" w:hAnsi="宋体" w:cs="宋体"/>
          <w:color w:val="auto"/>
          <w:sz w:val="24"/>
          <w:szCs w:val="24"/>
          <w:highlight w:val="none"/>
        </w:rPr>
      </w:pPr>
      <w:r>
        <w:rPr>
          <w:rFonts w:hint="eastAsia" w:hAnsi="宋体" w:cs="宋体"/>
          <w:color w:val="auto"/>
          <w:sz w:val="24"/>
          <w:szCs w:val="24"/>
          <w:highlight w:val="none"/>
        </w:rPr>
        <w:t>（4）在公共资源交易电子服务系统中</w:t>
      </w:r>
      <w:r>
        <w:rPr>
          <w:rFonts w:hint="eastAsia" w:hAnsi="宋体" w:cs="宋体"/>
          <w:color w:val="auto"/>
          <w:sz w:val="24"/>
          <w:szCs w:val="24"/>
          <w:highlight w:val="none"/>
          <w:lang w:eastAsia="zh-CN"/>
        </w:rPr>
        <w:t>“我要投标”登记</w:t>
      </w:r>
      <w:r>
        <w:rPr>
          <w:rFonts w:hint="eastAsia" w:hAnsi="宋体" w:cs="宋体"/>
          <w:color w:val="auto"/>
          <w:sz w:val="24"/>
          <w:szCs w:val="24"/>
          <w:highlight w:val="none"/>
        </w:rPr>
        <w:t>时，应以联合协议中确定的主体方名义</w:t>
      </w:r>
      <w:r>
        <w:rPr>
          <w:rFonts w:hint="eastAsia" w:hAnsi="宋体" w:cs="宋体"/>
          <w:color w:val="auto"/>
          <w:sz w:val="24"/>
          <w:szCs w:val="24"/>
          <w:highlight w:val="none"/>
          <w:lang w:eastAsia="zh-CN"/>
        </w:rPr>
        <w:t>登记</w:t>
      </w:r>
      <w:r>
        <w:rPr>
          <w:rFonts w:hint="eastAsia" w:hAnsi="宋体" w:cs="宋体"/>
          <w:color w:val="auto"/>
          <w:sz w:val="24"/>
          <w:szCs w:val="24"/>
          <w:highlight w:val="none"/>
        </w:rPr>
        <w:t>。主体方必须按要求填写其他联合体各方的信息。</w:t>
      </w:r>
    </w:p>
    <w:p w14:paraId="7008BCF3">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B1CC497">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int="eastAsia" w:hAnsi="宋体" w:eastAsia="宋体" w:cs="宋体"/>
          <w:strike w:val="0"/>
          <w:dstrike w:val="0"/>
          <w:color w:val="auto"/>
          <w:sz w:val="24"/>
          <w:szCs w:val="24"/>
          <w:highlight w:val="none"/>
          <w:lang w:eastAsia="zh-CN"/>
        </w:rPr>
      </w:pPr>
      <w:r>
        <w:rPr>
          <w:rFonts w:hint="eastAsia" w:hAnsi="宋体" w:cs="宋体"/>
          <w:strike w:val="0"/>
          <w:dstrike w:val="0"/>
          <w:color w:val="auto"/>
          <w:sz w:val="24"/>
          <w:szCs w:val="24"/>
          <w:highlight w:val="none"/>
        </w:rPr>
        <w:t>（</w:t>
      </w:r>
      <w:r>
        <w:rPr>
          <w:rFonts w:hint="eastAsia" w:hAnsi="宋体" w:cs="宋体"/>
          <w:strike w:val="0"/>
          <w:dstrike w:val="0"/>
          <w:color w:val="auto"/>
          <w:sz w:val="24"/>
          <w:szCs w:val="24"/>
          <w:highlight w:val="none"/>
          <w:lang w:val="en-US" w:eastAsia="zh-CN"/>
        </w:rPr>
        <w:t>6</w:t>
      </w:r>
      <w:r>
        <w:rPr>
          <w:rFonts w:hint="eastAsia" w:hAnsi="宋体" w:cs="宋体"/>
          <w:strike w:val="0"/>
          <w:dstrike w:val="0"/>
          <w:color w:val="auto"/>
          <w:sz w:val="24"/>
          <w:szCs w:val="24"/>
          <w:highlight w:val="none"/>
        </w:rPr>
        <w:t>）联合体各方均应提供《中小企业声明函》</w:t>
      </w:r>
      <w:r>
        <w:rPr>
          <w:rFonts w:hint="eastAsia" w:hAnsi="宋体" w:cs="宋体"/>
          <w:strike w:val="0"/>
          <w:dstrike w:val="0"/>
          <w:color w:val="auto"/>
          <w:sz w:val="24"/>
          <w:szCs w:val="24"/>
          <w:highlight w:val="none"/>
          <w:lang w:val="en-US" w:eastAsia="zh-CN"/>
        </w:rPr>
        <w:t>。</w:t>
      </w:r>
    </w:p>
    <w:p w14:paraId="20062E8A">
      <w:pPr>
        <w:pStyle w:val="2"/>
        <w:pageBreakBefore w:val="0"/>
        <w:widowControl w:val="0"/>
        <w:tabs>
          <w:tab w:val="right" w:leader="dot" w:pos="8400"/>
        </w:tabs>
        <w:kinsoku/>
        <w:wordWrap/>
        <w:overflowPunct/>
        <w:topLinePunct w:val="0"/>
        <w:bidi w:val="0"/>
        <w:spacing w:line="360" w:lineRule="auto"/>
        <w:ind w:left="0"/>
        <w:textAlignment w:val="auto"/>
        <w:outlineLvl w:val="9"/>
        <w:rPr>
          <w:rFonts w:hint="eastAsia" w:ascii="Times New Roman" w:hAnsi="宋体" w:eastAsia="宋体" w:cs="宋体"/>
          <w:smallCaps w:val="0"/>
          <w:color w:val="auto"/>
          <w:kern w:val="2"/>
          <w:sz w:val="24"/>
          <w:szCs w:val="24"/>
          <w:highlight w:val="none"/>
          <w:lang w:val="en-US" w:eastAsia="zh-CN" w:bidi="ar-SA"/>
        </w:rPr>
      </w:pPr>
      <w:r>
        <w:rPr>
          <w:rFonts w:hint="eastAsia"/>
          <w:color w:val="auto"/>
          <w:lang w:val="en-US" w:eastAsia="zh-CN"/>
        </w:rPr>
        <w:t xml:space="preserve">      </w:t>
      </w:r>
      <w:r>
        <w:rPr>
          <w:rFonts w:hint="eastAsia" w:ascii="Times New Roman" w:hAnsi="宋体" w:eastAsia="宋体" w:cs="宋体"/>
          <w:smallCaps w:val="0"/>
          <w:color w:val="auto"/>
          <w:kern w:val="2"/>
          <w:sz w:val="24"/>
          <w:szCs w:val="24"/>
          <w:highlight w:val="none"/>
          <w:lang w:val="en-US" w:eastAsia="zh-CN" w:bidi="ar-SA"/>
        </w:rPr>
        <w:t>（7）以联合体形式参加政府采购活动，联合体各方均为中小企业的，联</w:t>
      </w:r>
    </w:p>
    <w:p w14:paraId="2151FFDD">
      <w:pPr>
        <w:pStyle w:val="2"/>
        <w:pageBreakBefore w:val="0"/>
        <w:widowControl w:val="0"/>
        <w:tabs>
          <w:tab w:val="right" w:leader="dot" w:pos="8400"/>
        </w:tabs>
        <w:kinsoku/>
        <w:wordWrap/>
        <w:overflowPunct/>
        <w:topLinePunct w:val="0"/>
        <w:bidi w:val="0"/>
        <w:spacing w:line="360" w:lineRule="auto"/>
        <w:ind w:left="0" w:leftChars="0" w:firstLine="0" w:firstLineChars="0"/>
        <w:textAlignment w:val="auto"/>
        <w:outlineLvl w:val="9"/>
        <w:rPr>
          <w:rFonts w:hint="default" w:ascii="Times New Roman" w:hAnsi="宋体" w:eastAsia="宋体" w:cs="宋体"/>
          <w:smallCaps w:val="0"/>
          <w:color w:val="auto"/>
          <w:kern w:val="2"/>
          <w:sz w:val="24"/>
          <w:szCs w:val="24"/>
          <w:highlight w:val="none"/>
          <w:lang w:val="en-US" w:eastAsia="zh-CN" w:bidi="ar-SA"/>
        </w:rPr>
      </w:pPr>
      <w:r>
        <w:rPr>
          <w:rFonts w:hint="eastAsia" w:ascii="Times New Roman" w:hAnsi="宋体" w:eastAsia="宋体" w:cs="宋体"/>
          <w:smallCaps w:val="0"/>
          <w:color w:val="auto"/>
          <w:kern w:val="2"/>
          <w:sz w:val="24"/>
          <w:szCs w:val="24"/>
          <w:highlight w:val="none"/>
          <w:lang w:val="en-US" w:eastAsia="zh-CN" w:bidi="ar-SA"/>
        </w:rPr>
        <w:t>合体视同中小企业。其中，联合体各方均为小微企业的，联合体视同小微企业。</w:t>
      </w:r>
    </w:p>
    <w:p w14:paraId="2D034544">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）联合体各方应当共同与采购人签订采购合同，就采购合同约定的事项对采购人承担连带责任。</w:t>
      </w:r>
    </w:p>
    <w:p w14:paraId="6A054BE0">
      <w:pPr>
        <w:pageBreakBefore w:val="0"/>
        <w:widowControl w:val="0"/>
        <w:tabs>
          <w:tab w:val="left" w:pos="7665"/>
        </w:tabs>
        <w:kinsoku/>
        <w:wordWrap/>
        <w:overflowPunct/>
        <w:topLinePunct w:val="0"/>
        <w:bidi w:val="0"/>
        <w:spacing w:line="360" w:lineRule="auto"/>
        <w:ind w:left="0" w:firstLine="482" w:firstLineChars="200"/>
        <w:textAlignment w:val="auto"/>
        <w:outlineLvl w:val="9"/>
        <w:rPr>
          <w:rFonts w:hAnsi="宋体" w:cs="宋体"/>
          <w:b/>
          <w:bCs/>
          <w:color w:val="auto"/>
          <w:sz w:val="24"/>
          <w:szCs w:val="24"/>
          <w:highlight w:val="none"/>
        </w:rPr>
      </w:pP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 xml:space="preserve"> 关于关联企业投标</w:t>
      </w:r>
    </w:p>
    <w:p w14:paraId="07E9932F">
      <w:pPr>
        <w:pageBreakBefore w:val="0"/>
        <w:widowControl w:val="0"/>
        <w:tabs>
          <w:tab w:val="left" w:pos="7665"/>
        </w:tabs>
        <w:kinsoku/>
        <w:wordWrap/>
        <w:overflowPunct/>
        <w:topLinePunct w:val="0"/>
        <w:bidi w:val="0"/>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 xml:space="preserve">7.1 </w:t>
      </w:r>
      <w:r>
        <w:rPr>
          <w:rFonts w:hint="eastAsia" w:hAnsi="宋体" w:cs="宋体"/>
          <w:color w:val="auto"/>
          <w:sz w:val="24"/>
          <w:szCs w:val="24"/>
          <w:highlight w:val="none"/>
        </w:rPr>
        <w:t>除联合体外，法定代表人或单位负责人为同一个人或者存在直接控股、管理关系的不同供应商，不得同时参加同一项目或同一子项目的投标。如同时参加，则评审时将同时被拒绝。</w:t>
      </w:r>
    </w:p>
    <w:p w14:paraId="1435554A">
      <w:pPr>
        <w:pStyle w:val="104"/>
        <w:pageBreakBefore w:val="0"/>
        <w:widowControl w:val="0"/>
        <w:kinsoku/>
        <w:wordWrap/>
        <w:overflowPunct/>
        <w:topLinePunct w:val="0"/>
        <w:bidi w:val="0"/>
        <w:spacing w:line="360" w:lineRule="auto"/>
        <w:ind w:left="0"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关于分公司投标</w:t>
      </w:r>
    </w:p>
    <w:p w14:paraId="17372146">
      <w:pPr>
        <w:pStyle w:val="104"/>
        <w:pageBreakBefore w:val="0"/>
        <w:widowControl w:val="0"/>
        <w:kinsoku/>
        <w:wordWrap/>
        <w:overflowPunct/>
        <w:topLinePunct w:val="0"/>
        <w:bidi w:val="0"/>
        <w:spacing w:line="360" w:lineRule="auto"/>
        <w:ind w:left="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 xml:space="preserve">8.1 </w:t>
      </w:r>
      <w:r>
        <w:rPr>
          <w:rFonts w:hint="eastAsia" w:ascii="宋体" w:hAnsi="宋体" w:eastAsia="宋体" w:cs="宋体"/>
          <w:color w:val="auto"/>
          <w:highlight w:val="none"/>
        </w:rPr>
        <w:t>除银行、保险、电力、电信等特殊行业外，本项目不接受非独立法人单位分公司的投标）</w:t>
      </w:r>
    </w:p>
    <w:p w14:paraId="1AF9DDC2">
      <w:pPr>
        <w:pStyle w:val="104"/>
        <w:pageBreakBefore w:val="0"/>
        <w:widowControl w:val="0"/>
        <w:kinsoku/>
        <w:wordWrap/>
        <w:overflowPunct/>
        <w:topLinePunct w:val="0"/>
        <w:bidi w:val="0"/>
        <w:spacing w:line="360" w:lineRule="auto"/>
        <w:ind w:left="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 xml:space="preserve">8.2 </w:t>
      </w:r>
      <w:r>
        <w:rPr>
          <w:rFonts w:hint="eastAsia" w:ascii="宋体" w:hAnsi="宋体" w:eastAsia="宋体" w:cs="宋体"/>
          <w:color w:val="auto"/>
          <w:highlight w:val="none"/>
        </w:rPr>
        <w:t>分公司作为投标人参与本项目政府采购活动的，应提供具有法人资格的总公司的营业执照副本</w:t>
      </w:r>
      <w:r>
        <w:rPr>
          <w:rFonts w:hint="eastAsia" w:ascii="宋体" w:hAnsi="宋体" w:eastAsia="宋体" w:cs="宋体"/>
          <w:color w:val="auto"/>
          <w:highlight w:val="none"/>
          <w:lang w:eastAsia="zh-CN"/>
        </w:rPr>
        <w:t>原件彩色</w:t>
      </w:r>
      <w:r>
        <w:rPr>
          <w:rFonts w:hint="eastAsia" w:ascii="宋体" w:hAnsi="宋体" w:eastAsia="宋体" w:cs="宋体"/>
          <w:color w:val="auto"/>
          <w:highlight w:val="none"/>
        </w:rPr>
        <w:t>扫描件及法人企业授权书</w:t>
      </w:r>
      <w:r>
        <w:rPr>
          <w:rFonts w:hint="eastAsia" w:ascii="宋体" w:hAnsi="宋体" w:eastAsia="宋体" w:cs="宋体"/>
          <w:color w:val="auto"/>
          <w:highlight w:val="none"/>
          <w:lang w:eastAsia="zh-CN"/>
        </w:rPr>
        <w:t>原件彩色</w:t>
      </w:r>
      <w:r>
        <w:rPr>
          <w:rFonts w:hint="eastAsia" w:ascii="宋体" w:hAnsi="宋体" w:eastAsia="宋体" w:cs="宋体"/>
          <w:color w:val="auto"/>
          <w:highlight w:val="none"/>
        </w:rPr>
        <w:t>扫描件，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766790D">
      <w:pPr>
        <w:pStyle w:val="104"/>
        <w:pageBreakBefore w:val="0"/>
        <w:widowControl w:val="0"/>
        <w:kinsoku/>
        <w:wordWrap/>
        <w:overflowPunct/>
        <w:topLinePunct w:val="0"/>
        <w:bidi w:val="0"/>
        <w:spacing w:line="360" w:lineRule="auto"/>
        <w:ind w:left="0" w:firstLine="482" w:firstLineChars="200"/>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9. </w:t>
      </w:r>
      <w:r>
        <w:rPr>
          <w:rFonts w:hint="eastAsia" w:ascii="宋体" w:hAnsi="宋体" w:eastAsia="宋体" w:cs="宋体"/>
          <w:b/>
          <w:bCs/>
          <w:color w:val="auto"/>
          <w:highlight w:val="none"/>
        </w:rPr>
        <w:t>关于提供前期服务的供应商</w:t>
      </w:r>
    </w:p>
    <w:p w14:paraId="09B79755">
      <w:pPr>
        <w:pStyle w:val="104"/>
        <w:pageBreakBefore w:val="0"/>
        <w:widowControl w:val="0"/>
        <w:kinsoku/>
        <w:wordWrap/>
        <w:overflowPunct/>
        <w:topLinePunct w:val="0"/>
        <w:bidi w:val="0"/>
        <w:spacing w:line="360" w:lineRule="auto"/>
        <w:ind w:left="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 xml:space="preserve">9.1 </w:t>
      </w:r>
      <w:r>
        <w:rPr>
          <w:rFonts w:hint="eastAsia" w:ascii="宋体" w:hAnsi="宋体" w:eastAsia="宋体" w:cs="宋体"/>
          <w:color w:val="auto"/>
          <w:highlight w:val="none"/>
        </w:rPr>
        <w:t>为采购项目提供整体设计、规范编制或者项目管理、监理、检测等服务的供应商，不得再参加该采购项目的其他采购活动。</w:t>
      </w:r>
    </w:p>
    <w:p w14:paraId="53966194">
      <w:pPr>
        <w:pageBreakBefore w:val="0"/>
        <w:widowControl w:val="0"/>
        <w:kinsoku/>
        <w:wordWrap/>
        <w:overflowPunct/>
        <w:topLinePunct w:val="0"/>
        <w:bidi w:val="0"/>
        <w:spacing w:before="0" w:beforeLines="0" w:after="0" w:afterLines="0" w:line="360" w:lineRule="auto"/>
        <w:ind w:left="0"/>
        <w:textAlignment w:val="auto"/>
        <w:outlineLvl w:val="9"/>
        <w:rPr>
          <w:rFonts w:hAnsi="宋体" w:cs="宋体"/>
          <w:color w:val="auto"/>
          <w:sz w:val="24"/>
          <w:szCs w:val="24"/>
          <w:highlight w:val="none"/>
        </w:rPr>
      </w:pPr>
      <w:bookmarkStart w:id="60" w:name="_Toc217446037"/>
      <w:bookmarkStart w:id="61" w:name="_Toc183682345"/>
      <w:bookmarkStart w:id="62" w:name="_Toc183582208"/>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10</w:t>
      </w:r>
      <w:r>
        <w:rPr>
          <w:rFonts w:hint="eastAsia" w:hAnsi="宋体" w:cs="宋体"/>
          <w:color w:val="auto"/>
          <w:sz w:val="24"/>
          <w:szCs w:val="24"/>
          <w:highlight w:val="none"/>
        </w:rPr>
        <w:t>. 投标费用</w:t>
      </w:r>
      <w:bookmarkEnd w:id="60"/>
      <w:bookmarkEnd w:id="61"/>
      <w:bookmarkEnd w:id="62"/>
    </w:p>
    <w:p w14:paraId="1318C389">
      <w:pPr>
        <w:pageBreakBefore w:val="0"/>
        <w:widowControl w:val="0"/>
        <w:tabs>
          <w:tab w:val="left" w:pos="7665"/>
        </w:tabs>
        <w:kinsoku/>
        <w:wordWrap/>
        <w:overflowPunct/>
        <w:topLinePunct w:val="0"/>
        <w:bidi w:val="0"/>
        <w:spacing w:line="360" w:lineRule="auto"/>
        <w:ind w:left="0" w:firstLine="48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10</w:t>
      </w:r>
      <w:r>
        <w:rPr>
          <w:rFonts w:hint="eastAsia" w:hAnsi="宋体" w:cs="宋体"/>
          <w:color w:val="auto"/>
          <w:sz w:val="24"/>
          <w:szCs w:val="24"/>
          <w:highlight w:val="none"/>
        </w:rPr>
        <w:t>.1无论招标的结果如何，供应商应自行承担所有与招标采购活动有关的全部费用。</w:t>
      </w:r>
    </w:p>
    <w:p w14:paraId="787F2F7E">
      <w:pPr>
        <w:pageBreakBefore w:val="0"/>
        <w:widowControl w:val="0"/>
        <w:tabs>
          <w:tab w:val="left" w:pos="7665"/>
        </w:tabs>
        <w:kinsoku/>
        <w:wordWrap/>
        <w:overflowPunct/>
        <w:topLinePunct w:val="0"/>
        <w:bidi w:val="0"/>
        <w:spacing w:line="360" w:lineRule="auto"/>
        <w:ind w:left="0" w:firstLine="480"/>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val="en-US" w:eastAsia="zh-CN"/>
        </w:rPr>
        <w:t>11</w:t>
      </w:r>
      <w:r>
        <w:rPr>
          <w:rFonts w:hint="eastAsia" w:hAnsi="宋体" w:cs="宋体"/>
          <w:b/>
          <w:color w:val="auto"/>
          <w:sz w:val="24"/>
          <w:szCs w:val="24"/>
          <w:highlight w:val="none"/>
        </w:rPr>
        <w:t>.现场</w:t>
      </w:r>
      <w:r>
        <w:rPr>
          <w:rFonts w:hint="eastAsia" w:hAnsi="宋体" w:cs="宋体"/>
          <w:b/>
          <w:color w:val="auto"/>
          <w:sz w:val="24"/>
          <w:szCs w:val="24"/>
          <w:highlight w:val="none"/>
          <w:lang w:eastAsia="zh-CN"/>
        </w:rPr>
        <w:t>踏勘</w:t>
      </w:r>
    </w:p>
    <w:p w14:paraId="22DB00ED">
      <w:pPr>
        <w:pageBreakBefore w:val="0"/>
        <w:widowControl w:val="0"/>
        <w:tabs>
          <w:tab w:val="left" w:pos="7665"/>
        </w:tabs>
        <w:kinsoku/>
        <w:wordWrap/>
        <w:overflowPunct/>
        <w:topLinePunct w:val="0"/>
        <w:bidi w:val="0"/>
        <w:spacing w:line="360" w:lineRule="auto"/>
        <w:ind w:left="0" w:firstLine="48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11</w:t>
      </w:r>
      <w:r>
        <w:rPr>
          <w:rFonts w:hint="eastAsia" w:hAnsi="宋体" w:cs="宋体"/>
          <w:color w:val="auto"/>
          <w:sz w:val="24"/>
          <w:szCs w:val="24"/>
          <w:highlight w:val="none"/>
        </w:rPr>
        <w:t>.1供应商应按投标人须知前附表中规定对采购项目现场和周围环境的现场</w:t>
      </w:r>
      <w:r>
        <w:rPr>
          <w:rFonts w:hint="eastAsia" w:hAnsi="宋体" w:cs="宋体"/>
          <w:color w:val="auto"/>
          <w:sz w:val="24"/>
          <w:szCs w:val="24"/>
          <w:highlight w:val="none"/>
          <w:lang w:eastAsia="zh-CN"/>
        </w:rPr>
        <w:t>踏勘</w:t>
      </w:r>
      <w:r>
        <w:rPr>
          <w:rFonts w:hint="eastAsia" w:hAnsi="宋体" w:cs="宋体"/>
          <w:color w:val="auto"/>
          <w:sz w:val="24"/>
          <w:szCs w:val="24"/>
          <w:highlight w:val="none"/>
        </w:rPr>
        <w:t>。</w:t>
      </w:r>
    </w:p>
    <w:p w14:paraId="7580662C">
      <w:pPr>
        <w:pageBreakBefore w:val="0"/>
        <w:widowControl w:val="0"/>
        <w:tabs>
          <w:tab w:val="left" w:pos="7665"/>
        </w:tabs>
        <w:kinsoku/>
        <w:wordWrap/>
        <w:overflowPunct/>
        <w:topLinePunct w:val="0"/>
        <w:bidi w:val="0"/>
        <w:spacing w:line="360" w:lineRule="auto"/>
        <w:ind w:left="0" w:firstLine="48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11</w:t>
      </w:r>
      <w:r>
        <w:rPr>
          <w:rFonts w:hint="eastAsia" w:hAnsi="宋体" w:cs="宋体"/>
          <w:color w:val="auto"/>
          <w:sz w:val="24"/>
          <w:szCs w:val="24"/>
          <w:highlight w:val="none"/>
        </w:rPr>
        <w:t>.2</w:t>
      </w:r>
      <w:r>
        <w:rPr>
          <w:rFonts w:hint="eastAsia" w:hAnsi="宋体" w:cs="宋体"/>
          <w:color w:val="auto"/>
          <w:sz w:val="24"/>
          <w:szCs w:val="24"/>
          <w:highlight w:val="none"/>
          <w:lang w:eastAsia="zh-CN"/>
        </w:rPr>
        <w:t>踏勘</w:t>
      </w:r>
      <w:r>
        <w:rPr>
          <w:rFonts w:hint="eastAsia" w:hAnsi="宋体" w:cs="宋体"/>
          <w:color w:val="auto"/>
          <w:sz w:val="24"/>
          <w:szCs w:val="24"/>
          <w:highlight w:val="none"/>
        </w:rPr>
        <w:t>现场的费用由供应商自己承担，</w:t>
      </w:r>
      <w:r>
        <w:rPr>
          <w:rFonts w:hint="eastAsia" w:hAnsi="宋体" w:cs="宋体"/>
          <w:color w:val="auto"/>
          <w:sz w:val="24"/>
          <w:szCs w:val="24"/>
          <w:highlight w:val="none"/>
          <w:lang w:eastAsia="zh-CN"/>
        </w:rPr>
        <w:t>踏勘</w:t>
      </w:r>
      <w:r>
        <w:rPr>
          <w:rFonts w:hint="eastAsia" w:hAnsi="宋体" w:cs="宋体"/>
          <w:color w:val="auto"/>
          <w:sz w:val="24"/>
          <w:szCs w:val="24"/>
          <w:highlight w:val="none"/>
        </w:rPr>
        <w:t>期间所发生的人身伤害及财产损失由供应商自己负责。</w:t>
      </w:r>
    </w:p>
    <w:p w14:paraId="61B6E219">
      <w:pPr>
        <w:pageBreakBefore w:val="0"/>
        <w:widowControl w:val="0"/>
        <w:tabs>
          <w:tab w:val="left" w:pos="7665"/>
        </w:tabs>
        <w:kinsoku/>
        <w:wordWrap/>
        <w:overflowPunct/>
        <w:topLinePunct w:val="0"/>
        <w:bidi w:val="0"/>
        <w:spacing w:line="360" w:lineRule="auto"/>
        <w:ind w:left="0" w:firstLine="48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11</w:t>
      </w:r>
      <w:r>
        <w:rPr>
          <w:rFonts w:hint="eastAsia" w:hAnsi="宋体" w:cs="宋体"/>
          <w:color w:val="auto"/>
          <w:sz w:val="24"/>
          <w:szCs w:val="24"/>
          <w:highlight w:val="none"/>
        </w:rPr>
        <w:t>.3采购人不对供应商据此而做出的推论、理解和结论负责。一旦中标，供应商不得以任何借口，提出额外补偿，或延长合同期限的要求。</w:t>
      </w:r>
    </w:p>
    <w:p w14:paraId="50EC5FAC">
      <w:pPr>
        <w:pageBreakBefore w:val="0"/>
        <w:widowControl w:val="0"/>
        <w:tabs>
          <w:tab w:val="left" w:pos="7665"/>
        </w:tabs>
        <w:kinsoku/>
        <w:wordWrap/>
        <w:overflowPunct/>
        <w:topLinePunct w:val="0"/>
        <w:bidi w:val="0"/>
        <w:spacing w:line="360" w:lineRule="auto"/>
        <w:ind w:left="0" w:firstLine="480"/>
        <w:textAlignment w:val="auto"/>
        <w:outlineLvl w:val="9"/>
        <w:rPr>
          <w:rFonts w:hAnsi="宋体" w:cs="宋体"/>
          <w:b/>
          <w:color w:val="auto"/>
          <w:sz w:val="24"/>
          <w:szCs w:val="24"/>
          <w:highlight w:val="none"/>
        </w:rPr>
      </w:pPr>
      <w:r>
        <w:rPr>
          <w:rFonts w:hint="eastAsia" w:hAnsi="宋体" w:cs="宋体"/>
          <w:b/>
          <w:color w:val="auto"/>
          <w:sz w:val="24"/>
          <w:szCs w:val="24"/>
          <w:highlight w:val="none"/>
          <w:lang w:val="en-US" w:eastAsia="zh-CN"/>
        </w:rPr>
        <w:t>12</w:t>
      </w:r>
      <w:r>
        <w:rPr>
          <w:rFonts w:hint="eastAsia" w:hAnsi="宋体" w:cs="宋体"/>
          <w:b/>
          <w:color w:val="auto"/>
          <w:sz w:val="24"/>
          <w:szCs w:val="24"/>
          <w:highlight w:val="none"/>
        </w:rPr>
        <w:t>.采购进口产品</w:t>
      </w:r>
    </w:p>
    <w:p w14:paraId="705B8F1B">
      <w:pPr>
        <w:pageBreakBefore w:val="0"/>
        <w:widowControl w:val="0"/>
        <w:tabs>
          <w:tab w:val="left" w:pos="7665"/>
        </w:tabs>
        <w:kinsoku/>
        <w:wordWrap/>
        <w:overflowPunct/>
        <w:topLinePunct w:val="0"/>
        <w:bidi w:val="0"/>
        <w:spacing w:line="360" w:lineRule="auto"/>
        <w:ind w:left="0" w:firstLine="48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12</w:t>
      </w:r>
      <w:r>
        <w:rPr>
          <w:rFonts w:hint="eastAsia" w:hAnsi="宋体" w:cs="宋体"/>
          <w:color w:val="auto"/>
          <w:sz w:val="24"/>
          <w:szCs w:val="24"/>
          <w:highlight w:val="none"/>
        </w:rPr>
        <w:t>.1经财政监管部门审核管理，并经进口论证后方可采购进口产品。</w:t>
      </w:r>
    </w:p>
    <w:p w14:paraId="01003A60">
      <w:pPr>
        <w:pageBreakBefore w:val="0"/>
        <w:widowControl w:val="0"/>
        <w:tabs>
          <w:tab w:val="left" w:pos="7665"/>
        </w:tabs>
        <w:kinsoku/>
        <w:wordWrap/>
        <w:overflowPunct/>
        <w:topLinePunct w:val="0"/>
        <w:bidi w:val="0"/>
        <w:spacing w:line="360" w:lineRule="auto"/>
        <w:ind w:left="0"/>
        <w:textAlignment w:val="auto"/>
        <w:outlineLvl w:val="9"/>
        <w:rPr>
          <w:rFonts w:hAnsi="宋体" w:cs="宋体"/>
          <w:color w:val="auto"/>
          <w:sz w:val="24"/>
          <w:szCs w:val="24"/>
          <w:highlight w:val="none"/>
          <w:lang w:val="zh-CN"/>
        </w:rPr>
      </w:pPr>
      <w:r>
        <w:rPr>
          <w:rFonts w:hint="eastAsia" w:hAnsi="宋体" w:cs="宋体"/>
          <w:b/>
          <w:color w:val="auto"/>
          <w:sz w:val="24"/>
          <w:szCs w:val="24"/>
          <w:highlight w:val="none"/>
        </w:rPr>
        <w:t xml:space="preserve">    </w:t>
      </w:r>
      <w:r>
        <w:rPr>
          <w:rFonts w:hint="eastAsia" w:hAnsi="宋体" w:cs="宋体"/>
          <w:b/>
          <w:color w:val="auto"/>
          <w:sz w:val="24"/>
          <w:szCs w:val="24"/>
          <w:highlight w:val="none"/>
          <w:lang w:val="en-US" w:eastAsia="zh-CN"/>
        </w:rPr>
        <w:t>13</w:t>
      </w:r>
      <w:r>
        <w:rPr>
          <w:rFonts w:hint="eastAsia" w:hAnsi="宋体" w:cs="宋体"/>
          <w:b/>
          <w:color w:val="auto"/>
          <w:sz w:val="24"/>
          <w:szCs w:val="24"/>
          <w:highlight w:val="none"/>
        </w:rPr>
        <w:t>.</w:t>
      </w:r>
      <w:r>
        <w:rPr>
          <w:rFonts w:hint="eastAsia" w:hAnsi="宋体" w:cs="宋体"/>
          <w:b/>
          <w:color w:val="auto"/>
          <w:sz w:val="24"/>
          <w:szCs w:val="24"/>
          <w:highlight w:val="none"/>
          <w:lang w:val="zh-CN"/>
        </w:rPr>
        <w:t>节能产品</w:t>
      </w:r>
    </w:p>
    <w:p w14:paraId="1C79558F">
      <w:pPr>
        <w:pageBreakBefore w:val="0"/>
        <w:widowControl w:val="0"/>
        <w:tabs>
          <w:tab w:val="left" w:pos="7665"/>
        </w:tabs>
        <w:kinsoku/>
        <w:wordWrap/>
        <w:overflowPunct/>
        <w:topLinePunct w:val="0"/>
        <w:bidi w:val="0"/>
        <w:spacing w:line="360" w:lineRule="auto"/>
        <w:ind w:left="0"/>
        <w:textAlignment w:val="auto"/>
        <w:outlineLvl w:val="9"/>
        <w:rPr>
          <w:rFonts w:hAnsi="宋体" w:cs="宋体"/>
          <w:b w:val="0"/>
          <w:bCs w:val="0"/>
          <w:color w:val="auto"/>
          <w:sz w:val="24"/>
          <w:szCs w:val="24"/>
          <w:highlight w:val="none"/>
        </w:rPr>
      </w:pPr>
      <w:r>
        <w:rPr>
          <w:rFonts w:hint="eastAsia" w:hAnsi="宋体" w:cs="宋体"/>
          <w:b/>
          <w:bCs/>
          <w:color w:val="auto"/>
          <w:sz w:val="32"/>
          <w:szCs w:val="32"/>
          <w:highlight w:val="none"/>
          <w:lang w:val="en-US" w:eastAsia="zh-CN"/>
        </w:rPr>
        <w:t xml:space="preserve">  </w:t>
      </w:r>
      <w:r>
        <w:rPr>
          <w:rFonts w:hint="eastAsia" w:hAnsi="宋体" w:cs="宋体"/>
          <w:b/>
          <w:bCs/>
          <w:color w:val="auto"/>
          <w:sz w:val="24"/>
          <w:szCs w:val="24"/>
          <w:highlight w:val="none"/>
          <w:lang w:val="en-US" w:eastAsia="zh-CN"/>
        </w:rPr>
        <w:t xml:space="preserve"> 13</w:t>
      </w:r>
      <w:r>
        <w:rPr>
          <w:rFonts w:hint="eastAsia" w:hAnsi="宋体" w:cs="宋体"/>
          <w:b/>
          <w:bCs/>
          <w:color w:val="auto"/>
          <w:sz w:val="24"/>
          <w:szCs w:val="24"/>
          <w:highlight w:val="none"/>
        </w:rPr>
        <w:t>.1</w:t>
      </w:r>
      <w:r>
        <w:rPr>
          <w:rFonts w:hint="eastAsia" w:hAnsi="宋体" w:cs="宋体"/>
          <w:b w:val="0"/>
          <w:bCs w:val="0"/>
          <w:color w:val="auto"/>
          <w:sz w:val="24"/>
          <w:szCs w:val="24"/>
          <w:highlight w:val="none"/>
        </w:rPr>
        <w:t>对政府采购节能产品、环境标志产品实施品目清单管理。依据品目清单和认证证书，产品属于节能产品政府采购品目清单(财库[2019]19号）中“★”标注的品目产品，实施政府强制采购。产品属于环境标志产品政府采购品目清单(财库[2019]18号）范围内的</w:t>
      </w:r>
      <w:r>
        <w:rPr>
          <w:rFonts w:hint="eastAsia" w:hAnsi="宋体" w:cs="宋体"/>
          <w:b w:val="0"/>
          <w:bCs w:val="0"/>
          <w:color w:val="auto"/>
          <w:sz w:val="24"/>
          <w:szCs w:val="24"/>
          <w:highlight w:val="none"/>
          <w:lang w:eastAsia="zh-CN"/>
        </w:rPr>
        <w:t>品</w:t>
      </w:r>
      <w:r>
        <w:rPr>
          <w:rFonts w:hint="eastAsia" w:hAnsi="宋体" w:cs="宋体"/>
          <w:b w:val="0"/>
          <w:bCs w:val="0"/>
          <w:color w:val="auto"/>
          <w:sz w:val="24"/>
          <w:szCs w:val="24"/>
          <w:highlight w:val="none"/>
        </w:rPr>
        <w:t>目产品，实施政府优先采购。</w:t>
      </w:r>
    </w:p>
    <w:p w14:paraId="462737DC">
      <w:pPr>
        <w:spacing w:before="0" w:beforeLines="0" w:after="0" w:afterLines="0" w:line="360" w:lineRule="auto"/>
        <w:jc w:val="center"/>
        <w:outlineLvl w:val="9"/>
        <w:rPr>
          <w:rFonts w:hint="eastAsia" w:ascii="宋体" w:hAnsi="宋体" w:eastAsia="宋体" w:cs="宋体"/>
          <w:bCs/>
          <w:color w:val="auto"/>
          <w:szCs w:val="28"/>
          <w:highlight w:val="none"/>
        </w:rPr>
      </w:pPr>
      <w:bookmarkStart w:id="63" w:name="_Toc183582209"/>
      <w:bookmarkStart w:id="64" w:name="_Toc217446038"/>
      <w:bookmarkStart w:id="65" w:name="_Toc89075875"/>
      <w:bookmarkStart w:id="66" w:name="_Toc77400779"/>
      <w:bookmarkStart w:id="67" w:name="_Toc183682346"/>
    </w:p>
    <w:p w14:paraId="47A84C97">
      <w:pPr>
        <w:pStyle w:val="4"/>
        <w:spacing w:before="0" w:beforeLines="0" w:after="0" w:afterLines="0" w:line="360" w:lineRule="auto"/>
        <w:jc w:val="center"/>
        <w:rPr>
          <w:rFonts w:ascii="宋体" w:hAnsi="宋体" w:eastAsia="宋体" w:cs="宋体"/>
          <w:bCs/>
          <w:color w:val="auto"/>
          <w:szCs w:val="28"/>
          <w:highlight w:val="none"/>
        </w:rPr>
      </w:pPr>
      <w:bookmarkStart w:id="68" w:name="_Toc4599"/>
      <w:bookmarkStart w:id="69" w:name="_Toc11005"/>
      <w:bookmarkStart w:id="70" w:name="_Toc26645"/>
      <w:bookmarkStart w:id="71" w:name="_Toc17709"/>
      <w:r>
        <w:rPr>
          <w:rFonts w:hint="eastAsia" w:ascii="宋体" w:hAnsi="宋体" w:eastAsia="宋体" w:cs="宋体"/>
          <w:bCs/>
          <w:color w:val="auto"/>
          <w:szCs w:val="28"/>
          <w:highlight w:val="none"/>
        </w:rPr>
        <w:t>二、招标文件</w:t>
      </w:r>
      <w:bookmarkEnd w:id="63"/>
      <w:bookmarkEnd w:id="64"/>
      <w:bookmarkEnd w:id="65"/>
      <w:bookmarkEnd w:id="66"/>
      <w:bookmarkEnd w:id="67"/>
      <w:bookmarkEnd w:id="68"/>
      <w:bookmarkEnd w:id="69"/>
      <w:bookmarkEnd w:id="70"/>
      <w:bookmarkEnd w:id="71"/>
    </w:p>
    <w:p w14:paraId="11EBBE97">
      <w:pPr>
        <w:pageBreakBefore w:val="0"/>
        <w:widowControl w:val="0"/>
        <w:kinsoku/>
        <w:wordWrap/>
        <w:overflowPunct/>
        <w:topLinePunct w:val="0"/>
        <w:bidi w:val="0"/>
        <w:snapToGrid/>
        <w:spacing w:before="0" w:beforeLines="0" w:after="0" w:afterLines="0" w:line="360" w:lineRule="auto"/>
        <w:ind w:firstLine="480" w:firstLineChars="200"/>
        <w:textAlignment w:val="auto"/>
        <w:outlineLvl w:val="9"/>
        <w:rPr>
          <w:rFonts w:hAnsi="宋体" w:cs="宋体"/>
          <w:color w:val="auto"/>
          <w:sz w:val="24"/>
          <w:szCs w:val="24"/>
          <w:highlight w:val="none"/>
        </w:rPr>
      </w:pPr>
      <w:bookmarkStart w:id="72" w:name="_Toc183682347"/>
      <w:bookmarkStart w:id="73" w:name="_Toc183582210"/>
      <w:bookmarkStart w:id="74" w:name="_Toc217446039"/>
      <w:r>
        <w:rPr>
          <w:rFonts w:hint="eastAsia" w:hAnsi="宋体" w:cs="宋体"/>
          <w:color w:val="auto"/>
          <w:sz w:val="24"/>
          <w:szCs w:val="24"/>
          <w:highlight w:val="none"/>
          <w:lang w:val="en-US" w:eastAsia="zh-CN"/>
        </w:rPr>
        <w:t>14</w:t>
      </w:r>
      <w:r>
        <w:rPr>
          <w:rFonts w:hint="eastAsia" w:hAnsi="宋体" w:cs="宋体"/>
          <w:color w:val="auto"/>
          <w:sz w:val="24"/>
          <w:szCs w:val="24"/>
          <w:highlight w:val="none"/>
        </w:rPr>
        <w:t>．招标文件的构成</w:t>
      </w:r>
      <w:bookmarkEnd w:id="72"/>
      <w:bookmarkEnd w:id="73"/>
      <w:bookmarkEnd w:id="74"/>
    </w:p>
    <w:p w14:paraId="5CEA640D">
      <w:pPr>
        <w:pageBreakBefore w:val="0"/>
        <w:widowControl w:val="0"/>
        <w:tabs>
          <w:tab w:val="left" w:pos="7665"/>
        </w:tabs>
        <w:kinsoku/>
        <w:wordWrap/>
        <w:overflowPunct/>
        <w:topLinePunct w:val="0"/>
        <w:bidi w:val="0"/>
        <w:snapToGrid/>
        <w:spacing w:line="360" w:lineRule="auto"/>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14</w:t>
      </w:r>
      <w:r>
        <w:rPr>
          <w:rFonts w:hint="eastAsia" w:hAnsi="宋体" w:cs="宋体"/>
          <w:b/>
          <w:bCs/>
          <w:color w:val="auto"/>
          <w:sz w:val="24"/>
          <w:szCs w:val="24"/>
          <w:highlight w:val="none"/>
        </w:rPr>
        <w:t>.</w:t>
      </w:r>
      <w:r>
        <w:rPr>
          <w:rFonts w:hint="eastAsia" w:hAnsi="宋体" w:cs="宋体"/>
          <w:color w:val="auto"/>
          <w:sz w:val="24"/>
          <w:szCs w:val="24"/>
          <w:highlight w:val="none"/>
        </w:rPr>
        <w:t>1 招标文件用以阐明招标项目所需的资质、技术、服务及报价等要求、招标投标程序、有关规定和注意事项以及合同主要条款等。本招标文件包括以下内容：</w:t>
      </w:r>
    </w:p>
    <w:p w14:paraId="0E48E20C">
      <w:pPr>
        <w:spacing w:line="360" w:lineRule="auto"/>
        <w:ind w:firstLine="550" w:firstLineChars="250"/>
        <w:outlineLvl w:val="9"/>
        <w:rPr>
          <w:rFonts w:ascii="宋体" w:hAnsi="宋体"/>
          <w:color w:val="000000"/>
          <w:sz w:val="22"/>
          <w:szCs w:val="22"/>
        </w:rPr>
      </w:pPr>
      <w:r>
        <w:rPr>
          <w:rFonts w:hint="eastAsia" w:ascii="宋体" w:hAnsi="宋体"/>
          <w:color w:val="000000"/>
          <w:sz w:val="22"/>
          <w:szCs w:val="22"/>
        </w:rPr>
        <w:t>第一章 招标公告</w:t>
      </w:r>
    </w:p>
    <w:p w14:paraId="6223DEDE">
      <w:pPr>
        <w:spacing w:line="360" w:lineRule="auto"/>
        <w:ind w:firstLine="550" w:firstLineChars="250"/>
        <w:outlineLvl w:val="9"/>
        <w:rPr>
          <w:rFonts w:hint="eastAsia" w:ascii="宋体" w:hAnsi="宋体"/>
          <w:color w:val="000000"/>
          <w:sz w:val="22"/>
          <w:szCs w:val="22"/>
        </w:rPr>
      </w:pPr>
      <w:r>
        <w:rPr>
          <w:rFonts w:hint="eastAsia" w:ascii="宋体" w:hAnsi="宋体"/>
          <w:color w:val="000000"/>
          <w:sz w:val="22"/>
          <w:szCs w:val="22"/>
        </w:rPr>
        <w:t>第二章 供应商须知及前附表</w:t>
      </w:r>
    </w:p>
    <w:p w14:paraId="2E39B729">
      <w:pPr>
        <w:spacing w:line="360" w:lineRule="auto"/>
        <w:ind w:firstLine="550" w:firstLineChars="250"/>
        <w:outlineLvl w:val="9"/>
        <w:rPr>
          <w:rFonts w:hint="eastAsia" w:ascii="宋体" w:hAnsi="宋体"/>
          <w:color w:val="000000"/>
          <w:sz w:val="22"/>
          <w:szCs w:val="22"/>
        </w:rPr>
      </w:pPr>
      <w:r>
        <w:rPr>
          <w:rFonts w:hint="eastAsia" w:ascii="宋体" w:hAnsi="宋体"/>
          <w:color w:val="000000"/>
          <w:sz w:val="22"/>
          <w:szCs w:val="22"/>
        </w:rPr>
        <w:t>第三章 采购需求及要求</w:t>
      </w:r>
    </w:p>
    <w:p w14:paraId="65797B02">
      <w:pPr>
        <w:spacing w:line="360" w:lineRule="auto"/>
        <w:ind w:firstLine="550" w:firstLineChars="250"/>
        <w:outlineLvl w:val="9"/>
        <w:rPr>
          <w:rFonts w:ascii="宋体" w:hAnsi="宋体"/>
          <w:color w:val="000000"/>
          <w:sz w:val="22"/>
          <w:szCs w:val="22"/>
        </w:rPr>
      </w:pPr>
      <w:r>
        <w:rPr>
          <w:rFonts w:hint="eastAsia" w:ascii="宋体" w:hAnsi="宋体"/>
          <w:color w:val="000000"/>
          <w:sz w:val="22"/>
          <w:szCs w:val="22"/>
        </w:rPr>
        <w:t>第四章 评标方法及标准</w:t>
      </w:r>
    </w:p>
    <w:p w14:paraId="5DB0D45D">
      <w:pPr>
        <w:spacing w:line="360" w:lineRule="auto"/>
        <w:ind w:firstLine="550" w:firstLineChars="250"/>
        <w:outlineLvl w:val="9"/>
        <w:rPr>
          <w:rFonts w:hint="eastAsia" w:ascii="宋体" w:hAnsi="宋体"/>
          <w:color w:val="000000"/>
          <w:sz w:val="22"/>
          <w:szCs w:val="22"/>
        </w:rPr>
      </w:pPr>
      <w:r>
        <w:rPr>
          <w:rFonts w:hint="eastAsia" w:ascii="宋体" w:hAnsi="宋体"/>
          <w:color w:val="000000"/>
          <w:sz w:val="22"/>
          <w:szCs w:val="22"/>
        </w:rPr>
        <w:t>第五章 投标文件格式</w:t>
      </w:r>
    </w:p>
    <w:p w14:paraId="581D57BD">
      <w:pPr>
        <w:spacing w:line="360" w:lineRule="auto"/>
        <w:ind w:firstLine="550" w:firstLineChars="250"/>
        <w:outlineLvl w:val="9"/>
        <w:rPr>
          <w:rFonts w:hAnsi="宋体" w:cs="宋体"/>
          <w:color w:val="auto"/>
          <w:sz w:val="24"/>
          <w:szCs w:val="24"/>
          <w:highlight w:val="none"/>
        </w:rPr>
      </w:pPr>
      <w:r>
        <w:rPr>
          <w:rFonts w:hint="eastAsia" w:ascii="宋体" w:hAnsi="宋体"/>
          <w:color w:val="000000"/>
          <w:sz w:val="22"/>
          <w:szCs w:val="22"/>
        </w:rPr>
        <w:t>第六章 政府采购合同</w:t>
      </w:r>
    </w:p>
    <w:p w14:paraId="7E08CB29">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.2 除非有特殊要求，招标文件不单独提供招标项目使用地的自然环境、气候条件、公用设施等情况，投标人被视为熟悉上述与履行合同有关的一切情况。</w:t>
      </w:r>
    </w:p>
    <w:p w14:paraId="19E9E843">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.3 加注“●”号条款为实质性条款，不得出现负偏离，发生负偏离即做无效标处理。加注“▲”号的产品为核心产品，任意一种核心产品为同一品牌时，按照本部分第3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.4条款执行。</w:t>
      </w:r>
    </w:p>
    <w:p w14:paraId="3AD2F81A">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.4 招标文件中涉及的参照品牌、型号仅起说明作用，并没有任何限制性，投标人在投标中可以选用其他替代品牌或型号，但这些替代要实质上优于或相当于招标要求。</w:t>
      </w:r>
    </w:p>
    <w:p w14:paraId="2836BB94">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.5 除招标文件另有规定外，招标文件中要求的每一项产品只允许一种产品投标，每一项产品的采购数量不允许变更。</w:t>
      </w:r>
    </w:p>
    <w:p w14:paraId="664569F0">
      <w:pPr>
        <w:pageBreakBefore w:val="0"/>
        <w:widowControl w:val="0"/>
        <w:tabs>
          <w:tab w:val="left" w:pos="7665"/>
        </w:tabs>
        <w:kinsoku/>
        <w:wordWrap/>
        <w:overflowPunct/>
        <w:topLinePunct w:val="0"/>
        <w:bidi w:val="0"/>
        <w:snapToGrid/>
        <w:spacing w:line="360"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14</w:t>
      </w:r>
      <w:r>
        <w:rPr>
          <w:rFonts w:hint="eastAsia" w:hAnsi="宋体" w:cs="宋体"/>
          <w:b/>
          <w:bCs/>
          <w:color w:val="auto"/>
          <w:sz w:val="24"/>
          <w:szCs w:val="24"/>
          <w:highlight w:val="none"/>
        </w:rPr>
        <w:t>.</w:t>
      </w:r>
      <w:r>
        <w:rPr>
          <w:rFonts w:hint="eastAsia" w:hAnsi="宋体" w:cs="宋体"/>
          <w:color w:val="auto"/>
          <w:sz w:val="24"/>
          <w:szCs w:val="24"/>
          <w:highlight w:val="none"/>
        </w:rPr>
        <w:t>6 投标人应认真阅读和充分理解招标文件中所有的事项、格式条款和规范要求。投标人没有对招标文件全面做出实质性响应是投标人的风险。没有按照招标文件要求做出实质性响应的电子投标文件将被拒绝。</w:t>
      </w:r>
    </w:p>
    <w:p w14:paraId="178B9E4D">
      <w:pPr>
        <w:pageBreakBefore w:val="0"/>
        <w:widowControl w:val="0"/>
        <w:kinsoku/>
        <w:wordWrap/>
        <w:overflowPunct/>
        <w:topLinePunct w:val="0"/>
        <w:bidi w:val="0"/>
        <w:snapToGrid/>
        <w:spacing w:before="0" w:beforeLines="0" w:after="0" w:afterLines="0" w:line="360" w:lineRule="auto"/>
        <w:ind w:firstLine="480" w:firstLineChars="200"/>
        <w:textAlignment w:val="auto"/>
        <w:outlineLvl w:val="9"/>
        <w:rPr>
          <w:rFonts w:hAnsi="宋体" w:cs="宋体"/>
          <w:color w:val="auto"/>
          <w:sz w:val="24"/>
          <w:szCs w:val="24"/>
          <w:highlight w:val="none"/>
        </w:rPr>
      </w:pPr>
      <w:bookmarkStart w:id="75" w:name="_Toc183682348"/>
      <w:bookmarkStart w:id="76" w:name="_Toc183582211"/>
      <w:bookmarkStart w:id="77" w:name="_Toc217446040"/>
      <w:r>
        <w:rPr>
          <w:rFonts w:hint="eastAsia" w:hAnsi="宋体" w:cs="宋体"/>
          <w:color w:val="auto"/>
          <w:sz w:val="24"/>
          <w:szCs w:val="24"/>
          <w:highlight w:val="none"/>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招标文件的澄清</w:t>
      </w:r>
      <w:bookmarkEnd w:id="75"/>
      <w:bookmarkEnd w:id="76"/>
      <w:r>
        <w:rPr>
          <w:rFonts w:hint="eastAsia" w:hAnsi="宋体" w:cs="宋体"/>
          <w:color w:val="auto"/>
          <w:sz w:val="24"/>
          <w:szCs w:val="24"/>
          <w:highlight w:val="none"/>
        </w:rPr>
        <w:t>和修改</w:t>
      </w:r>
      <w:bookmarkEnd w:id="77"/>
    </w:p>
    <w:p w14:paraId="5C76162F">
      <w:pPr>
        <w:pageBreakBefore w:val="0"/>
        <w:widowControl w:val="0"/>
        <w:tabs>
          <w:tab w:val="left" w:pos="720"/>
        </w:tabs>
        <w:kinsoku/>
        <w:wordWrap/>
        <w:overflowPunct/>
        <w:topLinePunct w:val="0"/>
        <w:bidi w:val="0"/>
        <w:snapToGrid/>
        <w:spacing w:line="360"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.1招标采购单位</w:t>
      </w:r>
      <w:r>
        <w:rPr>
          <w:rFonts w:hint="eastAsia" w:hAnsi="宋体" w:cs="宋体"/>
          <w:color w:val="auto"/>
          <w:spacing w:val="-4"/>
          <w:sz w:val="24"/>
          <w:szCs w:val="24"/>
          <w:highlight w:val="none"/>
        </w:rPr>
        <w:t>可以对已发出的招标文件进行必要的澄清或者修改。澄清或者修改的内容可能影响电子投标文件编制的，</w:t>
      </w:r>
      <w:r>
        <w:rPr>
          <w:rFonts w:hint="eastAsia" w:hAnsi="宋体" w:cs="宋体"/>
          <w:color w:val="auto"/>
          <w:sz w:val="24"/>
          <w:szCs w:val="24"/>
          <w:highlight w:val="none"/>
        </w:rPr>
        <w:t>招标采购单位</w:t>
      </w:r>
      <w:r>
        <w:rPr>
          <w:rFonts w:hint="eastAsia" w:hAnsi="宋体" w:cs="宋体"/>
          <w:color w:val="auto"/>
          <w:spacing w:val="-4"/>
          <w:sz w:val="24"/>
          <w:szCs w:val="24"/>
          <w:highlight w:val="none"/>
        </w:rPr>
        <w:t>应当在投标截止时间至少15日前，通知所有获取招标文件的潜在投标人；不足15日的，</w:t>
      </w:r>
      <w:r>
        <w:rPr>
          <w:rFonts w:hint="eastAsia" w:hAnsi="宋体" w:cs="宋体"/>
          <w:color w:val="auto"/>
          <w:sz w:val="24"/>
          <w:szCs w:val="24"/>
          <w:highlight w:val="none"/>
        </w:rPr>
        <w:t>招标采购单位</w:t>
      </w:r>
      <w:r>
        <w:rPr>
          <w:rFonts w:hint="eastAsia" w:hAnsi="宋体" w:cs="宋体"/>
          <w:color w:val="auto"/>
          <w:spacing w:val="-4"/>
          <w:sz w:val="24"/>
          <w:szCs w:val="24"/>
          <w:highlight w:val="none"/>
        </w:rPr>
        <w:t>应当顺延提交电子投标文件的截止时间</w:t>
      </w:r>
      <w:r>
        <w:rPr>
          <w:rFonts w:hint="eastAsia" w:hAnsi="宋体" w:cs="宋体"/>
          <w:color w:val="auto"/>
          <w:sz w:val="24"/>
          <w:szCs w:val="24"/>
          <w:highlight w:val="none"/>
        </w:rPr>
        <w:t>。同时在甘肃省公共资源交易网和甘肃政府采购网上发布更正公告，</w:t>
      </w:r>
      <w:r>
        <w:rPr>
          <w:rFonts w:hint="eastAsia" w:hAnsi="宋体" w:cs="宋体"/>
          <w:color w:val="auto"/>
          <w:spacing w:val="-4"/>
          <w:sz w:val="24"/>
          <w:szCs w:val="24"/>
          <w:highlight w:val="none"/>
        </w:rPr>
        <w:t>并对其具有约束力。投标人应以</w:t>
      </w:r>
      <w:r>
        <w:rPr>
          <w:rFonts w:hint="eastAsia" w:hAnsi="宋体" w:cs="宋体"/>
          <w:color w:val="auto"/>
          <w:sz w:val="24"/>
          <w:szCs w:val="24"/>
          <w:highlight w:val="none"/>
        </w:rPr>
        <w:t>信函、</w:t>
      </w:r>
      <w:r>
        <w:rPr>
          <w:rFonts w:hint="eastAsia" w:hAnsi="宋体" w:cs="宋体"/>
          <w:color w:val="auto"/>
          <w:spacing w:val="-4"/>
          <w:sz w:val="24"/>
          <w:szCs w:val="24"/>
          <w:highlight w:val="none"/>
        </w:rPr>
        <w:t>传真、电子邮件形式确认已收到修改文件，</w:t>
      </w:r>
      <w:r>
        <w:rPr>
          <w:rFonts w:hint="eastAsia" w:hAnsi="宋体" w:cs="宋体"/>
          <w:color w:val="auto"/>
          <w:sz w:val="24"/>
          <w:szCs w:val="24"/>
          <w:highlight w:val="none"/>
        </w:rPr>
        <w:t>该澄清或者修改的内容为招标文件的组成部分。</w:t>
      </w:r>
    </w:p>
    <w:p w14:paraId="0FEE0F59">
      <w:pPr>
        <w:pageBreakBefore w:val="0"/>
        <w:widowControl w:val="0"/>
        <w:kinsoku/>
        <w:wordWrap/>
        <w:overflowPunct/>
        <w:topLinePunct w:val="0"/>
        <w:bidi w:val="0"/>
        <w:snapToGrid/>
        <w:spacing w:line="360"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.2</w:t>
      </w:r>
      <w:r>
        <w:rPr>
          <w:rFonts w:hint="eastAsia" w:hAnsi="宋体" w:cs="宋体"/>
          <w:color w:val="auto"/>
          <w:spacing w:val="-4"/>
          <w:sz w:val="24"/>
          <w:szCs w:val="24"/>
          <w:highlight w:val="none"/>
        </w:rPr>
        <w:t>任何要求对招标文件进行澄清的投标人，均应以书面形式通知集采机构，集采机构对按要求递交的任何澄清将以书面或网上公告的形式</w:t>
      </w:r>
      <w:r>
        <w:rPr>
          <w:rFonts w:hint="eastAsia" w:hAnsi="宋体" w:cs="宋体"/>
          <w:color w:val="auto"/>
          <w:sz w:val="24"/>
          <w:szCs w:val="24"/>
          <w:highlight w:val="none"/>
        </w:rPr>
        <w:t>通知所有</w:t>
      </w:r>
      <w:r>
        <w:rPr>
          <w:rFonts w:hint="eastAsia" w:hAnsi="宋体" w:cs="宋体"/>
          <w:color w:val="auto"/>
          <w:sz w:val="24"/>
          <w:szCs w:val="24"/>
          <w:highlight w:val="none"/>
          <w:lang w:eastAsia="zh-CN"/>
        </w:rPr>
        <w:t>获取</w:t>
      </w:r>
      <w:r>
        <w:rPr>
          <w:rFonts w:hint="eastAsia" w:hAnsi="宋体" w:cs="宋体"/>
          <w:color w:val="auto"/>
          <w:sz w:val="24"/>
          <w:szCs w:val="24"/>
          <w:highlight w:val="none"/>
        </w:rPr>
        <w:t>招标文件的投标人，并对其具有约束力。投标人在被告知、收到上述公告、通知或答疑书后，应立即向集采机构回函确认。未确认情况应当视为对招标文件修改的知晓，也将视为对修改内容接受的默认。对于未在电子投标文件中对修改内容做实质性响应的，对其产生的不利因素由未确认者自行承担。</w:t>
      </w:r>
    </w:p>
    <w:p w14:paraId="6B030C6C">
      <w:pPr>
        <w:pageBreakBefore w:val="0"/>
        <w:widowControl w:val="0"/>
        <w:kinsoku/>
        <w:wordWrap/>
        <w:overflowPunct/>
        <w:topLinePunct w:val="0"/>
        <w:bidi w:val="0"/>
        <w:snapToGrid/>
        <w:spacing w:line="360"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15</w:t>
      </w:r>
      <w:r>
        <w:rPr>
          <w:rFonts w:hint="eastAsia" w:hAnsi="宋体" w:cs="宋体"/>
          <w:color w:val="auto"/>
          <w:sz w:val="24"/>
          <w:szCs w:val="24"/>
          <w:highlight w:val="none"/>
        </w:rPr>
        <w:t>.3供应商应在其获取招标文件之日起7个工作日内对招标文件的内容提出质疑，招标采购单位按规定时间答复，超过时间的质疑将不予接受。</w:t>
      </w:r>
    </w:p>
    <w:p w14:paraId="2F9D0C8C">
      <w:pPr>
        <w:pageBreakBefore w:val="0"/>
        <w:widowControl w:val="0"/>
        <w:kinsoku/>
        <w:wordWrap/>
        <w:overflowPunct/>
        <w:topLinePunct w:val="0"/>
        <w:bidi w:val="0"/>
        <w:snapToGrid/>
        <w:spacing w:line="360" w:lineRule="auto"/>
        <w:ind w:firstLine="480" w:firstLineChars="200"/>
        <w:textAlignment w:val="auto"/>
        <w:outlineLvl w:val="9"/>
        <w:rPr>
          <w:rFonts w:hint="eastAsia" w:hAnsi="宋体" w:cs="宋体"/>
          <w:color w:val="auto"/>
          <w:sz w:val="24"/>
          <w:szCs w:val="24"/>
          <w:highlight w:val="none"/>
        </w:rPr>
      </w:pPr>
      <w:r>
        <w:rPr>
          <w:rFonts w:hint="eastAsia" w:hAnsi="宋体" w:cs="宋体"/>
          <w:color w:val="auto"/>
          <w:sz w:val="24"/>
          <w:szCs w:val="24"/>
          <w:highlight w:val="none"/>
          <w:lang w:val="en-US" w:eastAsia="zh-CN"/>
        </w:rPr>
        <w:t>15</w:t>
      </w:r>
      <w:r>
        <w:rPr>
          <w:rFonts w:hint="eastAsia" w:hAnsi="宋体" w:cs="宋体"/>
          <w:color w:val="auto"/>
          <w:sz w:val="24"/>
          <w:szCs w:val="24"/>
          <w:highlight w:val="none"/>
        </w:rPr>
        <w:t>.4 更正公告的内容为招标文件的必要组成部分，对所有投标人均具有约束作用。</w:t>
      </w:r>
    </w:p>
    <w:p w14:paraId="041BF4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4"/>
        </w:rPr>
      </w:pPr>
      <w:r>
        <w:rPr>
          <w:rFonts w:hint="eastAsia" w:hAnsi="宋体" w:cs="宋体"/>
          <w:color w:val="auto"/>
          <w:sz w:val="24"/>
          <w:szCs w:val="24"/>
          <w:highlight w:val="none"/>
          <w:lang w:val="en-US" w:eastAsia="zh-CN"/>
        </w:rPr>
        <w:t>15.5</w:t>
      </w:r>
      <w:r>
        <w:rPr>
          <w:rFonts w:hint="eastAsia" w:ascii="宋体" w:hAnsi="宋体"/>
          <w:b/>
          <w:bCs/>
          <w:color w:val="000000"/>
          <w:sz w:val="24"/>
          <w:szCs w:val="24"/>
        </w:rPr>
        <w:t>本招标文件的投标人资格条件、</w:t>
      </w:r>
      <w:r>
        <w:rPr>
          <w:rFonts w:hint="eastAsia" w:ascii="宋体" w:hAnsi="宋体"/>
          <w:b/>
          <w:bCs/>
          <w:color w:val="000000"/>
          <w:sz w:val="24"/>
          <w:szCs w:val="24"/>
          <w:lang w:val="en-US" w:eastAsia="zh-CN"/>
        </w:rPr>
        <w:t>采购需求</w:t>
      </w:r>
      <w:r>
        <w:rPr>
          <w:rFonts w:hint="eastAsia" w:ascii="宋体" w:hAnsi="宋体"/>
          <w:b/>
          <w:bCs/>
          <w:color w:val="000000"/>
          <w:sz w:val="24"/>
          <w:szCs w:val="24"/>
        </w:rPr>
        <w:t>及要求和评分标准由采购单位提供并负责解释</w:t>
      </w:r>
      <w:r>
        <w:rPr>
          <w:rFonts w:hint="eastAsia" w:ascii="宋体" w:hAnsi="宋体"/>
          <w:sz w:val="24"/>
          <w:szCs w:val="24"/>
        </w:rPr>
        <w:t>。</w:t>
      </w:r>
    </w:p>
    <w:p w14:paraId="12A7FFB9">
      <w:pPr>
        <w:pStyle w:val="27"/>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val="0"/>
          <w:bCs w:val="0"/>
          <w:sz w:val="24"/>
          <w:szCs w:val="24"/>
        </w:rPr>
      </w:pPr>
      <w:r>
        <w:rPr>
          <w:rFonts w:hint="eastAsia" w:ascii="宋体" w:hAnsi="宋体"/>
          <w:b w:val="0"/>
          <w:bCs w:val="0"/>
          <w:color w:val="000000"/>
          <w:sz w:val="24"/>
          <w:lang w:val="en-US" w:eastAsia="zh-CN"/>
        </w:rPr>
        <w:t>15.6</w:t>
      </w:r>
      <w:r>
        <w:rPr>
          <w:rFonts w:hint="eastAsia" w:ascii="宋体" w:hAnsi="宋体"/>
          <w:b w:val="0"/>
          <w:bCs w:val="0"/>
          <w:color w:val="000000"/>
          <w:sz w:val="24"/>
          <w:szCs w:val="24"/>
        </w:rPr>
        <w:t>陇南市公共资源交易网采用网上</w:t>
      </w:r>
      <w:r>
        <w:rPr>
          <w:rFonts w:hint="eastAsia" w:ascii="宋体" w:hAnsi="宋体"/>
          <w:b w:val="0"/>
          <w:bCs w:val="0"/>
          <w:color w:val="000000"/>
          <w:sz w:val="24"/>
          <w:szCs w:val="24"/>
          <w:lang w:val="en-US" w:eastAsia="zh-CN"/>
        </w:rPr>
        <w:t>获取招标文件</w:t>
      </w:r>
      <w:r>
        <w:rPr>
          <w:rFonts w:hint="eastAsia" w:ascii="宋体" w:hAnsi="宋体"/>
          <w:b w:val="0"/>
          <w:bCs w:val="0"/>
          <w:color w:val="000000"/>
          <w:sz w:val="24"/>
          <w:szCs w:val="24"/>
        </w:rPr>
        <w:t>的方式，开标前无法获悉潜在投标人名单，请各投标人随时关注甘肃政府采购网、陇南市公共资源交易网本项目相关变更公告、答疑文件及通知，否则由变更引起的相关责任</w:t>
      </w:r>
      <w:r>
        <w:rPr>
          <w:rFonts w:hint="eastAsia" w:ascii="宋体" w:hAnsi="宋体"/>
          <w:b w:val="0"/>
          <w:bCs w:val="0"/>
          <w:color w:val="000000"/>
          <w:sz w:val="24"/>
          <w:szCs w:val="24"/>
          <w:lang w:val="en-US" w:eastAsia="zh-CN"/>
        </w:rPr>
        <w:t>自行承担</w:t>
      </w:r>
      <w:r>
        <w:rPr>
          <w:rFonts w:hint="eastAsia" w:ascii="宋体" w:hAnsi="宋体"/>
          <w:b w:val="0"/>
          <w:bCs w:val="0"/>
          <w:color w:val="000000"/>
          <w:sz w:val="24"/>
          <w:szCs w:val="24"/>
        </w:rPr>
        <w:t>。</w:t>
      </w:r>
    </w:p>
    <w:p w14:paraId="456EE9BD">
      <w:pPr>
        <w:pStyle w:val="4"/>
        <w:numPr>
          <w:ilvl w:val="0"/>
          <w:numId w:val="3"/>
        </w:numPr>
        <w:spacing w:before="0" w:beforeLines="0" w:after="0" w:afterLines="0" w:line="360" w:lineRule="auto"/>
        <w:jc w:val="center"/>
        <w:rPr>
          <w:rFonts w:ascii="宋体" w:hAnsi="宋体" w:eastAsia="宋体" w:cs="宋体"/>
          <w:bCs/>
          <w:color w:val="auto"/>
          <w:szCs w:val="28"/>
          <w:highlight w:val="none"/>
        </w:rPr>
      </w:pPr>
      <w:bookmarkStart w:id="78" w:name="_Toc6492"/>
      <w:bookmarkStart w:id="79" w:name="_Toc26515"/>
      <w:bookmarkStart w:id="80" w:name="_Toc17889"/>
      <w:bookmarkStart w:id="81" w:name="_Toc23385"/>
      <w:r>
        <w:rPr>
          <w:rFonts w:hint="eastAsia" w:ascii="宋体" w:hAnsi="宋体" w:eastAsia="宋体" w:cs="宋体"/>
          <w:bCs/>
          <w:color w:val="auto"/>
          <w:szCs w:val="28"/>
          <w:highlight w:val="none"/>
        </w:rPr>
        <w:t>电子投标文件的编制</w:t>
      </w:r>
      <w:bookmarkEnd w:id="78"/>
      <w:bookmarkEnd w:id="79"/>
      <w:bookmarkEnd w:id="80"/>
      <w:bookmarkEnd w:id="81"/>
    </w:p>
    <w:p w14:paraId="48976005">
      <w:pPr>
        <w:pStyle w:val="104"/>
        <w:pageBreakBefore w:val="0"/>
        <w:widowControl w:val="0"/>
        <w:kinsoku/>
        <w:wordWrap/>
        <w:overflowPunct/>
        <w:topLinePunct w:val="0"/>
        <w:bidi w:val="0"/>
        <w:snapToGrid/>
        <w:spacing w:line="360" w:lineRule="auto"/>
        <w:ind w:left="0" w:leftChars="0" w:firstLine="482" w:firstLineChars="200"/>
        <w:jc w:val="both"/>
        <w:textAlignment w:val="auto"/>
        <w:outlineLvl w:val="9"/>
        <w:rPr>
          <w:rFonts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 要求</w:t>
      </w:r>
    </w:p>
    <w:p w14:paraId="6EA694AA">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 投标人应仔细阅读招标文件的所有内容，按招标文件要求编制电子投标文件，以使其投标对招标文件做出实质性响应。否则，其电子投标文件可能被拒绝，投标人须自行承担由此引起的风险和责任。</w:t>
      </w:r>
    </w:p>
    <w:p w14:paraId="2E37F766">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 投标人应根据招标文件的规定和电子投标文件格式编制电子投标文件，保证其真实有效，并承担相应的法律责任。</w:t>
      </w:r>
    </w:p>
    <w:p w14:paraId="0B20951B">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hint="eastAsia" w:ascii="宋体" w:hAnsi="宋体" w:eastAsia="宋体" w:cs="宋体"/>
          <w:b/>
          <w:bCs/>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.3 </w:t>
      </w:r>
      <w:r>
        <w:rPr>
          <w:rFonts w:hint="eastAsia" w:ascii="宋体" w:hAnsi="宋体" w:eastAsia="宋体" w:cs="宋体"/>
          <w:b/>
          <w:bCs/>
          <w:color w:val="auto"/>
          <w:highlight w:val="none"/>
        </w:rPr>
        <w:t>投标人应对电子投标文件所提供的全部资料的真实性承担法律责任，并无条件接受采购人、集采机构对其中任何资料进行核实的要求。</w:t>
      </w:r>
    </w:p>
    <w:p w14:paraId="52F5E8E0">
      <w:pPr>
        <w:pStyle w:val="104"/>
        <w:pageBreakBefore w:val="0"/>
        <w:widowControl w:val="0"/>
        <w:kinsoku/>
        <w:wordWrap/>
        <w:overflowPunct/>
        <w:topLinePunct w:val="0"/>
        <w:bidi w:val="0"/>
        <w:snapToGrid/>
        <w:spacing w:line="360" w:lineRule="auto"/>
        <w:ind w:left="0" w:leftChars="0"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 投标语言及计量单位</w:t>
      </w:r>
    </w:p>
    <w:p w14:paraId="0B8910D7">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 投标人和招标采购单位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电子投标文件，评标委员会有权拒绝其投标。</w:t>
      </w:r>
    </w:p>
    <w:p w14:paraId="26F8CDDA">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 除招标文件中另有规定外，电子投标文件所使用的计量单位均应使用中华人民共和国法定计量单位。</w:t>
      </w:r>
    </w:p>
    <w:p w14:paraId="28066AE7">
      <w:pPr>
        <w:pStyle w:val="104"/>
        <w:pageBreakBefore w:val="0"/>
        <w:widowControl w:val="0"/>
        <w:kinsoku/>
        <w:wordWrap/>
        <w:overflowPunct/>
        <w:topLinePunct w:val="0"/>
        <w:bidi w:val="0"/>
        <w:snapToGrid/>
        <w:spacing w:line="360" w:lineRule="auto"/>
        <w:ind w:left="0" w:leftChars="0" w:firstLine="482" w:firstLineChars="200"/>
        <w:jc w:val="both"/>
        <w:textAlignment w:val="auto"/>
        <w:outlineLvl w:val="9"/>
        <w:rPr>
          <w:rFonts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rPr>
        <w:t>.电子投标文件格式</w:t>
      </w:r>
    </w:p>
    <w:p w14:paraId="4CD9A771">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 投标人应按招标文件中提供的电子投标文件格式完整填写。因不按要求编制而引起无法查询相关信息时，其后果由投标人自行承担。</w:t>
      </w:r>
    </w:p>
    <w:p w14:paraId="3D2375A0">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 投标人根据招标文件的规定和采购项目的实际情况，拟在中标后将中标项目的非主体、非关键性工作分包的，应当在电子投标文件中载明分包承担主体，分包承担主体应当具备相应资质条件且不得再次分包。</w:t>
      </w:r>
    </w:p>
    <w:p w14:paraId="6A37DFB6">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 如投标多个包的，要求按包分别独立制作电子投标文件。</w:t>
      </w:r>
    </w:p>
    <w:p w14:paraId="08C7F086">
      <w:pPr>
        <w:pStyle w:val="104"/>
        <w:pageBreakBefore w:val="0"/>
        <w:widowControl w:val="0"/>
        <w:kinsoku/>
        <w:wordWrap/>
        <w:overflowPunct/>
        <w:topLinePunct w:val="0"/>
        <w:bidi w:val="0"/>
        <w:snapToGrid/>
        <w:spacing w:line="360" w:lineRule="auto"/>
        <w:ind w:left="0" w:leftChars="0" w:firstLine="482" w:firstLineChars="200"/>
        <w:jc w:val="both"/>
        <w:textAlignment w:val="auto"/>
        <w:outlineLvl w:val="9"/>
        <w:rPr>
          <w:rFonts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 投标报价</w:t>
      </w:r>
    </w:p>
    <w:p w14:paraId="5CA4F17A">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.1 开标一览表、报价明细表等各表中的报价，若无特殊说明应采用人民币填报。</w:t>
      </w:r>
    </w:p>
    <w:p w14:paraId="231E602F">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.2 投标报价是为完成招标文件规定的一切工作所需的全部费用的最终优惠价格。</w:t>
      </w:r>
    </w:p>
    <w:p w14:paraId="3E037BDA">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.3 除《采购项目需求》中说明并允许外，投标的每一个货物、服务的单项报价以及采购项目的投标总价均只允许有一个报价，任何有选择的报价，招标采购单位均将予以拒绝。</w:t>
      </w:r>
    </w:p>
    <w:p w14:paraId="454B8C15">
      <w:pPr>
        <w:pStyle w:val="104"/>
        <w:pageBreakBefore w:val="0"/>
        <w:widowControl w:val="0"/>
        <w:kinsoku/>
        <w:wordWrap/>
        <w:overflowPunct/>
        <w:topLinePunct w:val="0"/>
        <w:bidi w:val="0"/>
        <w:snapToGrid/>
        <w:spacing w:line="360" w:lineRule="auto"/>
        <w:ind w:left="0" w:leftChars="0" w:firstLine="482" w:firstLineChars="200"/>
        <w:jc w:val="both"/>
        <w:textAlignment w:val="auto"/>
        <w:outlineLvl w:val="9"/>
        <w:rPr>
          <w:rFonts w:ascii="宋体" w:hAnsi="宋体" w:eastAsia="宋体" w:cs="宋体"/>
          <w:b/>
          <w:color w:val="auto"/>
          <w:highlight w:val="none"/>
        </w:rPr>
      </w:pPr>
      <w:r>
        <w:rPr>
          <w:rFonts w:hint="eastAsia" w:ascii="宋体" w:hAnsi="宋体" w:eastAsia="宋体" w:cs="宋体"/>
          <w:b/>
          <w:color w:val="auto"/>
          <w:highlight w:val="none"/>
          <w:lang w:val="en-US" w:eastAsia="zh-CN"/>
        </w:rPr>
        <w:t>20</w:t>
      </w:r>
      <w:r>
        <w:rPr>
          <w:rFonts w:hint="eastAsia" w:ascii="宋体" w:hAnsi="宋体" w:eastAsia="宋体" w:cs="宋体"/>
          <w:b/>
          <w:color w:val="auto"/>
          <w:highlight w:val="none"/>
        </w:rPr>
        <w:t>. 投标人资格证明文件</w:t>
      </w:r>
    </w:p>
    <w:p w14:paraId="6677E835">
      <w:pPr>
        <w:pStyle w:val="104"/>
        <w:pageBreakBefore w:val="0"/>
        <w:widowControl w:val="0"/>
        <w:kinsoku/>
        <w:wordWrap/>
        <w:overflowPunct/>
        <w:topLinePunct w:val="0"/>
        <w:bidi w:val="0"/>
        <w:snapToGrid/>
        <w:spacing w:line="360" w:lineRule="auto"/>
        <w:ind w:left="0" w:leftChars="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.1 投标人必须按照</w:t>
      </w:r>
      <w:r>
        <w:rPr>
          <w:rFonts w:hint="eastAsia" w:cs="宋体"/>
          <w:color w:val="auto"/>
          <w:highlight w:val="none"/>
          <w:lang w:val="en-US" w:eastAsia="zh-CN"/>
        </w:rPr>
        <w:t>前附表中</w:t>
      </w:r>
      <w:r>
        <w:rPr>
          <w:rFonts w:hint="eastAsia" w:ascii="宋体" w:hAnsi="宋体" w:eastAsia="宋体" w:cs="宋体"/>
          <w:color w:val="auto"/>
          <w:highlight w:val="none"/>
        </w:rPr>
        <w:t>投标人资格证明文件的要求提交证明其有资格进行投标和有能力履行合同的文件，提供不全或不符合要求的为无效投标。</w:t>
      </w:r>
    </w:p>
    <w:p w14:paraId="77944F6C">
      <w:pPr>
        <w:pStyle w:val="104"/>
        <w:pageBreakBefore w:val="0"/>
        <w:widowControl w:val="0"/>
        <w:kinsoku/>
        <w:wordWrap/>
        <w:overflowPunct/>
        <w:topLinePunct w:val="0"/>
        <w:bidi w:val="0"/>
        <w:snapToGrid/>
        <w:spacing w:line="360" w:lineRule="auto"/>
        <w:ind w:left="0" w:leftChars="0" w:firstLine="482" w:firstLineChars="200"/>
        <w:jc w:val="both"/>
        <w:textAlignment w:val="auto"/>
        <w:outlineLvl w:val="9"/>
        <w:rPr>
          <w:rFonts w:ascii="宋体" w:hAnsi="宋体" w:eastAsia="宋体" w:cs="宋体"/>
          <w:b/>
          <w:color w:val="auto"/>
          <w:highlight w:val="none"/>
        </w:rPr>
      </w:pPr>
      <w:r>
        <w:rPr>
          <w:rFonts w:hint="eastAsia" w:ascii="宋体" w:hAnsi="宋体" w:eastAsia="宋体" w:cs="宋体"/>
          <w:b/>
          <w:color w:val="auto"/>
          <w:highlight w:val="none"/>
          <w:lang w:val="en-US" w:eastAsia="zh-CN"/>
        </w:rPr>
        <w:t>21</w:t>
      </w:r>
      <w:r>
        <w:rPr>
          <w:rFonts w:hint="eastAsia" w:ascii="宋体" w:hAnsi="宋体" w:eastAsia="宋体" w:cs="宋体"/>
          <w:b/>
          <w:color w:val="auto"/>
          <w:highlight w:val="none"/>
        </w:rPr>
        <w:t>. 技术响应文件</w:t>
      </w:r>
    </w:p>
    <w:p w14:paraId="38971526">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.1 投标人须提交证明其拟</w:t>
      </w:r>
      <w:r>
        <w:rPr>
          <w:rFonts w:hint="eastAsia" w:ascii="宋体" w:hAnsi="宋体" w:eastAsia="宋体" w:cs="宋体"/>
          <w:color w:val="auto"/>
          <w:highlight w:val="none"/>
          <w:lang w:eastAsia="zh-CN"/>
        </w:rPr>
        <w:t>提</w:t>
      </w:r>
      <w:r>
        <w:rPr>
          <w:rFonts w:hint="eastAsia" w:ascii="宋体" w:hAnsi="宋体" w:eastAsia="宋体" w:cs="宋体"/>
          <w:color w:val="auto"/>
          <w:highlight w:val="none"/>
        </w:rPr>
        <w:t>供</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符合招标文件规定的技术响应</w:t>
      </w:r>
      <w:r>
        <w:rPr>
          <w:rFonts w:hint="eastAsia" w:ascii="宋体" w:hAnsi="宋体" w:eastAsia="宋体" w:cs="宋体"/>
          <w:color w:val="auto"/>
          <w:highlight w:val="none"/>
          <w:lang w:eastAsia="zh-CN"/>
        </w:rPr>
        <w:t>要求</w:t>
      </w:r>
      <w:r>
        <w:rPr>
          <w:rFonts w:hint="eastAsia" w:ascii="宋体" w:hAnsi="宋体" w:eastAsia="宋体" w:cs="宋体"/>
          <w:color w:val="auto"/>
          <w:highlight w:val="none"/>
        </w:rPr>
        <w:t>，作为电子投标文件的一部分。</w:t>
      </w:r>
    </w:p>
    <w:p w14:paraId="5BDF975B">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.2 上述文件可以是文字资料、图纸或数据等资料，并须提供：</w:t>
      </w:r>
    </w:p>
    <w:p w14:paraId="0654EFA9">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提供的服务的</w:t>
      </w:r>
      <w:r>
        <w:rPr>
          <w:rFonts w:hint="eastAsia" w:ascii="宋体" w:hAnsi="宋体" w:eastAsia="宋体" w:cs="宋体"/>
          <w:color w:val="auto"/>
          <w:highlight w:val="none"/>
        </w:rPr>
        <w:t>详细描述；</w:t>
      </w:r>
    </w:p>
    <w:p w14:paraId="33BD5CAA">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（2）保证</w:t>
      </w:r>
      <w:r>
        <w:rPr>
          <w:rFonts w:hint="eastAsia" w:ascii="宋体" w:hAnsi="宋体" w:eastAsia="宋体" w:cs="宋体"/>
          <w:color w:val="auto"/>
          <w:highlight w:val="none"/>
          <w:lang w:eastAsia="zh-CN"/>
        </w:rPr>
        <w:t>在服务期限内所提供的服务能</w:t>
      </w:r>
      <w:r>
        <w:rPr>
          <w:rFonts w:hint="eastAsia" w:ascii="宋体" w:hAnsi="宋体" w:eastAsia="宋体" w:cs="宋体"/>
          <w:color w:val="auto"/>
          <w:highlight w:val="none"/>
        </w:rPr>
        <w:t>正常和连续</w:t>
      </w:r>
      <w:r>
        <w:rPr>
          <w:rFonts w:hint="eastAsia" w:ascii="宋体" w:hAnsi="宋体" w:eastAsia="宋体" w:cs="宋体"/>
          <w:color w:val="auto"/>
          <w:highlight w:val="none"/>
          <w:lang w:eastAsia="zh-CN"/>
        </w:rPr>
        <w:t>运转</w:t>
      </w:r>
      <w:r>
        <w:rPr>
          <w:rFonts w:hint="eastAsia" w:ascii="宋体" w:hAnsi="宋体" w:eastAsia="宋体" w:cs="宋体"/>
          <w:color w:val="auto"/>
          <w:highlight w:val="none"/>
        </w:rPr>
        <w:t>所需要的所有备件和专用工具的详细清单，包括其现行价格和供货来源资料；</w:t>
      </w:r>
    </w:p>
    <w:p w14:paraId="530DEF0D">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（3）逐条按招标文件的要求进行评议，并按招标文件所附格式完整地填写《技术响应表》，说明自己所投标的服务内容与招标采购单位相应要求的偏离情况。</w:t>
      </w:r>
    </w:p>
    <w:p w14:paraId="5BDF49FF">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.3 电子投标文件中</w:t>
      </w:r>
      <w:r>
        <w:rPr>
          <w:rFonts w:hint="eastAsia" w:ascii="宋体" w:hAnsi="宋体" w:eastAsia="宋体" w:cs="宋体"/>
          <w:color w:val="auto"/>
          <w:highlight w:val="none"/>
          <w:lang w:eastAsia="zh-CN"/>
        </w:rPr>
        <w:t>所提供服务</w:t>
      </w:r>
      <w:r>
        <w:rPr>
          <w:rFonts w:hint="eastAsia" w:ascii="宋体" w:hAnsi="宋体" w:eastAsia="宋体" w:cs="宋体"/>
          <w:color w:val="auto"/>
          <w:highlight w:val="none"/>
        </w:rPr>
        <w:t>的指标应达到或优于招标文件中所列技术指标。投标人应注意招标文件中所列技术指标仅列出了最低限度。投标人在《技术响应表》的投标应答中必须列出具体数值或内容。如投标人未应答或只注明“符合”、“满足”等类似无具体内容的表述，将被视为不符合招标文件要求。投标人自行承担由此造成的一切后果。</w:t>
      </w:r>
    </w:p>
    <w:p w14:paraId="770A667E">
      <w:pPr>
        <w:pageBreakBefore w:val="0"/>
        <w:widowControl w:val="0"/>
        <w:kinsoku/>
        <w:wordWrap/>
        <w:overflowPunct/>
        <w:topLinePunct w:val="0"/>
        <w:bidi w:val="0"/>
        <w:snapToGrid/>
        <w:spacing w:line="360" w:lineRule="auto"/>
        <w:ind w:left="0" w:leftChars="0" w:firstLine="472" w:firstLineChars="196"/>
        <w:textAlignment w:val="auto"/>
        <w:outlineLvl w:val="9"/>
        <w:rPr>
          <w:rFonts w:hint="eastAsia"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22</w:t>
      </w:r>
      <w:r>
        <w:rPr>
          <w:rFonts w:hint="eastAsia" w:hAnsi="宋体" w:cs="宋体"/>
          <w:b/>
          <w:color w:val="auto"/>
          <w:sz w:val="24"/>
          <w:szCs w:val="24"/>
          <w:highlight w:val="none"/>
        </w:rPr>
        <w:t xml:space="preserve"> .商务响应文件</w:t>
      </w:r>
    </w:p>
    <w:p w14:paraId="405B76BB">
      <w:pPr>
        <w:pageBreakBefore w:val="0"/>
        <w:widowControl w:val="0"/>
        <w:kinsoku/>
        <w:wordWrap/>
        <w:overflowPunct/>
        <w:topLinePunct w:val="0"/>
        <w:bidi w:val="0"/>
        <w:snapToGrid/>
        <w:spacing w:line="360" w:lineRule="auto"/>
        <w:ind w:left="0" w:leftChars="0" w:firstLine="470" w:firstLineChars="196"/>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22</w:t>
      </w:r>
      <w:r>
        <w:rPr>
          <w:rFonts w:hint="eastAsia" w:hAnsi="宋体" w:cs="宋体"/>
          <w:color w:val="auto"/>
          <w:sz w:val="24"/>
          <w:szCs w:val="24"/>
          <w:highlight w:val="none"/>
        </w:rPr>
        <w:t>.1</w:t>
      </w:r>
      <w:r>
        <w:rPr>
          <w:rFonts w:hint="eastAsia" w:hAnsi="宋体" w:cs="宋体"/>
          <w:bCs/>
          <w:color w:val="auto"/>
          <w:sz w:val="24"/>
          <w:szCs w:val="24"/>
          <w:highlight w:val="none"/>
        </w:rPr>
        <w:t>投标人</w:t>
      </w:r>
      <w:r>
        <w:rPr>
          <w:rFonts w:hint="eastAsia" w:hAnsi="宋体" w:cs="宋体"/>
          <w:color w:val="auto"/>
          <w:sz w:val="24"/>
          <w:szCs w:val="24"/>
          <w:highlight w:val="none"/>
        </w:rPr>
        <w:t>按照招标文件要求提供的有关证明文件及优惠承诺。包括但不限于以下内容：</w:t>
      </w:r>
    </w:p>
    <w:p w14:paraId="7F90DA06">
      <w:pPr>
        <w:pageBreakBefore w:val="0"/>
        <w:widowControl w:val="0"/>
        <w:kinsoku/>
        <w:wordWrap/>
        <w:overflowPunct/>
        <w:topLinePunct w:val="0"/>
        <w:bidi w:val="0"/>
        <w:snapToGrid/>
        <w:spacing w:line="360" w:lineRule="auto"/>
        <w:ind w:left="0" w:leftChars="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（1）投标函</w:t>
      </w:r>
    </w:p>
    <w:p w14:paraId="08D6CF67">
      <w:pPr>
        <w:pageBreakBefore w:val="0"/>
        <w:widowControl w:val="0"/>
        <w:kinsoku/>
        <w:wordWrap/>
        <w:overflowPunct/>
        <w:topLinePunct w:val="0"/>
        <w:bidi w:val="0"/>
        <w:snapToGrid/>
        <w:spacing w:line="360" w:lineRule="auto"/>
        <w:ind w:left="0" w:leftChars="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（2）投标人及其投标产品的相关资料和业绩证明材料 </w:t>
      </w:r>
    </w:p>
    <w:p w14:paraId="63A85885">
      <w:pPr>
        <w:pageBreakBefore w:val="0"/>
        <w:widowControl w:val="0"/>
        <w:kinsoku/>
        <w:wordWrap/>
        <w:overflowPunct/>
        <w:topLinePunct w:val="0"/>
        <w:bidi w:val="0"/>
        <w:snapToGrid/>
        <w:spacing w:line="360" w:lineRule="auto"/>
        <w:ind w:left="0" w:leftChars="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（3）商务响应表</w:t>
      </w:r>
    </w:p>
    <w:p w14:paraId="15E99EBC">
      <w:pPr>
        <w:pageBreakBefore w:val="0"/>
        <w:widowControl w:val="0"/>
        <w:kinsoku/>
        <w:wordWrap/>
        <w:overflowPunct/>
        <w:topLinePunct w:val="0"/>
        <w:bidi w:val="0"/>
        <w:snapToGrid/>
        <w:spacing w:line="360" w:lineRule="auto"/>
        <w:ind w:left="0" w:leftChars="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（4）</w:t>
      </w:r>
      <w:r>
        <w:rPr>
          <w:rFonts w:hint="eastAsia" w:hAnsi="宋体" w:cs="宋体"/>
          <w:color w:val="auto"/>
          <w:sz w:val="24"/>
          <w:szCs w:val="24"/>
          <w:highlight w:val="none"/>
          <w:lang w:eastAsia="zh-CN"/>
        </w:rPr>
        <w:t>中小企业证明</w:t>
      </w:r>
      <w:r>
        <w:rPr>
          <w:rFonts w:hint="eastAsia" w:hAnsi="宋体" w:cs="宋体"/>
          <w:color w:val="auto"/>
          <w:sz w:val="24"/>
          <w:szCs w:val="24"/>
          <w:highlight w:val="none"/>
        </w:rPr>
        <w:t>材料</w:t>
      </w:r>
    </w:p>
    <w:p w14:paraId="187916F4">
      <w:pPr>
        <w:pageBreakBefore w:val="0"/>
        <w:widowControl w:val="0"/>
        <w:kinsoku/>
        <w:wordWrap/>
        <w:overflowPunct/>
        <w:topLinePunct w:val="0"/>
        <w:bidi w:val="0"/>
        <w:snapToGrid/>
        <w:spacing w:line="360" w:lineRule="auto"/>
        <w:ind w:left="0" w:leftChars="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5）投标人承诺给予采购人的各种优惠条件（优惠条件事项不能包括采购项目本身所包括涉及的采购事项。投标人不能以“赠送、赠予”等任何名义提供货物和服务以规避招标文件的约束。否则，投标人提供的电子投标文件将作为无效投标处理，投标人的投标行为将作为以不正当手段排挤其他供应商认定）；</w:t>
      </w:r>
    </w:p>
    <w:p w14:paraId="621D5964">
      <w:pPr>
        <w:pageBreakBefore w:val="0"/>
        <w:widowControl w:val="0"/>
        <w:kinsoku/>
        <w:wordWrap/>
        <w:overflowPunct/>
        <w:topLinePunct w:val="0"/>
        <w:bidi w:val="0"/>
        <w:snapToGrid/>
        <w:spacing w:line="360" w:lineRule="auto"/>
        <w:ind w:left="0" w:leftChars="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（6）具备法律、行政法规规定的其他条件的证明材料。</w:t>
      </w:r>
    </w:p>
    <w:p w14:paraId="037F2037">
      <w:pPr>
        <w:pageBreakBefore w:val="0"/>
        <w:widowControl w:val="0"/>
        <w:kinsoku/>
        <w:wordWrap/>
        <w:overflowPunct/>
        <w:topLinePunct w:val="0"/>
        <w:bidi w:val="0"/>
        <w:snapToGrid/>
        <w:spacing w:before="0" w:beforeLines="0" w:after="0" w:afterLines="0" w:line="360" w:lineRule="auto"/>
        <w:ind w:left="0" w:leftChars="0"/>
        <w:textAlignment w:val="auto"/>
        <w:outlineLvl w:val="9"/>
        <w:rPr>
          <w:rFonts w:hAnsi="宋体" w:cs="宋体"/>
          <w:bCs/>
          <w:color w:val="auto"/>
          <w:sz w:val="24"/>
          <w:szCs w:val="24"/>
          <w:highlight w:val="none"/>
        </w:rPr>
      </w:pPr>
      <w:bookmarkStart w:id="82" w:name="_Toc183582223"/>
      <w:bookmarkStart w:id="83" w:name="_Toc217446050"/>
      <w:bookmarkStart w:id="84" w:name="_Toc183682360"/>
      <w:r>
        <w:rPr>
          <w:rFonts w:hint="eastAsia" w:hAnsi="宋体" w:cs="宋体"/>
          <w:bCs/>
          <w:color w:val="auto"/>
          <w:sz w:val="24"/>
          <w:szCs w:val="24"/>
          <w:highlight w:val="none"/>
        </w:rPr>
        <w:t xml:space="preserve">    </w:t>
      </w:r>
      <w:r>
        <w:rPr>
          <w:rFonts w:hint="eastAsia" w:hAnsi="宋体" w:cs="宋体"/>
          <w:bCs/>
          <w:color w:val="auto"/>
          <w:sz w:val="24"/>
          <w:szCs w:val="24"/>
          <w:highlight w:val="none"/>
          <w:lang w:val="en-US" w:eastAsia="zh-CN"/>
        </w:rPr>
        <w:t>23</w:t>
      </w:r>
      <w:r>
        <w:rPr>
          <w:rFonts w:hint="eastAsia" w:hAnsi="宋体" w:cs="宋体"/>
          <w:bCs/>
          <w:color w:val="auto"/>
          <w:sz w:val="24"/>
          <w:szCs w:val="24"/>
          <w:highlight w:val="none"/>
        </w:rPr>
        <w:t>．投标保证金</w:t>
      </w:r>
      <w:bookmarkEnd w:id="82"/>
      <w:bookmarkEnd w:id="83"/>
      <w:bookmarkEnd w:id="84"/>
    </w:p>
    <w:p w14:paraId="61C964EF">
      <w:pPr>
        <w:pStyle w:val="104"/>
        <w:pageBreakBefore w:val="0"/>
        <w:widowControl w:val="0"/>
        <w:kinsoku/>
        <w:wordWrap/>
        <w:overflowPunct/>
        <w:topLinePunct w:val="0"/>
        <w:bidi w:val="0"/>
        <w:snapToGrid/>
        <w:spacing w:line="360" w:lineRule="auto"/>
        <w:ind w:left="0" w:leftChars="0" w:firstLine="480" w:firstLineChars="200"/>
        <w:jc w:val="both"/>
        <w:textAlignment w:val="auto"/>
        <w:outlineLvl w:val="9"/>
        <w:rPr>
          <w:rFonts w:hint="default" w:ascii="宋体" w:hAnsi="宋体" w:eastAsia="宋体" w:cs="宋体"/>
          <w:b w:val="0"/>
          <w:bCs w:val="0"/>
          <w:color w:val="auto"/>
          <w:highlight w:val="none"/>
          <w:lang w:val="en-US" w:eastAsia="zh-CN"/>
        </w:rPr>
      </w:pPr>
      <w:r>
        <w:rPr>
          <w:rFonts w:hint="eastAsia" w:hAnsi="宋体" w:cs="宋体"/>
          <w:color w:val="auto"/>
          <w:sz w:val="24"/>
          <w:szCs w:val="24"/>
          <w:highlight w:val="none"/>
          <w:lang w:val="en-US" w:eastAsia="zh-CN"/>
        </w:rPr>
        <w:t>23</w:t>
      </w:r>
      <w:r>
        <w:rPr>
          <w:rFonts w:hint="eastAsia" w:hAnsi="宋体" w:cs="宋体"/>
          <w:color w:val="auto"/>
          <w:sz w:val="24"/>
          <w:szCs w:val="24"/>
          <w:highlight w:val="none"/>
        </w:rPr>
        <w:t xml:space="preserve">.1 </w:t>
      </w:r>
      <w:r>
        <w:rPr>
          <w:rFonts w:hint="eastAsia" w:ascii="宋体" w:hAnsi="宋体" w:eastAsia="宋体" w:cs="宋体"/>
          <w:b w:val="0"/>
          <w:bCs w:val="0"/>
          <w:color w:val="auto"/>
          <w:highlight w:val="none"/>
          <w:lang w:val="en-US" w:eastAsia="zh-CN"/>
        </w:rPr>
        <w:t>根据《甘肃省财政厅关于进一步加大政府采购支持中小企业力度的通知》（甘财采〔2022〕16号），本项目不收取投标保证金。</w:t>
      </w:r>
    </w:p>
    <w:p w14:paraId="0ABC74B3">
      <w:pPr>
        <w:pageBreakBefore w:val="0"/>
        <w:widowControl w:val="0"/>
        <w:kinsoku/>
        <w:wordWrap/>
        <w:overflowPunct/>
        <w:topLinePunct w:val="0"/>
        <w:bidi w:val="0"/>
        <w:snapToGrid/>
        <w:spacing w:before="0" w:beforeLines="0" w:after="0" w:afterLines="0" w:line="360" w:lineRule="auto"/>
        <w:ind w:left="0" w:leftChars="0" w:firstLine="480" w:firstLineChars="200"/>
        <w:textAlignment w:val="auto"/>
        <w:outlineLvl w:val="9"/>
        <w:rPr>
          <w:rFonts w:hAnsi="宋体" w:cs="宋体"/>
          <w:bCs/>
          <w:color w:val="auto"/>
          <w:sz w:val="24"/>
          <w:szCs w:val="24"/>
          <w:highlight w:val="none"/>
        </w:rPr>
      </w:pPr>
      <w:bookmarkStart w:id="85" w:name="_Toc217446051"/>
      <w:bookmarkStart w:id="86" w:name="_Toc183682361"/>
      <w:bookmarkStart w:id="87" w:name="_Toc183582224"/>
      <w:r>
        <w:rPr>
          <w:rFonts w:hint="eastAsia" w:hAnsi="宋体" w:cs="宋体"/>
          <w:bCs/>
          <w:color w:val="auto"/>
          <w:sz w:val="24"/>
          <w:szCs w:val="24"/>
          <w:highlight w:val="none"/>
          <w:lang w:val="en-US" w:eastAsia="zh-CN"/>
        </w:rPr>
        <w:t>24</w:t>
      </w:r>
      <w:r>
        <w:rPr>
          <w:rFonts w:hint="eastAsia" w:hAnsi="宋体" w:cs="宋体"/>
          <w:bCs/>
          <w:color w:val="auto"/>
          <w:sz w:val="24"/>
          <w:szCs w:val="24"/>
          <w:highlight w:val="none"/>
        </w:rPr>
        <w:t>．投标有效期</w:t>
      </w:r>
      <w:bookmarkEnd w:id="85"/>
      <w:bookmarkEnd w:id="86"/>
      <w:bookmarkEnd w:id="87"/>
    </w:p>
    <w:p w14:paraId="1B2580F4">
      <w:pPr>
        <w:pageBreakBefore w:val="0"/>
        <w:widowControl w:val="0"/>
        <w:tabs>
          <w:tab w:val="left" w:pos="7665"/>
        </w:tabs>
        <w:kinsoku/>
        <w:wordWrap/>
        <w:overflowPunct/>
        <w:topLinePunct w:val="0"/>
        <w:bidi w:val="0"/>
        <w:snapToGrid/>
        <w:spacing w:line="360" w:lineRule="auto"/>
        <w:ind w:left="0" w:leftChars="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24</w:t>
      </w:r>
      <w:r>
        <w:rPr>
          <w:rFonts w:hint="eastAsia" w:hAnsi="宋体" w:cs="宋体"/>
          <w:color w:val="auto"/>
          <w:sz w:val="24"/>
          <w:szCs w:val="24"/>
          <w:highlight w:val="none"/>
        </w:rPr>
        <w:t>.1 投标有效期见投标人须知前附表。投标有效期短于此规定期限的投标，将被拒绝。</w:t>
      </w:r>
    </w:p>
    <w:p w14:paraId="0BB11B28">
      <w:pPr>
        <w:pageBreakBefore w:val="0"/>
        <w:widowControl w:val="0"/>
        <w:tabs>
          <w:tab w:val="left" w:pos="7665"/>
        </w:tabs>
        <w:kinsoku/>
        <w:wordWrap/>
        <w:overflowPunct/>
        <w:topLinePunct w:val="0"/>
        <w:bidi w:val="0"/>
        <w:snapToGrid/>
        <w:spacing w:line="360" w:lineRule="auto"/>
        <w:ind w:left="0" w:leftChars="0" w:firstLine="360" w:firstLineChars="150"/>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24</w:t>
      </w:r>
      <w:r>
        <w:rPr>
          <w:rFonts w:hint="eastAsia" w:hAnsi="宋体" w:cs="宋体"/>
          <w:color w:val="auto"/>
          <w:sz w:val="24"/>
          <w:szCs w:val="24"/>
          <w:highlight w:val="none"/>
        </w:rPr>
        <w:t>.2 特殊情况下，采购人可于投标有效期满之前要求投标人同意延长有效期，要求与答复均应为书面形式。投标人可以拒绝上述要求，其投标保证金</w:t>
      </w:r>
      <w:r>
        <w:rPr>
          <w:rFonts w:hint="eastAsia" w:hAnsi="宋体" w:cs="宋体"/>
          <w:color w:val="auto"/>
          <w:spacing w:val="8"/>
          <w:sz w:val="24"/>
          <w:szCs w:val="24"/>
          <w:highlight w:val="none"/>
        </w:rPr>
        <w:t>不被没收。</w:t>
      </w:r>
      <w:r>
        <w:rPr>
          <w:rFonts w:hint="eastAsia" w:hAnsi="宋体" w:cs="宋体"/>
          <w:color w:val="auto"/>
          <w:sz w:val="24"/>
          <w:szCs w:val="24"/>
          <w:highlight w:val="none"/>
        </w:rPr>
        <w:t>拒绝延长投标有效期的投标人不得再参与该项目后续采购活动。同意延长投标有效期的投标人不能修改其电子投标文件，关于投标保证金的有关规定在延长的投标有效期内继续有效。</w:t>
      </w:r>
    </w:p>
    <w:p w14:paraId="6F86D76B">
      <w:pPr>
        <w:pageBreakBefore w:val="0"/>
        <w:widowControl w:val="0"/>
        <w:kinsoku/>
        <w:wordWrap/>
        <w:overflowPunct/>
        <w:topLinePunct w:val="0"/>
        <w:bidi w:val="0"/>
        <w:snapToGrid/>
        <w:spacing w:before="0" w:beforeLines="0" w:after="0" w:afterLines="0" w:line="360" w:lineRule="auto"/>
        <w:ind w:left="0" w:leftChars="0" w:firstLine="480" w:firstLineChars="200"/>
        <w:textAlignment w:val="auto"/>
        <w:outlineLvl w:val="9"/>
        <w:rPr>
          <w:rFonts w:hAnsi="宋体" w:cs="宋体"/>
          <w:bCs/>
          <w:color w:val="auto"/>
          <w:sz w:val="24"/>
          <w:szCs w:val="24"/>
          <w:highlight w:val="none"/>
        </w:rPr>
      </w:pPr>
      <w:bookmarkStart w:id="88" w:name="_Toc183582225"/>
      <w:bookmarkStart w:id="89" w:name="_Toc217446052"/>
      <w:bookmarkStart w:id="90" w:name="_Toc183682362"/>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5</w:t>
      </w:r>
      <w:r>
        <w:rPr>
          <w:rFonts w:hint="eastAsia" w:hAnsi="宋体" w:cs="宋体"/>
          <w:bCs/>
          <w:color w:val="auto"/>
          <w:sz w:val="24"/>
          <w:szCs w:val="24"/>
          <w:highlight w:val="none"/>
        </w:rPr>
        <w:t>．电子投标文件的份数和签署</w:t>
      </w:r>
      <w:bookmarkEnd w:id="88"/>
      <w:bookmarkEnd w:id="89"/>
      <w:bookmarkEnd w:id="90"/>
    </w:p>
    <w:p w14:paraId="6C727177">
      <w:pPr>
        <w:spacing w:line="360" w:lineRule="auto"/>
        <w:outlineLvl w:val="9"/>
        <w:rPr>
          <w:rFonts w:hint="eastAsia" w:ascii="宋体" w:hAnsi="宋体"/>
          <w:b/>
          <w:sz w:val="24"/>
          <w:szCs w:val="24"/>
        </w:rPr>
      </w:pPr>
      <w:r>
        <w:rPr>
          <w:rFonts w:hint="eastAsia" w:hAnsi="宋体" w:cs="宋体"/>
          <w:b/>
          <w:bCs/>
          <w:color w:val="auto"/>
          <w:sz w:val="32"/>
          <w:szCs w:val="32"/>
          <w:highlight w:val="none"/>
        </w:rPr>
        <w:t xml:space="preserve">  </w:t>
      </w:r>
      <w:r>
        <w:rPr>
          <w:rFonts w:hint="eastAsia" w:hAnsi="宋体" w:cs="宋体"/>
          <w:b/>
          <w:bCs/>
          <w:color w:val="auto"/>
          <w:sz w:val="24"/>
          <w:szCs w:val="24"/>
          <w:highlight w:val="none"/>
        </w:rPr>
        <w:t xml:space="preserve"> 2</w:t>
      </w:r>
      <w:r>
        <w:rPr>
          <w:rFonts w:hint="eastAsia" w:hAnsi="宋体" w:cs="宋体"/>
          <w:b/>
          <w:bCs/>
          <w:color w:val="auto"/>
          <w:sz w:val="24"/>
          <w:szCs w:val="24"/>
          <w:highlight w:val="none"/>
          <w:lang w:val="en-US" w:eastAsia="zh-CN"/>
        </w:rPr>
        <w:t>5</w:t>
      </w:r>
      <w:r>
        <w:rPr>
          <w:rFonts w:hint="eastAsia" w:hAnsi="宋体" w:cs="宋体"/>
          <w:b/>
          <w:bCs/>
          <w:color w:val="auto"/>
          <w:sz w:val="24"/>
          <w:szCs w:val="24"/>
          <w:highlight w:val="none"/>
        </w:rPr>
        <w:t xml:space="preserve">.1 </w:t>
      </w:r>
      <w:r>
        <w:rPr>
          <w:rFonts w:hint="eastAsia" w:hAnsi="宋体"/>
          <w:b/>
          <w:sz w:val="24"/>
          <w:szCs w:val="24"/>
          <w:lang w:eastAsia="zh-CN"/>
        </w:rPr>
        <w:t>该项目采用新点不见面网上开标方式：开评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w:t>
      </w:r>
      <w:r>
        <w:rPr>
          <w:rFonts w:hint="eastAsia" w:ascii="宋体" w:hAnsi="宋体"/>
          <w:b/>
          <w:sz w:val="24"/>
          <w:szCs w:val="24"/>
        </w:rPr>
        <w:t>投标文件由价格文件、商务文件和技术文件三部分组成。</w:t>
      </w:r>
      <w:r>
        <w:rPr>
          <w:rFonts w:hint="eastAsia" w:ascii="宋体" w:hAnsi="宋体" w:cs="仿宋"/>
          <w:b/>
          <w:sz w:val="24"/>
          <w:szCs w:val="24"/>
        </w:rPr>
        <w:t>（以新点网上不见面开标系统投标文件制作格式为准）</w:t>
      </w:r>
    </w:p>
    <w:p w14:paraId="02D1A7E8">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right="0" w:rightChars="0" w:firstLine="460" w:firstLineChars="192"/>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.2电子投标文件及“开标一览表”应保证能正常读取，否则造成的一切后果由投标人自行承担。</w:t>
      </w:r>
    </w:p>
    <w:p w14:paraId="6BD8FF9C">
      <w:pPr>
        <w:keepNext w:val="0"/>
        <w:keepLines w:val="0"/>
        <w:pageBreakBefore w:val="0"/>
        <w:widowControl w:val="0"/>
        <w:tabs>
          <w:tab w:val="left" w:pos="420"/>
          <w:tab w:val="left" w:pos="709"/>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.3 电子投标文件的书写应清楚工整，任何行间插字、涂改或增删</w:t>
      </w:r>
      <w:r>
        <w:rPr>
          <w:rFonts w:hint="eastAsia" w:hAnsi="宋体" w:cs="宋体"/>
          <w:color w:val="auto"/>
          <w:sz w:val="24"/>
          <w:szCs w:val="24"/>
          <w:highlight w:val="none"/>
          <w:lang w:eastAsia="zh-CN"/>
        </w:rPr>
        <w:t>、</w:t>
      </w:r>
      <w:r>
        <w:rPr>
          <w:rFonts w:hint="eastAsia" w:hAnsi="宋体" w:cs="宋体"/>
          <w:color w:val="auto"/>
          <w:sz w:val="24"/>
          <w:szCs w:val="24"/>
          <w:highlight w:val="none"/>
        </w:rPr>
        <w:t>字迹潦草、表达不清或可能导致非唯一理解的电子投标文件可能视为无效投标。</w:t>
      </w:r>
    </w:p>
    <w:p w14:paraId="4E4B537C">
      <w:pPr>
        <w:keepNext w:val="0"/>
        <w:keepLines w:val="0"/>
        <w:pageBreakBefore w:val="0"/>
        <w:widowControl w:val="0"/>
        <w:tabs>
          <w:tab w:val="left" w:pos="420"/>
          <w:tab w:val="left" w:pos="709"/>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cs="宋体"/>
          <w:color w:val="auto"/>
          <w:sz w:val="24"/>
          <w:szCs w:val="24"/>
          <w:highlight w:val="none"/>
        </w:rPr>
      </w:pPr>
      <w:r>
        <w:rPr>
          <w:rFonts w:hint="eastAsia" w:hAnsi="宋体" w:cs="宋体"/>
          <w:color w:val="auto"/>
          <w:sz w:val="24"/>
          <w:szCs w:val="24"/>
          <w:highlight w:val="none"/>
          <w:lang w:val="en-US" w:eastAsia="zh-CN"/>
        </w:rPr>
        <w:t>25.4</w:t>
      </w:r>
      <w:r>
        <w:rPr>
          <w:rFonts w:hint="eastAsia" w:hAnsi="宋体" w:cs="宋体"/>
          <w:color w:val="auto"/>
          <w:sz w:val="24"/>
          <w:szCs w:val="24"/>
          <w:highlight w:val="none"/>
        </w:rPr>
        <w:t>投标人在投标文件及相关文件的签订、履行、通知等事项的书面文件中的单位盖章、印章、公章等处均仅指与当事人名称全称相一致的标准公章或电子签章，不得使用其它形式（如带有“专用章”等字样的印章）。投标人的法定代表人或</w:t>
      </w:r>
      <w:r>
        <w:rPr>
          <w:rFonts w:hint="default" w:hAnsi="宋体" w:cs="宋体"/>
          <w:color w:val="auto"/>
          <w:sz w:val="24"/>
          <w:szCs w:val="24"/>
          <w:highlight w:val="none"/>
          <w:lang w:val="en"/>
        </w:rPr>
        <w:t>授权代表</w:t>
      </w:r>
      <w:r>
        <w:rPr>
          <w:rFonts w:hint="eastAsia" w:hAnsi="宋体" w:cs="宋体"/>
          <w:color w:val="auto"/>
          <w:sz w:val="24"/>
          <w:szCs w:val="24"/>
          <w:highlight w:val="none"/>
        </w:rPr>
        <w:t>签字或盖</w:t>
      </w:r>
      <w:r>
        <w:rPr>
          <w:rFonts w:hint="eastAsia" w:hAnsi="宋体" w:cs="宋体"/>
          <w:color w:val="auto"/>
          <w:sz w:val="24"/>
          <w:szCs w:val="24"/>
          <w:highlight w:val="none"/>
          <w:lang w:eastAsia="zh-CN"/>
        </w:rPr>
        <w:t>章等处仅指与法定代表人或者</w:t>
      </w:r>
      <w:r>
        <w:rPr>
          <w:rFonts w:hint="default" w:hAnsi="宋体" w:cs="宋体"/>
          <w:color w:val="auto"/>
          <w:sz w:val="24"/>
          <w:szCs w:val="24"/>
          <w:highlight w:val="none"/>
          <w:lang w:val="en" w:eastAsia="zh-CN"/>
        </w:rPr>
        <w:t>授权代表</w:t>
      </w:r>
      <w:r>
        <w:rPr>
          <w:rFonts w:hint="eastAsia" w:hAnsi="宋体" w:cs="宋体"/>
          <w:color w:val="auto"/>
          <w:sz w:val="24"/>
          <w:szCs w:val="24"/>
          <w:highlight w:val="none"/>
          <w:lang w:eastAsia="zh-CN"/>
        </w:rPr>
        <w:t>名称相一致的签名或盖</w:t>
      </w:r>
      <w:r>
        <w:rPr>
          <w:rFonts w:hint="eastAsia" w:hAnsi="宋体" w:cs="宋体"/>
          <w:color w:val="auto"/>
          <w:sz w:val="24"/>
          <w:szCs w:val="24"/>
          <w:highlight w:val="none"/>
        </w:rPr>
        <w:t>个人印鉴</w:t>
      </w:r>
      <w:r>
        <w:rPr>
          <w:rFonts w:hint="eastAsia" w:hAnsi="宋体" w:cs="宋体"/>
          <w:color w:val="auto"/>
          <w:sz w:val="24"/>
          <w:szCs w:val="24"/>
          <w:highlight w:val="none"/>
          <w:lang w:eastAsia="zh-CN"/>
        </w:rPr>
        <w:t>或签字章或电子章，</w:t>
      </w:r>
      <w:r>
        <w:rPr>
          <w:rFonts w:hint="eastAsia" w:hAnsi="宋体" w:cs="宋体"/>
          <w:color w:val="auto"/>
          <w:sz w:val="24"/>
          <w:szCs w:val="24"/>
          <w:highlight w:val="none"/>
        </w:rPr>
        <w:t>不符合本条规定的投标将被拒绝。</w:t>
      </w:r>
    </w:p>
    <w:p w14:paraId="278C1DE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right="0" w:rightChars="0" w:firstLine="460" w:firstLineChars="192"/>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 电子投标文件应根据招标文件的要求制作，签署、盖章和内容应完整，如有遗漏，将被视为无效投标。</w:t>
      </w:r>
    </w:p>
    <w:p w14:paraId="150099D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right="0" w:rightChars="0" w:firstLine="460" w:firstLineChars="192"/>
        <w:jc w:val="both"/>
        <w:textAlignment w:val="auto"/>
        <w:outlineLvl w:val="9"/>
        <w:rPr>
          <w:rFonts w:hAnsi="宋体" w:cs="宋体"/>
          <w:dstrike/>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 xml:space="preserve"> 电子投标文件统一用A4幅面编制。</w:t>
      </w:r>
    </w:p>
    <w:p w14:paraId="5C631485">
      <w:pPr>
        <w:pageBreakBefore w:val="0"/>
        <w:widowControl w:val="0"/>
        <w:tabs>
          <w:tab w:val="left" w:pos="1080"/>
        </w:tabs>
        <w:kinsoku/>
        <w:wordWrap/>
        <w:overflowPunct/>
        <w:topLinePunct w:val="0"/>
        <w:bidi w:val="0"/>
        <w:snapToGrid/>
        <w:spacing w:line="360" w:lineRule="auto"/>
        <w:ind w:left="0" w:leftChars="0"/>
        <w:textAlignment w:val="auto"/>
        <w:outlineLvl w:val="9"/>
        <w:rPr>
          <w:rFonts w:hAnsi="宋体" w:cs="宋体"/>
          <w:b/>
          <w:bCs/>
          <w:color w:val="auto"/>
          <w:sz w:val="24"/>
          <w:szCs w:val="24"/>
          <w:highlight w:val="none"/>
        </w:rPr>
      </w:pPr>
      <w:bookmarkStart w:id="91" w:name="_Toc183682364"/>
      <w:bookmarkStart w:id="92" w:name="_Toc183582227"/>
      <w:bookmarkStart w:id="93" w:name="_Toc217446054"/>
      <w:r>
        <w:rPr>
          <w:rFonts w:hint="eastAsia" w:hAnsi="宋体" w:cs="宋体"/>
          <w:b/>
          <w:bCs/>
          <w:color w:val="auto"/>
          <w:sz w:val="24"/>
          <w:szCs w:val="24"/>
          <w:highlight w:val="none"/>
        </w:rPr>
        <w:t xml:space="preserve">    2</w:t>
      </w:r>
      <w:r>
        <w:rPr>
          <w:rFonts w:hint="eastAsia" w:hAnsi="宋体" w:cs="宋体"/>
          <w:b/>
          <w:bCs/>
          <w:color w:val="auto"/>
          <w:sz w:val="24"/>
          <w:szCs w:val="24"/>
          <w:highlight w:val="none"/>
          <w:lang w:val="en-US" w:eastAsia="zh-CN"/>
        </w:rPr>
        <w:t>6</w:t>
      </w:r>
      <w:r>
        <w:rPr>
          <w:rFonts w:hint="eastAsia" w:hAnsi="宋体" w:cs="宋体"/>
          <w:b/>
          <w:bCs/>
          <w:color w:val="auto"/>
          <w:sz w:val="24"/>
          <w:szCs w:val="24"/>
          <w:highlight w:val="none"/>
        </w:rPr>
        <w:t>．电子投标文件的</w:t>
      </w:r>
      <w:bookmarkEnd w:id="91"/>
      <w:bookmarkEnd w:id="92"/>
      <w:r>
        <w:rPr>
          <w:rFonts w:hint="eastAsia" w:hAnsi="宋体" w:cs="宋体"/>
          <w:b/>
          <w:bCs/>
          <w:color w:val="auto"/>
          <w:sz w:val="24"/>
          <w:szCs w:val="24"/>
          <w:highlight w:val="none"/>
        </w:rPr>
        <w:t>递交</w:t>
      </w:r>
      <w:bookmarkEnd w:id="93"/>
    </w:p>
    <w:p w14:paraId="16B46673">
      <w:pPr>
        <w:pageBreakBefore w:val="0"/>
        <w:widowControl w:val="0"/>
        <w:kinsoku/>
        <w:wordWrap/>
        <w:overflowPunct/>
        <w:topLinePunct w:val="0"/>
        <w:autoSpaceDE w:val="0"/>
        <w:autoSpaceDN w:val="0"/>
        <w:bidi w:val="0"/>
        <w:adjustRightInd w:val="0"/>
        <w:snapToGrid/>
        <w:spacing w:line="360" w:lineRule="auto"/>
        <w:ind w:left="0" w:leftChars="0"/>
        <w:jc w:val="left"/>
        <w:textAlignment w:val="auto"/>
        <w:outlineLvl w:val="9"/>
        <w:rPr>
          <w:rFonts w:hAnsi="宋体" w:cs="宋体"/>
          <w:color w:val="auto"/>
          <w:sz w:val="24"/>
          <w:szCs w:val="24"/>
          <w:highlight w:val="none"/>
          <w:lang w:val="zh-CN"/>
        </w:rPr>
      </w:pPr>
      <w:r>
        <w:rPr>
          <w:rFonts w:hint="eastAsia" w:hAnsi="宋体"/>
          <w:color w:val="auto"/>
          <w:sz w:val="24"/>
          <w:highlight w:val="none"/>
        </w:rPr>
        <w:t xml:space="preserve">    2</w:t>
      </w:r>
      <w:r>
        <w:rPr>
          <w:rFonts w:hint="eastAsia" w:hAnsi="宋体"/>
          <w:color w:val="auto"/>
          <w:sz w:val="24"/>
          <w:highlight w:val="none"/>
          <w:lang w:val="en-US" w:eastAsia="zh-CN"/>
        </w:rPr>
        <w:t>6</w:t>
      </w:r>
      <w:r>
        <w:rPr>
          <w:rFonts w:hint="eastAsia" w:hAnsi="宋体"/>
          <w:color w:val="auto"/>
          <w:sz w:val="24"/>
          <w:highlight w:val="none"/>
        </w:rPr>
        <w:t>.1 本项目采用网上电子投标方式，不接受投标</w:t>
      </w:r>
      <w:r>
        <w:rPr>
          <w:rFonts w:hint="eastAsia" w:hAnsi="宋体"/>
          <w:color w:val="auto"/>
          <w:sz w:val="24"/>
          <w:highlight w:val="none"/>
          <w:lang w:eastAsia="zh-CN"/>
        </w:rPr>
        <w:t>人</w:t>
      </w:r>
      <w:r>
        <w:rPr>
          <w:rFonts w:hint="eastAsia" w:hAnsi="宋体"/>
          <w:color w:val="auto"/>
          <w:sz w:val="24"/>
          <w:highlight w:val="none"/>
        </w:rPr>
        <w:t>递交的纸质投标文件</w:t>
      </w:r>
      <w:r>
        <w:rPr>
          <w:rFonts w:hint="eastAsia" w:hAnsi="宋体"/>
          <w:color w:val="auto"/>
          <w:sz w:val="24"/>
          <w:highlight w:val="none"/>
          <w:lang w:eastAsia="zh-CN"/>
        </w:rPr>
        <w:t>。</w:t>
      </w:r>
    </w:p>
    <w:p w14:paraId="0FCC5F41">
      <w:pPr>
        <w:pStyle w:val="6"/>
        <w:pageBreakBefore w:val="0"/>
        <w:widowControl w:val="0"/>
        <w:kinsoku/>
        <w:wordWrap/>
        <w:overflowPunct/>
        <w:topLinePunct w:val="0"/>
        <w:bidi w:val="0"/>
        <w:snapToGrid/>
        <w:spacing w:line="360" w:lineRule="auto"/>
        <w:ind w:left="0" w:leftChars="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 本次招标不接受邮寄的电子投标文件。</w:t>
      </w:r>
    </w:p>
    <w:p w14:paraId="207E35BE">
      <w:pPr>
        <w:pageBreakBefore w:val="0"/>
        <w:widowControl w:val="0"/>
        <w:kinsoku/>
        <w:wordWrap/>
        <w:overflowPunct/>
        <w:topLinePunct w:val="0"/>
        <w:bidi w:val="0"/>
        <w:snapToGrid/>
        <w:spacing w:before="0" w:beforeLines="0" w:after="0" w:afterLines="0" w:line="360" w:lineRule="auto"/>
        <w:ind w:left="0" w:leftChars="0" w:firstLine="480" w:firstLineChars="200"/>
        <w:textAlignment w:val="auto"/>
        <w:outlineLvl w:val="9"/>
        <w:rPr>
          <w:rFonts w:hAnsi="宋体" w:cs="宋体"/>
          <w:color w:val="auto"/>
          <w:sz w:val="24"/>
          <w:szCs w:val="24"/>
          <w:highlight w:val="none"/>
          <w:lang w:val="zh-CN"/>
        </w:rPr>
      </w:pPr>
      <w:bookmarkStart w:id="94" w:name="_Toc183682365"/>
      <w:bookmarkStart w:id="95" w:name="_Toc183582228"/>
      <w:bookmarkStart w:id="96" w:name="_Toc217446055"/>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7</w:t>
      </w:r>
      <w:r>
        <w:rPr>
          <w:rFonts w:hint="eastAsia" w:hAnsi="宋体" w:cs="宋体"/>
          <w:bCs/>
          <w:color w:val="auto"/>
          <w:sz w:val="24"/>
          <w:szCs w:val="24"/>
          <w:highlight w:val="none"/>
        </w:rPr>
        <w:t>．</w:t>
      </w:r>
      <w:r>
        <w:rPr>
          <w:rFonts w:hint="eastAsia" w:hAnsi="宋体" w:cs="宋体"/>
          <w:bCs/>
          <w:color w:val="auto"/>
          <w:spacing w:val="20"/>
          <w:sz w:val="24"/>
          <w:szCs w:val="24"/>
          <w:highlight w:val="none"/>
        </w:rPr>
        <w:t>电子投标文件的修改和撤</w:t>
      </w:r>
      <w:bookmarkEnd w:id="94"/>
      <w:bookmarkEnd w:id="95"/>
      <w:r>
        <w:rPr>
          <w:rFonts w:hint="eastAsia" w:hAnsi="宋体" w:cs="宋体"/>
          <w:bCs/>
          <w:color w:val="auto"/>
          <w:spacing w:val="20"/>
          <w:sz w:val="24"/>
          <w:szCs w:val="24"/>
          <w:highlight w:val="none"/>
        </w:rPr>
        <w:t>回</w:t>
      </w:r>
      <w:bookmarkEnd w:id="96"/>
    </w:p>
    <w:p w14:paraId="60824D5E">
      <w:pPr>
        <w:pageBreakBefore w:val="0"/>
        <w:widowControl w:val="0"/>
        <w:kinsoku/>
        <w:wordWrap/>
        <w:overflowPunct/>
        <w:topLinePunct w:val="0"/>
        <w:bidi w:val="0"/>
        <w:snapToGrid/>
        <w:spacing w:line="360" w:lineRule="auto"/>
        <w:ind w:left="0" w:leftChars="0" w:firstLine="470" w:firstLineChars="196"/>
        <w:textAlignment w:val="auto"/>
        <w:outlineLvl w:val="9"/>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 xml:space="preserve"> 在投标截止时间之后，投标人不得对其递交的电子投标文件做任何修改或撤回投标。</w:t>
      </w:r>
      <w:bookmarkStart w:id="97" w:name="_Toc183682368"/>
      <w:bookmarkStart w:id="98" w:name="_Toc183582231"/>
      <w:bookmarkStart w:id="99" w:name="_Toc89075878"/>
      <w:bookmarkStart w:id="100" w:name="_Toc77400782"/>
      <w:bookmarkStart w:id="101" w:name="_Toc217446056"/>
    </w:p>
    <w:p w14:paraId="2E779F61">
      <w:pPr>
        <w:spacing w:line="360" w:lineRule="auto"/>
        <w:ind w:firstLine="470" w:firstLineChars="196"/>
        <w:rPr>
          <w:rFonts w:hint="eastAsia" w:hAnsi="宋体" w:cs="宋体"/>
          <w:color w:val="auto"/>
          <w:sz w:val="24"/>
          <w:szCs w:val="24"/>
          <w:highlight w:val="none"/>
        </w:rPr>
      </w:pPr>
    </w:p>
    <w:p w14:paraId="1D025BC2">
      <w:pPr>
        <w:pStyle w:val="4"/>
        <w:spacing w:before="0" w:beforeLines="0" w:after="0" w:afterLines="0" w:line="360" w:lineRule="auto"/>
        <w:jc w:val="center"/>
        <w:rPr>
          <w:rFonts w:ascii="宋体" w:hAnsi="宋体" w:eastAsia="宋体" w:cs="宋体"/>
          <w:bCs/>
          <w:color w:val="auto"/>
          <w:sz w:val="24"/>
          <w:szCs w:val="24"/>
          <w:highlight w:val="none"/>
        </w:rPr>
      </w:pPr>
      <w:bookmarkStart w:id="102" w:name="_Toc23603"/>
      <w:bookmarkStart w:id="103" w:name="_Toc30436"/>
      <w:bookmarkStart w:id="104" w:name="_Toc9832"/>
      <w:bookmarkStart w:id="105" w:name="_Toc1533"/>
      <w:r>
        <w:rPr>
          <w:rFonts w:hint="eastAsia" w:ascii="宋体" w:hAnsi="宋体" w:eastAsia="宋体" w:cs="宋体"/>
          <w:bCs/>
          <w:color w:val="auto"/>
          <w:sz w:val="24"/>
          <w:szCs w:val="24"/>
          <w:highlight w:val="none"/>
        </w:rPr>
        <w:t>四、开标和评标</w:t>
      </w:r>
      <w:bookmarkEnd w:id="97"/>
      <w:bookmarkEnd w:id="98"/>
      <w:bookmarkEnd w:id="99"/>
      <w:bookmarkEnd w:id="100"/>
      <w:bookmarkEnd w:id="101"/>
      <w:bookmarkEnd w:id="102"/>
      <w:bookmarkEnd w:id="103"/>
      <w:bookmarkEnd w:id="104"/>
      <w:bookmarkEnd w:id="105"/>
    </w:p>
    <w:p w14:paraId="5D058734">
      <w:pPr>
        <w:pageBreakBefore w:val="0"/>
        <w:widowControl w:val="0"/>
        <w:kinsoku/>
        <w:wordWrap/>
        <w:overflowPunct/>
        <w:topLinePunct w:val="0"/>
        <w:bidi w:val="0"/>
        <w:snapToGrid/>
        <w:spacing w:before="0" w:beforeLines="0" w:after="0" w:afterLines="0" w:line="360" w:lineRule="auto"/>
        <w:ind w:firstLine="480" w:firstLineChars="200"/>
        <w:textAlignment w:val="auto"/>
        <w:outlineLvl w:val="9"/>
        <w:rPr>
          <w:rFonts w:hAnsi="宋体" w:cs="宋体"/>
          <w:bCs/>
          <w:color w:val="auto"/>
          <w:sz w:val="24"/>
          <w:szCs w:val="24"/>
          <w:highlight w:val="none"/>
        </w:rPr>
      </w:pPr>
      <w:bookmarkStart w:id="106" w:name="_Toc217446057"/>
      <w:bookmarkStart w:id="107" w:name="_Toc183682369"/>
      <w:bookmarkStart w:id="108" w:name="_Toc183582232"/>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8</w:t>
      </w:r>
      <w:r>
        <w:rPr>
          <w:rFonts w:hint="eastAsia" w:hAnsi="宋体" w:cs="宋体"/>
          <w:bCs/>
          <w:color w:val="auto"/>
          <w:sz w:val="24"/>
          <w:szCs w:val="24"/>
          <w:highlight w:val="none"/>
        </w:rPr>
        <w:t>．开标</w:t>
      </w:r>
      <w:bookmarkEnd w:id="106"/>
      <w:bookmarkEnd w:id="107"/>
      <w:bookmarkEnd w:id="108"/>
    </w:p>
    <w:p w14:paraId="66871F2D">
      <w:pPr>
        <w:spacing w:line="360" w:lineRule="auto"/>
        <w:ind w:firstLine="480" w:firstLineChars="200"/>
        <w:outlineLvl w:val="9"/>
        <w:rPr>
          <w:rFonts w:hint="eastAsia" w:ascii="宋体" w:hAnsi="宋体" w:cs="宋体"/>
          <w:b/>
          <w:sz w:val="24"/>
          <w:szCs w:val="24"/>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.1 集</w:t>
      </w:r>
      <w:r>
        <w:rPr>
          <w:rFonts w:hint="eastAsia" w:hAnsi="宋体" w:cs="宋体"/>
          <w:color w:val="auto"/>
          <w:sz w:val="24"/>
          <w:szCs w:val="24"/>
          <w:highlight w:val="none"/>
          <w:lang w:val="zh-CN"/>
        </w:rPr>
        <w:t>采机构在招标文件规定的时间和地点组织公开开标，投标人须通过</w:t>
      </w:r>
      <w:r>
        <w:rPr>
          <w:rFonts w:hint="eastAsia" w:hAnsi="宋体" w:cs="宋体"/>
          <w:color w:val="auto"/>
          <w:sz w:val="24"/>
          <w:szCs w:val="24"/>
          <w:highlight w:val="none"/>
          <w:shd w:val="clear" w:color="auto" w:fill="FFFFFF"/>
          <w:lang w:val="zh-CN"/>
        </w:rPr>
        <w:t>“</w:t>
      </w:r>
      <w:r>
        <w:rPr>
          <w:rFonts w:hint="eastAsia" w:hAnsi="宋体" w:cs="宋体"/>
          <w:color w:val="auto"/>
          <w:sz w:val="24"/>
          <w:szCs w:val="24"/>
          <w:highlight w:val="none"/>
          <w:shd w:val="clear" w:color="auto" w:fill="FFFFFF"/>
          <w:lang w:val="en-US" w:eastAsia="zh-CN"/>
        </w:rPr>
        <w:t>陇南市</w:t>
      </w:r>
      <w:r>
        <w:rPr>
          <w:rFonts w:hint="eastAsia" w:hAnsi="宋体" w:cs="宋体"/>
          <w:color w:val="auto"/>
          <w:sz w:val="24"/>
          <w:szCs w:val="24"/>
          <w:highlight w:val="none"/>
          <w:shd w:val="clear" w:color="auto" w:fill="FFFFFF"/>
          <w:lang w:val="zh-CN"/>
        </w:rPr>
        <w:t>公共资源交易中心网上</w:t>
      </w:r>
      <w:r>
        <w:rPr>
          <w:rFonts w:hint="eastAsia" w:hAnsi="宋体" w:cs="宋体"/>
          <w:color w:val="auto"/>
          <w:sz w:val="24"/>
          <w:szCs w:val="24"/>
          <w:highlight w:val="none"/>
          <w:shd w:val="clear" w:color="auto" w:fill="FFFFFF"/>
          <w:lang w:val="en-US" w:eastAsia="zh-CN"/>
        </w:rPr>
        <w:t>不见面开标大厅</w:t>
      </w:r>
      <w:r>
        <w:rPr>
          <w:rFonts w:hint="eastAsia" w:hAnsi="宋体" w:cs="宋体"/>
          <w:color w:val="auto"/>
          <w:sz w:val="24"/>
          <w:szCs w:val="24"/>
          <w:highlight w:val="none"/>
          <w:shd w:val="clear" w:color="auto" w:fill="FFFFFF"/>
          <w:lang w:val="zh-CN"/>
        </w:rPr>
        <w:t>”参加。</w:t>
      </w:r>
      <w:r>
        <w:rPr>
          <w:rFonts w:hint="eastAsia" w:ascii="宋体" w:hAnsi="宋体"/>
          <w:b/>
          <w:bCs/>
          <w:sz w:val="24"/>
          <w:szCs w:val="24"/>
        </w:rPr>
        <w:t>本项目招投标流程以现行电子开标程序为主（登录陇南市公共资源交易网首页“下载中心”，下载政府采购全流程电子化开评标系统操作手册）。</w:t>
      </w:r>
    </w:p>
    <w:p w14:paraId="75D4ED45">
      <w:pPr>
        <w:pageBreakBefore w:val="0"/>
        <w:widowControl w:val="0"/>
        <w:kinsoku/>
        <w:wordWrap/>
        <w:overflowPunct/>
        <w:topLinePunct w:val="0"/>
        <w:bidi w:val="0"/>
        <w:snapToGrid/>
        <w:spacing w:line="360" w:lineRule="auto"/>
        <w:ind w:firstLine="470" w:firstLineChars="196"/>
        <w:textAlignment w:val="auto"/>
        <w:outlineLvl w:val="9"/>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.2 开标时，采用</w:t>
      </w:r>
      <w:r>
        <w:rPr>
          <w:rFonts w:hint="eastAsia" w:hAnsi="宋体" w:cs="宋体"/>
          <w:color w:val="auto"/>
          <w:sz w:val="24"/>
          <w:szCs w:val="24"/>
          <w:highlight w:val="none"/>
          <w:lang w:val="zh-CN"/>
        </w:rPr>
        <w:t>“</w:t>
      </w:r>
      <w:r>
        <w:rPr>
          <w:rFonts w:hint="eastAsia" w:hAnsi="宋体" w:cs="宋体"/>
          <w:color w:val="auto"/>
          <w:sz w:val="24"/>
          <w:szCs w:val="24"/>
          <w:highlight w:val="none"/>
          <w:lang w:val="en-US" w:eastAsia="zh-CN"/>
        </w:rPr>
        <w:t>陇南市</w:t>
      </w:r>
      <w:r>
        <w:rPr>
          <w:rFonts w:hint="eastAsia" w:hAnsi="宋体" w:cs="宋体"/>
          <w:color w:val="auto"/>
          <w:sz w:val="24"/>
          <w:szCs w:val="24"/>
          <w:highlight w:val="none"/>
          <w:lang w:val="zh-CN"/>
        </w:rPr>
        <w:t>公共资源交易中心网上</w:t>
      </w:r>
      <w:r>
        <w:rPr>
          <w:rFonts w:hint="eastAsia" w:hAnsi="宋体" w:cs="宋体"/>
          <w:color w:val="auto"/>
          <w:sz w:val="24"/>
          <w:szCs w:val="24"/>
          <w:highlight w:val="none"/>
          <w:shd w:val="clear" w:color="auto" w:fill="FFFFFF"/>
          <w:lang w:val="en-US" w:eastAsia="zh-CN"/>
        </w:rPr>
        <w:t>不见面开标大厅</w:t>
      </w:r>
      <w:r>
        <w:rPr>
          <w:rFonts w:hint="eastAsia" w:hAnsi="宋体" w:cs="宋体"/>
          <w:color w:val="auto"/>
          <w:sz w:val="24"/>
          <w:szCs w:val="24"/>
          <w:highlight w:val="none"/>
          <w:lang w:val="zh-CN"/>
        </w:rPr>
        <w:t>”</w:t>
      </w:r>
      <w:r>
        <w:rPr>
          <w:rFonts w:hint="eastAsia" w:hAnsi="宋体" w:cs="宋体"/>
          <w:color w:val="auto"/>
          <w:sz w:val="24"/>
          <w:szCs w:val="24"/>
          <w:highlight w:val="none"/>
          <w:lang w:val="en-US" w:eastAsia="zh-CN"/>
        </w:rPr>
        <w:t>公开</w:t>
      </w:r>
      <w:r>
        <w:rPr>
          <w:rFonts w:hint="eastAsia" w:hAnsi="宋体" w:cs="宋体"/>
          <w:color w:val="auto"/>
          <w:sz w:val="24"/>
          <w:szCs w:val="24"/>
          <w:highlight w:val="none"/>
        </w:rPr>
        <w:t xml:space="preserve">包括投标人名称、投标价格和招标文件规定的需要公开的其他内容。投标人不足3家的，不得开标。 </w:t>
      </w:r>
    </w:p>
    <w:p w14:paraId="5B0ECE1E">
      <w:pPr>
        <w:pageBreakBefore w:val="0"/>
        <w:widowControl w:val="0"/>
        <w:kinsoku/>
        <w:wordWrap/>
        <w:overflowPunct/>
        <w:topLinePunct w:val="0"/>
        <w:bidi w:val="0"/>
        <w:snapToGrid/>
        <w:spacing w:line="360" w:lineRule="auto"/>
        <w:ind w:firstLine="470" w:firstLineChars="196"/>
        <w:textAlignment w:val="auto"/>
        <w:outlineLvl w:val="9"/>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对不同文字文本电子投标文件的解释发生异议的，以中文文本为准。</w:t>
      </w:r>
    </w:p>
    <w:p w14:paraId="75A3F16B">
      <w:pPr>
        <w:pageBreakBefore w:val="0"/>
        <w:widowControl w:val="0"/>
        <w:kinsoku/>
        <w:wordWrap/>
        <w:overflowPunct/>
        <w:topLinePunct w:val="0"/>
        <w:bidi w:val="0"/>
        <w:snapToGrid/>
        <w:spacing w:line="360" w:lineRule="auto"/>
        <w:ind w:firstLine="470" w:firstLineChars="196"/>
        <w:textAlignment w:val="auto"/>
        <w:outlineLvl w:val="9"/>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投标人代表对开标过程和开标记录有疑义，以及认为招标采购单位相关工作人员有需要回避的情形的，应</w:t>
      </w:r>
      <w:r>
        <w:rPr>
          <w:rFonts w:hint="eastAsia" w:hAnsi="宋体" w:cs="宋体"/>
          <w:color w:val="auto"/>
          <w:sz w:val="24"/>
          <w:szCs w:val="24"/>
          <w:highlight w:val="none"/>
          <w:lang w:eastAsia="zh-CN"/>
        </w:rPr>
        <w:t>及时</w:t>
      </w:r>
      <w:r>
        <w:rPr>
          <w:rFonts w:hint="eastAsia" w:hAnsi="宋体" w:cs="宋体"/>
          <w:color w:val="auto"/>
          <w:sz w:val="24"/>
          <w:szCs w:val="24"/>
          <w:highlight w:val="none"/>
        </w:rPr>
        <w:t xml:space="preserve">提出询问或者回避申请。招标采购单位对投标人代表提出的询问或者回避申请应当及时处理。投标人未参加开标的，视同认可开标结果。 </w:t>
      </w:r>
    </w:p>
    <w:p w14:paraId="1967ABE6">
      <w:pPr>
        <w:pageBreakBefore w:val="0"/>
        <w:widowControl w:val="0"/>
        <w:kinsoku/>
        <w:wordWrap/>
        <w:overflowPunct/>
        <w:topLinePunct w:val="0"/>
        <w:bidi w:val="0"/>
        <w:snapToGrid/>
        <w:spacing w:before="0" w:beforeLines="0" w:after="0" w:afterLines="0" w:line="360" w:lineRule="auto"/>
        <w:ind w:firstLine="480" w:firstLineChars="200"/>
        <w:textAlignment w:val="auto"/>
        <w:outlineLvl w:val="9"/>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lang w:val="en-US" w:eastAsia="zh-CN"/>
        </w:rPr>
        <w:t>9</w:t>
      </w:r>
      <w:r>
        <w:rPr>
          <w:rFonts w:hint="eastAsia" w:hAnsi="宋体" w:cs="宋体"/>
          <w:bCs/>
          <w:color w:val="auto"/>
          <w:sz w:val="24"/>
          <w:szCs w:val="24"/>
          <w:highlight w:val="none"/>
        </w:rPr>
        <w:t>.资格审查</w:t>
      </w:r>
    </w:p>
    <w:p w14:paraId="24AF0201">
      <w:pPr>
        <w:pageBreakBefore w:val="0"/>
        <w:widowControl w:val="0"/>
        <w:kinsoku/>
        <w:wordWrap/>
        <w:overflowPunct/>
        <w:topLinePunct w:val="0"/>
        <w:bidi w:val="0"/>
        <w:snapToGrid/>
        <w:spacing w:line="360" w:lineRule="auto"/>
        <w:textAlignment w:val="auto"/>
        <w:outlineLvl w:val="9"/>
        <w:rPr>
          <w:rFonts w:hint="default" w:hAnsi="宋体" w:eastAsia="宋体" w:cs="宋体"/>
          <w:b/>
          <w:strike w:val="0"/>
          <w:dstrike w:val="0"/>
          <w:color w:val="auto"/>
          <w:sz w:val="24"/>
          <w:szCs w:val="24"/>
          <w:highlight w:val="none"/>
          <w:lang w:val="en-US" w:eastAsia="zh-CN"/>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2</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.1公开招标采购项目开标结束后，采购人</w:t>
      </w:r>
      <w:r>
        <w:rPr>
          <w:rFonts w:hint="eastAsia" w:hAnsi="宋体" w:cs="宋体"/>
          <w:color w:val="auto"/>
          <w:sz w:val="24"/>
          <w:szCs w:val="24"/>
          <w:highlight w:val="none"/>
          <w:lang w:val="en-US" w:eastAsia="zh-CN"/>
        </w:rPr>
        <w:t>委托评标委员会</w:t>
      </w:r>
      <w:r>
        <w:rPr>
          <w:rFonts w:hint="eastAsia" w:hAnsi="宋体" w:cs="宋体"/>
          <w:color w:val="auto"/>
          <w:sz w:val="24"/>
          <w:szCs w:val="24"/>
          <w:highlight w:val="none"/>
        </w:rPr>
        <w:t>依法按招标文件要求对投标人的资格进行审查。合格投标人不足3家的，不得评标。</w:t>
      </w:r>
      <w:r>
        <w:rPr>
          <w:rFonts w:hint="eastAsia" w:hAnsi="宋体" w:cs="宋体"/>
          <w:strike w:val="0"/>
          <w:dstrike w:val="0"/>
          <w:color w:val="auto"/>
          <w:sz w:val="24"/>
          <w:szCs w:val="24"/>
          <w:highlight w:val="none"/>
          <w:lang w:eastAsia="zh-CN"/>
        </w:rPr>
        <w:t>符合资格条件的中小企业数量不足</w:t>
      </w:r>
      <w:r>
        <w:rPr>
          <w:rFonts w:hint="eastAsia" w:hAnsi="宋体" w:cs="宋体"/>
          <w:strike w:val="0"/>
          <w:dstrike w:val="0"/>
          <w:color w:val="auto"/>
          <w:sz w:val="24"/>
          <w:szCs w:val="24"/>
          <w:highlight w:val="none"/>
          <w:lang w:val="en-US" w:eastAsia="zh-CN"/>
        </w:rPr>
        <w:t>3家的，应当中止采购活动，视同未预留份额的采购项目，按照《政府采购促进中小企业发展管理办法》（财库</w:t>
      </w:r>
      <w:r>
        <w:rPr>
          <w:rFonts w:hint="eastAsia" w:ascii="宋体" w:hAnsi="宋体" w:eastAsia="宋体" w:cs="宋体"/>
          <w:strike w:val="0"/>
          <w:dstrike w:val="0"/>
          <w:color w:val="auto"/>
          <w:sz w:val="24"/>
          <w:szCs w:val="24"/>
          <w:highlight w:val="none"/>
          <w:lang w:val="en-US" w:eastAsia="zh-CN"/>
        </w:rPr>
        <w:t>〔2020〕46号）第九条</w:t>
      </w:r>
      <w:r>
        <w:rPr>
          <w:rFonts w:hint="eastAsia" w:hAnsi="宋体" w:cs="宋体"/>
          <w:strike w:val="0"/>
          <w:dstrike w:val="0"/>
          <w:color w:val="auto"/>
          <w:sz w:val="24"/>
          <w:szCs w:val="24"/>
          <w:highlight w:val="none"/>
          <w:lang w:val="en-US" w:eastAsia="zh-CN"/>
        </w:rPr>
        <w:t>有关规定重新组织采购活动。</w:t>
      </w:r>
    </w:p>
    <w:p w14:paraId="0032F65F">
      <w:pPr>
        <w:pageBreakBefore w:val="0"/>
        <w:widowControl w:val="0"/>
        <w:kinsoku/>
        <w:wordWrap/>
        <w:overflowPunct/>
        <w:topLinePunct w:val="0"/>
        <w:bidi w:val="0"/>
        <w:snapToGrid/>
        <w:spacing w:before="0" w:beforeLines="0" w:after="0" w:afterLines="0" w:line="360" w:lineRule="auto"/>
        <w:ind w:firstLine="480" w:firstLineChars="200"/>
        <w:textAlignment w:val="auto"/>
        <w:outlineLvl w:val="9"/>
        <w:rPr>
          <w:rFonts w:hAnsi="宋体" w:cs="宋体"/>
          <w:color w:val="auto"/>
          <w:sz w:val="24"/>
          <w:szCs w:val="24"/>
          <w:highlight w:val="none"/>
        </w:rPr>
      </w:pPr>
      <w:bookmarkStart w:id="109" w:name="_Toc217446059"/>
      <w:r>
        <w:rPr>
          <w:rFonts w:hint="eastAsia" w:hAnsi="宋体" w:cs="宋体"/>
          <w:color w:val="auto"/>
          <w:sz w:val="24"/>
          <w:szCs w:val="24"/>
          <w:highlight w:val="none"/>
          <w:lang w:val="en-US" w:eastAsia="zh-CN"/>
        </w:rPr>
        <w:t>30</w:t>
      </w:r>
      <w:r>
        <w:rPr>
          <w:rFonts w:hint="eastAsia" w:hAnsi="宋体" w:cs="宋体"/>
          <w:color w:val="auto"/>
          <w:sz w:val="24"/>
          <w:szCs w:val="24"/>
          <w:highlight w:val="none"/>
        </w:rPr>
        <w:t>. 评标</w:t>
      </w:r>
      <w:bookmarkEnd w:id="109"/>
      <w:r>
        <w:rPr>
          <w:rFonts w:hint="eastAsia" w:hAnsi="宋体" w:cs="宋体"/>
          <w:color w:val="auto"/>
          <w:sz w:val="24"/>
          <w:szCs w:val="24"/>
          <w:highlight w:val="none"/>
        </w:rPr>
        <w:t>委员会</w:t>
      </w:r>
    </w:p>
    <w:p w14:paraId="56D0379E">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.1 评标委员会成员由采购人代表和评审专家组成，成员人数应当为5人以上单数，其中评审专家不得少于成员总数的三分之二。</w:t>
      </w:r>
    </w:p>
    <w:p w14:paraId="7E8B3CC5">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 xml:space="preserve">.2 </w:t>
      </w:r>
      <w:r>
        <w:rPr>
          <w:rFonts w:hint="eastAsia" w:ascii="宋体" w:hAnsi="宋体" w:eastAsia="宋体" w:cs="宋体"/>
          <w:color w:val="auto"/>
          <w:sz w:val="24"/>
          <w:szCs w:val="24"/>
          <w:highlight w:val="none"/>
        </w:rPr>
        <w:t>评标委员会应当对符合资格的投标人的投标文件进行符合性审查，以确定其是否满足招标文件的实质性要求。评标委员会应当按照招标文件中规定的评标方法和标准，对符合性审查合格的投标文件进行商务和技术评估，综合比较与评价。</w:t>
      </w:r>
    </w:p>
    <w:p w14:paraId="03B63899">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.3 评标委员会负责完成全部评标工作，向采购人提出经评标委员会签字的书面评标报告。</w:t>
      </w:r>
    </w:p>
    <w:p w14:paraId="6CD445A6">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31</w:t>
      </w:r>
      <w:r>
        <w:rPr>
          <w:rFonts w:hint="eastAsia" w:ascii="宋体" w:hAnsi="宋体" w:eastAsia="宋体" w:cs="宋体"/>
          <w:b/>
          <w:bCs/>
          <w:color w:val="auto"/>
          <w:highlight w:val="none"/>
        </w:rPr>
        <w:t>. 对电子投标文件的审查和响应性的确定</w:t>
      </w:r>
    </w:p>
    <w:p w14:paraId="31309F28">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color w:val="auto"/>
          <w:highlight w:val="none"/>
        </w:rPr>
      </w:pPr>
      <w:r>
        <w:rPr>
          <w:rFonts w:hint="eastAsia" w:ascii="宋体" w:hAnsi="宋体" w:eastAsia="宋体" w:cs="宋体"/>
          <w:b/>
          <w:color w:val="auto"/>
          <w:highlight w:val="none"/>
          <w:lang w:val="en-US" w:eastAsia="zh-CN"/>
        </w:rPr>
        <w:t>31</w:t>
      </w:r>
      <w:r>
        <w:rPr>
          <w:rFonts w:hint="eastAsia" w:ascii="宋体" w:hAnsi="宋体" w:eastAsia="宋体" w:cs="宋体"/>
          <w:b/>
          <w:color w:val="auto"/>
          <w:highlight w:val="none"/>
        </w:rPr>
        <w:t>.1电子投标文件属于下列情况的，在符合性审查时按照无效投标处理：</w:t>
      </w:r>
    </w:p>
    <w:p w14:paraId="3466DCA3">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color w:val="auto"/>
          <w:highlight w:val="none"/>
        </w:rPr>
      </w:pPr>
      <w:r>
        <w:rPr>
          <w:rFonts w:hint="eastAsia" w:ascii="宋体" w:hAnsi="宋体" w:eastAsia="宋体" w:cs="宋体"/>
          <w:b/>
          <w:color w:val="auto"/>
          <w:highlight w:val="none"/>
        </w:rPr>
        <w:t>（1）电子投标文件未按招标文件要求签署、盖章的</w:t>
      </w:r>
      <w:r>
        <w:rPr>
          <w:rFonts w:hint="eastAsia" w:ascii="宋体" w:hAnsi="宋体" w:eastAsia="宋体" w:cs="宋体"/>
          <w:color w:val="auto"/>
          <w:sz w:val="28"/>
          <w:szCs w:val="28"/>
          <w:highlight w:val="none"/>
        </w:rPr>
        <w:t>；</w:t>
      </w:r>
    </w:p>
    <w:p w14:paraId="47B40789">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color w:val="auto"/>
          <w:highlight w:val="none"/>
        </w:rPr>
      </w:pPr>
      <w:r>
        <w:rPr>
          <w:rFonts w:hint="eastAsia" w:ascii="宋体" w:hAnsi="宋体" w:eastAsia="宋体" w:cs="宋体"/>
          <w:b/>
          <w:color w:val="auto"/>
          <w:highlight w:val="none"/>
        </w:rPr>
        <w:t>（2）投标有效期不足的；</w:t>
      </w:r>
    </w:p>
    <w:p w14:paraId="2BB6BE2F">
      <w:pPr>
        <w:pageBreakBefore w:val="0"/>
        <w:widowControl w:val="0"/>
        <w:kinsoku/>
        <w:wordWrap/>
        <w:overflowPunct/>
        <w:topLinePunct w:val="0"/>
        <w:bidi w:val="0"/>
        <w:snapToGrid/>
        <w:spacing w:line="360" w:lineRule="auto"/>
        <w:ind w:firstLine="482" w:firstLineChars="200"/>
        <w:textAlignment w:val="auto"/>
        <w:outlineLvl w:val="9"/>
        <w:rPr>
          <w:rFonts w:hAnsi="宋体" w:cs="宋体"/>
          <w:b/>
          <w:color w:val="auto"/>
          <w:sz w:val="24"/>
          <w:szCs w:val="24"/>
          <w:highlight w:val="none"/>
        </w:rPr>
      </w:pPr>
      <w:r>
        <w:rPr>
          <w:rFonts w:hint="eastAsia" w:hAnsi="宋体" w:cs="宋体"/>
          <w:b/>
          <w:color w:val="auto"/>
          <w:sz w:val="24"/>
          <w:szCs w:val="24"/>
          <w:highlight w:val="none"/>
        </w:rPr>
        <w:t>（3）加注“</w:t>
      </w:r>
      <w:r>
        <w:rPr>
          <w:rFonts w:hint="eastAsia" w:hAnsi="宋体" w:cs="宋体"/>
          <w:color w:val="auto"/>
          <w:sz w:val="24"/>
          <w:szCs w:val="24"/>
          <w:highlight w:val="none"/>
        </w:rPr>
        <w:t>●</w:t>
      </w:r>
      <w:r>
        <w:rPr>
          <w:rFonts w:hint="eastAsia" w:hAnsi="宋体" w:cs="宋体"/>
          <w:b/>
          <w:color w:val="auto"/>
          <w:sz w:val="24"/>
          <w:szCs w:val="24"/>
          <w:highlight w:val="none"/>
        </w:rPr>
        <w:t>”号条款未实质性响应招标文件的；</w:t>
      </w:r>
    </w:p>
    <w:p w14:paraId="0EA1B6F5">
      <w:pPr>
        <w:pageBreakBefore w:val="0"/>
        <w:widowControl w:val="0"/>
        <w:kinsoku/>
        <w:wordWrap/>
        <w:overflowPunct/>
        <w:topLinePunct w:val="0"/>
        <w:bidi w:val="0"/>
        <w:snapToGrid/>
        <w:spacing w:line="360" w:lineRule="auto"/>
        <w:ind w:firstLine="482" w:firstLineChars="200"/>
        <w:textAlignment w:val="auto"/>
        <w:outlineLvl w:val="9"/>
        <w:rPr>
          <w:rFonts w:hAnsi="宋体" w:cs="宋体"/>
          <w:b/>
          <w:color w:val="auto"/>
          <w:sz w:val="24"/>
          <w:szCs w:val="24"/>
          <w:highlight w:val="none"/>
        </w:rPr>
      </w:pPr>
      <w:r>
        <w:rPr>
          <w:rFonts w:hint="eastAsia" w:hAnsi="宋体" w:cs="宋体"/>
          <w:b/>
          <w:color w:val="auto"/>
          <w:sz w:val="24"/>
          <w:szCs w:val="24"/>
          <w:highlight w:val="none"/>
        </w:rPr>
        <w:t>（4）投标内容不符合</w:t>
      </w:r>
      <w:r>
        <w:rPr>
          <w:rFonts w:hint="eastAsia" w:hAnsi="宋体" w:cs="宋体"/>
          <w:b/>
          <w:color w:val="auto"/>
          <w:sz w:val="24"/>
          <w:szCs w:val="24"/>
          <w:highlight w:val="none"/>
          <w:lang w:eastAsia="zh-CN"/>
        </w:rPr>
        <w:t>国家</w:t>
      </w:r>
      <w:r>
        <w:rPr>
          <w:rFonts w:hint="eastAsia" w:hAnsi="宋体" w:cs="宋体"/>
          <w:b/>
          <w:color w:val="auto"/>
          <w:sz w:val="24"/>
          <w:szCs w:val="24"/>
          <w:highlight w:val="none"/>
        </w:rPr>
        <w:t>相关强制性</w:t>
      </w:r>
      <w:r>
        <w:rPr>
          <w:rFonts w:hint="eastAsia" w:hAnsi="宋体" w:cs="宋体"/>
          <w:b/>
          <w:color w:val="auto"/>
          <w:sz w:val="24"/>
          <w:szCs w:val="24"/>
          <w:highlight w:val="none"/>
          <w:lang w:eastAsia="zh-CN"/>
        </w:rPr>
        <w:t>标准</w:t>
      </w:r>
      <w:r>
        <w:rPr>
          <w:rFonts w:hint="eastAsia" w:hAnsi="宋体" w:cs="宋体"/>
          <w:b/>
          <w:color w:val="auto"/>
          <w:sz w:val="24"/>
          <w:szCs w:val="24"/>
          <w:highlight w:val="none"/>
        </w:rPr>
        <w:t>的；</w:t>
      </w:r>
    </w:p>
    <w:p w14:paraId="58D6FACA">
      <w:pPr>
        <w:pageBreakBefore w:val="0"/>
        <w:widowControl w:val="0"/>
        <w:kinsoku/>
        <w:wordWrap/>
        <w:overflowPunct/>
        <w:topLinePunct w:val="0"/>
        <w:bidi w:val="0"/>
        <w:snapToGrid/>
        <w:spacing w:line="360" w:lineRule="auto"/>
        <w:ind w:firstLine="482" w:firstLineChars="200"/>
        <w:textAlignment w:val="auto"/>
        <w:outlineLvl w:val="9"/>
        <w:rPr>
          <w:rFonts w:hAnsi="宋体" w:cs="宋体"/>
          <w:b/>
          <w:color w:val="auto"/>
          <w:sz w:val="24"/>
          <w:szCs w:val="24"/>
          <w:highlight w:val="none"/>
        </w:rPr>
      </w:pPr>
      <w:r>
        <w:rPr>
          <w:rFonts w:hint="eastAsia" w:hAnsi="宋体" w:cs="宋体"/>
          <w:b/>
          <w:color w:val="auto"/>
          <w:sz w:val="24"/>
          <w:szCs w:val="24"/>
          <w:highlight w:val="none"/>
        </w:rPr>
        <w:t>（5）报价超过招标文件中规定的预算金额或者最高限价的；</w:t>
      </w:r>
    </w:p>
    <w:p w14:paraId="08A6FD56">
      <w:pPr>
        <w:pageBreakBefore w:val="0"/>
        <w:widowControl w:val="0"/>
        <w:kinsoku/>
        <w:wordWrap/>
        <w:overflowPunct/>
        <w:topLinePunct w:val="0"/>
        <w:bidi w:val="0"/>
        <w:snapToGrid/>
        <w:spacing w:line="360" w:lineRule="auto"/>
        <w:ind w:firstLine="482" w:firstLineChars="200"/>
        <w:textAlignment w:val="auto"/>
        <w:outlineLvl w:val="9"/>
        <w:rPr>
          <w:rFonts w:hAnsi="宋体" w:cs="宋体"/>
          <w:b/>
          <w:color w:val="auto"/>
          <w:sz w:val="24"/>
          <w:szCs w:val="24"/>
          <w:highlight w:val="none"/>
        </w:rPr>
      </w:pPr>
      <w:r>
        <w:rPr>
          <w:rFonts w:hint="eastAsia" w:hAnsi="宋体" w:cs="宋体"/>
          <w:b/>
          <w:color w:val="auto"/>
          <w:sz w:val="24"/>
          <w:szCs w:val="24"/>
          <w:highlight w:val="none"/>
        </w:rPr>
        <w:t xml:space="preserve">（6）电子投标文件含有采购人不能接受的附加条件的; </w:t>
      </w:r>
    </w:p>
    <w:p w14:paraId="2A04582A">
      <w:pPr>
        <w:pageBreakBefore w:val="0"/>
        <w:widowControl w:val="0"/>
        <w:kinsoku/>
        <w:wordWrap/>
        <w:overflowPunct/>
        <w:topLinePunct w:val="0"/>
        <w:bidi w:val="0"/>
        <w:snapToGrid/>
        <w:spacing w:line="360" w:lineRule="auto"/>
        <w:ind w:firstLine="482" w:firstLineChars="200"/>
        <w:textAlignment w:val="auto"/>
        <w:outlineLvl w:val="9"/>
        <w:rPr>
          <w:rFonts w:hAnsi="宋体" w:cs="宋体"/>
          <w:b/>
          <w:color w:val="auto"/>
          <w:sz w:val="24"/>
          <w:szCs w:val="24"/>
          <w:highlight w:val="none"/>
        </w:rPr>
      </w:pPr>
      <w:r>
        <w:rPr>
          <w:rFonts w:hint="eastAsia" w:hAnsi="宋体" w:cs="宋体"/>
          <w:b/>
          <w:color w:val="auto"/>
          <w:sz w:val="24"/>
          <w:szCs w:val="24"/>
          <w:highlight w:val="none"/>
        </w:rPr>
        <w:t>（7）法律、法规和招标文件规定的其他无效情形。</w:t>
      </w:r>
    </w:p>
    <w:p w14:paraId="28F49AB1">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.2 投标截止时间后，除评标委员会要求提供外，不接受投标人及与投标人有关的任何一方递交的材料。</w:t>
      </w:r>
    </w:p>
    <w:p w14:paraId="3EE568EF">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.3 实质上没有响应招标文件要求的电子投标文件，将被拒绝。投标人不得通过修改或撤回不符合要求的内容而使其投标成为响应性的投标。</w:t>
      </w:r>
    </w:p>
    <w:p w14:paraId="4CC2F588">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.4 评标委员会对确定为实质上响应的投标进行审核，电子投标文件报价出现前后不一致的，修改错误的原则如下：</w:t>
      </w:r>
    </w:p>
    <w:p w14:paraId="2CF6E7B4">
      <w:pPr>
        <w:pStyle w:val="104"/>
        <w:pageBreakBefore w:val="0"/>
        <w:widowControl w:val="0"/>
        <w:numPr>
          <w:ilvl w:val="0"/>
          <w:numId w:val="4"/>
        </w:numPr>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开标一览表内容与电子投标文件中相应内容不一致的，以开标一览表为准；</w:t>
      </w:r>
    </w:p>
    <w:p w14:paraId="597BDC22">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5840DB10">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6ED2CDF1">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9ED71B6">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（5）同时出现两种以上不一致的，按照前款规定的顺序修正。修正后的报价经投标人确认后产生约束力，投标人不确认的，其投标无效。</w:t>
      </w:r>
    </w:p>
    <w:p w14:paraId="0C47EE52">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.5 评标委员会将要求投标人按上述修改错误的方法调整投标报价，投标人同意后，调整后的报价对投标人起约束作用。如果投标人不接受修改后的报价，其投标将被拒绝。</w:t>
      </w:r>
    </w:p>
    <w:p w14:paraId="7393C654">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32</w:t>
      </w:r>
      <w:r>
        <w:rPr>
          <w:rFonts w:hint="eastAsia" w:ascii="宋体" w:hAnsi="宋体" w:eastAsia="宋体" w:cs="宋体"/>
          <w:b/>
          <w:bCs/>
          <w:color w:val="auto"/>
          <w:highlight w:val="none"/>
        </w:rPr>
        <w:t>. 电子投标文件的澄清</w:t>
      </w:r>
    </w:p>
    <w:p w14:paraId="2547AE34">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.1 澄清有关问题。为了有助于对电子投标文件进行审查、评估和比较，评标委员会</w:t>
      </w:r>
      <w:r>
        <w:rPr>
          <w:rFonts w:hint="eastAsia" w:ascii="宋体" w:hAnsi="宋体" w:eastAsia="宋体" w:cs="宋体"/>
          <w:color w:val="auto"/>
          <w:highlight w:val="none"/>
          <w:lang w:eastAsia="zh-CN"/>
        </w:rPr>
        <w:t>应当要求</w:t>
      </w:r>
      <w:r>
        <w:rPr>
          <w:rFonts w:hint="eastAsia" w:ascii="宋体" w:hAnsi="宋体" w:eastAsia="宋体" w:cs="宋体"/>
          <w:color w:val="auto"/>
          <w:highlight w:val="none"/>
        </w:rPr>
        <w:t>投标人对电子投标文件中含义不明确、同类问题表述不一致或者有明显文字和计算错误的内容作出必要的澄清、说明或者</w:t>
      </w:r>
      <w:r>
        <w:rPr>
          <w:rFonts w:hint="eastAsia" w:ascii="宋体" w:hAnsi="宋体" w:eastAsia="宋体" w:cs="宋体"/>
          <w:color w:val="auto"/>
          <w:highlight w:val="none"/>
          <w:lang w:eastAsia="zh-CN"/>
        </w:rPr>
        <w:t>补正</w:t>
      </w:r>
      <w:r>
        <w:rPr>
          <w:rFonts w:hint="eastAsia" w:ascii="宋体" w:hAnsi="宋体" w:eastAsia="宋体" w:cs="宋体"/>
          <w:color w:val="auto"/>
          <w:highlight w:val="none"/>
        </w:rPr>
        <w:t>。投标人有义务按照评标委员会通知的时间、</w:t>
      </w:r>
      <w:r>
        <w:rPr>
          <w:rFonts w:hint="eastAsia" w:ascii="宋体" w:hAnsi="宋体" w:eastAsia="宋体" w:cs="宋体"/>
          <w:color w:val="auto"/>
          <w:highlight w:val="none"/>
          <w:lang w:eastAsia="zh-CN"/>
        </w:rPr>
        <w:t>方式</w:t>
      </w:r>
      <w:r>
        <w:rPr>
          <w:rFonts w:hint="eastAsia" w:ascii="宋体" w:hAnsi="宋体" w:eastAsia="宋体" w:cs="宋体"/>
          <w:color w:val="auto"/>
          <w:highlight w:val="none"/>
        </w:rPr>
        <w:t>指派</w:t>
      </w:r>
      <w:r>
        <w:rPr>
          <w:rFonts w:hint="default" w:ascii="宋体" w:hAnsi="宋体" w:eastAsia="宋体" w:cs="宋体"/>
          <w:color w:val="auto"/>
          <w:highlight w:val="none"/>
          <w:lang w:val="en" w:eastAsia="zh-CN"/>
        </w:rPr>
        <w:t>授权代表</w:t>
      </w:r>
      <w:r>
        <w:rPr>
          <w:rFonts w:hint="eastAsia" w:ascii="宋体" w:hAnsi="宋体" w:eastAsia="宋体" w:cs="宋体"/>
          <w:color w:val="auto"/>
          <w:highlight w:val="none"/>
        </w:rPr>
        <w:t>就相关问题进行澄清。</w:t>
      </w:r>
    </w:p>
    <w:p w14:paraId="210FEFE8">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.2 投标人的澄清、说明、答复或者补充应在规定的时间内完成，有关澄清、说明或者补正的要求和答复应以书面形式提交，并不得超出电子投标文件的范围或对投标内容进行实质性的修改。</w:t>
      </w:r>
    </w:p>
    <w:p w14:paraId="00084D99">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.3 澄清文件</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说明或者补正</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将作为电子投标文件的一部分，与电子投标文件具有同等的法律效力。</w:t>
      </w:r>
      <w:r>
        <w:rPr>
          <w:rFonts w:hint="eastAsia" w:ascii="宋体" w:hAnsi="宋体" w:eastAsia="宋体" w:cs="宋体"/>
          <w:color w:val="auto"/>
          <w:sz w:val="24"/>
          <w:szCs w:val="24"/>
          <w:highlight w:val="none"/>
        </w:rPr>
        <w:t>投标人的澄清、说明或者补正应当采用书面形式，并加盖公章，或者由法定代表人或</w:t>
      </w:r>
      <w:r>
        <w:rPr>
          <w:rFonts w:hint="default" w:ascii="宋体" w:hAnsi="宋体" w:eastAsia="宋体" w:cs="宋体"/>
          <w:color w:val="auto"/>
          <w:sz w:val="24"/>
          <w:szCs w:val="24"/>
          <w:highlight w:val="none"/>
          <w:lang w:val="en"/>
        </w:rPr>
        <w:t>授权代表</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p>
    <w:p w14:paraId="56DDF260">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33</w:t>
      </w:r>
      <w:r>
        <w:rPr>
          <w:rFonts w:hint="eastAsia" w:ascii="宋体" w:hAnsi="宋体" w:eastAsia="宋体" w:cs="宋体"/>
          <w:b/>
          <w:bCs/>
          <w:color w:val="auto"/>
          <w:highlight w:val="none"/>
        </w:rPr>
        <w:t>. 投标的</w:t>
      </w:r>
      <w:r>
        <w:rPr>
          <w:rFonts w:hint="eastAsia" w:ascii="宋体" w:hAnsi="宋体" w:eastAsia="宋体" w:cs="宋体"/>
          <w:b/>
          <w:bCs/>
          <w:color w:val="auto"/>
          <w:highlight w:val="none"/>
          <w:lang w:val="en-US" w:eastAsia="zh-CN"/>
        </w:rPr>
        <w:t>比较和评价</w:t>
      </w:r>
    </w:p>
    <w:p w14:paraId="1EF9A909">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.1 评标委员会将</w:t>
      </w:r>
      <w:r>
        <w:rPr>
          <w:rFonts w:hint="eastAsia" w:ascii="宋体" w:hAnsi="宋体" w:eastAsia="宋体" w:cs="宋体"/>
          <w:color w:val="auto"/>
          <w:highlight w:val="none"/>
          <w:lang w:eastAsia="zh-CN"/>
        </w:rPr>
        <w:t>按照</w:t>
      </w:r>
      <w:r>
        <w:rPr>
          <w:rFonts w:hint="eastAsia" w:ascii="宋体" w:hAnsi="宋体" w:eastAsia="宋体" w:cs="宋体"/>
          <w:color w:val="auto"/>
          <w:highlight w:val="none"/>
        </w:rPr>
        <w:t>招标文件</w:t>
      </w:r>
      <w:r>
        <w:rPr>
          <w:rFonts w:hint="eastAsia" w:ascii="宋体" w:hAnsi="宋体" w:eastAsia="宋体" w:cs="宋体"/>
          <w:color w:val="auto"/>
          <w:highlight w:val="none"/>
          <w:lang w:eastAsia="zh-CN"/>
        </w:rPr>
        <w:t>规定</w:t>
      </w:r>
      <w:r>
        <w:rPr>
          <w:rFonts w:hint="eastAsia" w:ascii="宋体" w:hAnsi="宋体" w:eastAsia="宋体" w:cs="宋体"/>
          <w:color w:val="auto"/>
          <w:highlight w:val="none"/>
        </w:rPr>
        <w:t>的评标</w:t>
      </w:r>
      <w:r>
        <w:rPr>
          <w:rFonts w:hint="eastAsia" w:ascii="宋体" w:hAnsi="宋体" w:eastAsia="宋体" w:cs="宋体"/>
          <w:color w:val="auto"/>
          <w:highlight w:val="none"/>
          <w:lang w:eastAsia="zh-CN"/>
        </w:rPr>
        <w:t>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eastAsia="zh-CN"/>
        </w:rPr>
        <w:t>。</w:t>
      </w:r>
    </w:p>
    <w:p w14:paraId="2EEB6FDC">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 评标原则和评标方法</w:t>
      </w:r>
    </w:p>
    <w:p w14:paraId="3137F811">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34</w:t>
      </w:r>
      <w:r>
        <w:rPr>
          <w:rFonts w:hint="eastAsia" w:ascii="宋体" w:hAnsi="宋体" w:eastAsia="宋体" w:cs="宋体"/>
          <w:color w:val="auto"/>
          <w:highlight w:val="none"/>
        </w:rPr>
        <w:t>.1 评标原则</w:t>
      </w:r>
    </w:p>
    <w:p w14:paraId="64E9CAFE">
      <w:pPr>
        <w:pStyle w:val="104"/>
        <w:pageBreakBefore w:val="0"/>
        <w:widowControl w:val="0"/>
        <w:kinsoku/>
        <w:wordWrap/>
        <w:overflowPunct/>
        <w:topLinePunct w:val="0"/>
        <w:bidi w:val="0"/>
        <w:snapToGrid/>
        <w:spacing w:line="360" w:lineRule="auto"/>
        <w:textAlignment w:val="auto"/>
        <w:outlineLvl w:val="9"/>
        <w:rPr>
          <w:rFonts w:ascii="宋体" w:hAnsi="宋体" w:eastAsia="宋体" w:cs="宋体"/>
          <w:color w:val="auto"/>
          <w:highlight w:val="none"/>
        </w:rPr>
      </w:pPr>
      <w:r>
        <w:rPr>
          <w:rFonts w:hint="eastAsia" w:ascii="宋体" w:hAnsi="宋体" w:eastAsia="宋体" w:cs="宋体"/>
          <w:color w:val="auto"/>
          <w:highlight w:val="none"/>
        </w:rPr>
        <w:t xml:space="preserve">   （1）评标委员会应当按照客观、公正、审慎的原则，根据招标文件规定的评审程序、评审方法和评审标准进行独立评审。</w:t>
      </w:r>
    </w:p>
    <w:p w14:paraId="1424E9EB">
      <w:pPr>
        <w:pStyle w:val="104"/>
        <w:pageBreakBefore w:val="0"/>
        <w:widowControl w:val="0"/>
        <w:kinsoku/>
        <w:wordWrap/>
        <w:overflowPunct/>
        <w:topLinePunct w:val="0"/>
        <w:bidi w:val="0"/>
        <w:snapToGrid/>
        <w:spacing w:line="360" w:lineRule="auto"/>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 xml:space="preserve">   （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14:paraId="73DF9943">
      <w:pPr>
        <w:pStyle w:val="104"/>
        <w:pageBreakBefore w:val="0"/>
        <w:widowControl w:val="0"/>
        <w:kinsoku/>
        <w:wordWrap/>
        <w:overflowPunct/>
        <w:topLinePunct w:val="0"/>
        <w:bidi w:val="0"/>
        <w:snapToGrid/>
        <w:spacing w:line="360" w:lineRule="auto"/>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 xml:space="preserve">   （3）对招标文件中描述有歧义或前后不一致的地方，但不影响项目评审的，评标委员会有权进行评判，但对同一条款的评判应适用于每个投标人。</w:t>
      </w:r>
    </w:p>
    <w:p w14:paraId="1B237C8F">
      <w:pPr>
        <w:pStyle w:val="104"/>
        <w:pageBreakBefore w:val="0"/>
        <w:widowControl w:val="0"/>
        <w:kinsoku/>
        <w:wordWrap/>
        <w:overflowPunct/>
        <w:topLinePunct w:val="0"/>
        <w:bidi w:val="0"/>
        <w:snapToGrid/>
        <w:spacing w:line="360" w:lineRule="auto"/>
        <w:jc w:val="both"/>
        <w:textAlignment w:val="auto"/>
        <w:outlineLvl w:val="9"/>
        <w:rPr>
          <w:rFonts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66A18E0">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.2 评标方法</w:t>
      </w:r>
    </w:p>
    <w:p w14:paraId="7A97FB86">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.2.1综合评分法</w:t>
      </w:r>
    </w:p>
    <w:p w14:paraId="426CF1C5">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1）“综合评分法”的评标方法，具体评审因素详见《采购项目需求》。评标采用百分制，各评委独立分别对实质上响应招标文件的投标进行逐项打分，对评标委员会各成员每一因素的打分汇总后取算术平均分，该平均分为投标人的得分。</w:t>
      </w:r>
    </w:p>
    <w:p w14:paraId="1DD10854">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报告上签署不同意见并说明理由，否则视为同意。</w:t>
      </w:r>
    </w:p>
    <w:p w14:paraId="2141C063">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（3）评标委员会审查产品资质或检测报告等相关文件符合性时，应综合考虑行业特点、交易习惯、采购需求最本质原义等情况，而不应以电子投标文件中产品名称与招标文件产品名称是否一致作为审查的标准。</w:t>
      </w:r>
    </w:p>
    <w:p w14:paraId="0077192A">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5）中标候选人产生办法：评标结果按评审后得分由高到低顺序排列。得分相同的，按投标报价由低到高顺序排列。得分且投标报价相同的并列。电子投标文件满足招标文件全部实质性要求，且按照评审因素的量化指标评审得分最高的投标人为排名第一的中标候选人。</w:t>
      </w:r>
    </w:p>
    <w:p w14:paraId="459EAFC1">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34</w:t>
      </w:r>
      <w:r>
        <w:rPr>
          <w:rFonts w:hint="eastAsia" w:ascii="宋体" w:hAnsi="宋体" w:eastAsia="宋体" w:cs="宋体"/>
          <w:b/>
          <w:bCs/>
          <w:color w:val="auto"/>
          <w:highlight w:val="none"/>
        </w:rPr>
        <w:t>.2.2最低评标价法</w:t>
      </w:r>
    </w:p>
    <w:p w14:paraId="7ECA6FD7">
      <w:pPr>
        <w:pStyle w:val="104"/>
        <w:pageBreakBefore w:val="0"/>
        <w:widowControl w:val="0"/>
        <w:numPr>
          <w:ilvl w:val="0"/>
          <w:numId w:val="5"/>
        </w:numPr>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最低评标价法，是指电子投标文件满足招标文件全部实质性要求，且投标报价最低的投标人为中标候选人的评标方法。采用最低评标价法评标时，除了算术修正和落实</w:t>
      </w:r>
      <w:r>
        <w:rPr>
          <w:rFonts w:hint="eastAsia" w:ascii="宋体" w:hAnsi="宋体" w:eastAsia="宋体" w:cs="宋体"/>
          <w:color w:val="auto"/>
          <w:highlight w:val="none"/>
          <w:lang w:eastAsia="zh-CN"/>
        </w:rPr>
        <w:t>中小微企业有关政策</w:t>
      </w:r>
      <w:r>
        <w:rPr>
          <w:rFonts w:hint="eastAsia" w:ascii="宋体" w:hAnsi="宋体" w:eastAsia="宋体" w:cs="宋体"/>
          <w:color w:val="auto"/>
          <w:highlight w:val="none"/>
        </w:rPr>
        <w:t xml:space="preserve">需进行的价格扣除外，不能对投标人的投标价格进行任何调整。 </w:t>
      </w:r>
    </w:p>
    <w:p w14:paraId="79890CEA">
      <w:pPr>
        <w:pStyle w:val="104"/>
        <w:pageBreakBefore w:val="0"/>
        <w:widowControl w:val="0"/>
        <w:kinsoku/>
        <w:wordWrap/>
        <w:overflowPunct/>
        <w:topLinePunct w:val="0"/>
        <w:bidi w:val="0"/>
        <w:snapToGrid/>
        <w:spacing w:line="360" w:lineRule="auto"/>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rPr>
        <w:t xml:space="preserve">   （2）中标候选人产生办法：评标结果按投标报价由低到高顺序排列。投标报价相同的并列。电子投标文件满足招标文件全部实质性要求且投标报价最低的投标人为排名第一的中标候选人。</w:t>
      </w:r>
    </w:p>
    <w:p w14:paraId="1DA21A1F">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35</w:t>
      </w:r>
      <w:r>
        <w:rPr>
          <w:rFonts w:hint="eastAsia" w:ascii="宋体" w:hAnsi="宋体" w:eastAsia="宋体" w:cs="宋体"/>
          <w:b/>
          <w:bCs/>
          <w:color w:val="auto"/>
          <w:highlight w:val="none"/>
        </w:rPr>
        <w:t>. 其他注意事项</w:t>
      </w:r>
    </w:p>
    <w:p w14:paraId="257FE9A5">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rPr>
        <w:t>.1 在开标、投标期间，投标人不得向评标委员会成员或</w:t>
      </w:r>
      <w:r>
        <w:rPr>
          <w:rFonts w:hint="eastAsia" w:ascii="宋体" w:hAnsi="宋体" w:eastAsia="宋体" w:cs="宋体"/>
          <w:color w:val="auto"/>
          <w:highlight w:val="none"/>
          <w:lang w:eastAsia="zh-CN"/>
        </w:rPr>
        <w:t>集采</w:t>
      </w:r>
      <w:r>
        <w:rPr>
          <w:rFonts w:hint="eastAsia" w:ascii="宋体" w:hAnsi="宋体" w:eastAsia="宋体" w:cs="宋体"/>
          <w:color w:val="auto"/>
          <w:highlight w:val="none"/>
        </w:rPr>
        <w:t>机构询问评标情况、施加任何影响，不得进行旨在影响评标结果的活动。</w:t>
      </w:r>
    </w:p>
    <w:p w14:paraId="6A5F783C">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rPr>
        <w:t>.2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2BAB854">
      <w:pPr>
        <w:pStyle w:val="104"/>
        <w:pageBreakBefore w:val="0"/>
        <w:widowControl w:val="0"/>
        <w:kinsoku/>
        <w:wordWrap/>
        <w:overflowPunct/>
        <w:topLinePunct w:val="0"/>
        <w:bidi w:val="0"/>
        <w:snapToGrid/>
        <w:spacing w:line="360" w:lineRule="auto"/>
        <w:ind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highlight w:val="none"/>
          <w:lang w:val="en-US" w:eastAsia="zh-CN"/>
        </w:rPr>
        <w:t>35.3</w:t>
      </w:r>
      <w:r>
        <w:rPr>
          <w:rFonts w:hint="eastAsia" w:ascii="宋体" w:hAnsi="宋体" w:eastAsia="宋体" w:cs="宋体"/>
          <w:color w:val="auto"/>
          <w:highlight w:val="none"/>
        </w:rPr>
        <w:t xml:space="preserve"> 本项目不接受赠品、回扣或者与采购无关的其他商品、服务。</w:t>
      </w:r>
    </w:p>
    <w:p w14:paraId="0A610205">
      <w:pPr>
        <w:pStyle w:val="104"/>
        <w:pageBreakBefore w:val="0"/>
        <w:widowControl w:val="0"/>
        <w:kinsoku/>
        <w:wordWrap/>
        <w:overflowPunct/>
        <w:topLinePunct w:val="0"/>
        <w:bidi w:val="0"/>
        <w:snapToGrid/>
        <w:spacing w:line="360" w:lineRule="auto"/>
        <w:ind w:firstLine="482" w:firstLineChars="200"/>
        <w:jc w:val="both"/>
        <w:textAlignment w:val="auto"/>
        <w:outlineLvl w:val="9"/>
        <w:rPr>
          <w:rFonts w:ascii="宋体" w:hAnsi="宋体" w:eastAsia="宋体" w:cs="宋体"/>
          <w:b/>
          <w:bCs/>
          <w:color w:val="auto"/>
          <w:highlight w:val="none"/>
        </w:rPr>
      </w:pPr>
      <w:r>
        <w:rPr>
          <w:rFonts w:hint="eastAsia" w:ascii="宋体" w:hAnsi="宋体" w:eastAsia="宋体" w:cs="宋体"/>
          <w:b/>
          <w:bCs/>
          <w:color w:val="auto"/>
          <w:highlight w:val="none"/>
          <w:lang w:val="en-US" w:eastAsia="zh-CN"/>
        </w:rPr>
        <w:t>35</w:t>
      </w:r>
      <w:r>
        <w:rPr>
          <w:rFonts w:hint="eastAsia" w:ascii="宋体" w:hAnsi="宋体" w:eastAsia="宋体" w:cs="宋体"/>
          <w:b/>
          <w:bCs/>
          <w:color w:val="auto"/>
          <w:highlight w:val="none"/>
        </w:rPr>
        <w:t>.4 不同投标人所投产品均为同一品牌或任一核心产品为同一品牌时，按以下原则处理：</w:t>
      </w:r>
    </w:p>
    <w:p w14:paraId="57240D89">
      <w:pPr>
        <w:pageBreakBefore w:val="0"/>
        <w:widowControl w:val="0"/>
        <w:kinsoku/>
        <w:wordWrap/>
        <w:overflowPunct/>
        <w:topLinePunct w:val="0"/>
        <w:bidi w:val="0"/>
        <w:snapToGrid/>
        <w:spacing w:line="360" w:lineRule="auto"/>
        <w:ind w:firstLine="482" w:firstLineChars="200"/>
        <w:jc w:val="left"/>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14:paraId="60FF06EB">
      <w:pPr>
        <w:pageBreakBefore w:val="0"/>
        <w:widowControl w:val="0"/>
        <w:kinsoku/>
        <w:wordWrap/>
        <w:overflowPunct/>
        <w:topLinePunct w:val="0"/>
        <w:bidi w:val="0"/>
        <w:snapToGrid/>
        <w:spacing w:line="360" w:lineRule="auto"/>
        <w:ind w:firstLine="482" w:firstLineChars="200"/>
        <w:jc w:val="left"/>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14:paraId="10960388">
      <w:pPr>
        <w:spacing w:line="360" w:lineRule="auto"/>
        <w:rPr>
          <w:rFonts w:hAnsi="宋体" w:cs="宋体"/>
          <w:b/>
          <w:bCs/>
          <w:color w:val="auto"/>
          <w:sz w:val="24"/>
          <w:szCs w:val="24"/>
          <w:highlight w:val="none"/>
        </w:rPr>
      </w:pPr>
      <w:bookmarkStart w:id="110" w:name="_Toc217446060"/>
    </w:p>
    <w:p w14:paraId="05750E20">
      <w:pPr>
        <w:spacing w:line="360" w:lineRule="auto"/>
        <w:jc w:val="center"/>
        <w:outlineLvl w:val="1"/>
        <w:rPr>
          <w:rFonts w:hAnsi="宋体" w:cs="宋体"/>
          <w:b/>
          <w:color w:val="auto"/>
          <w:sz w:val="28"/>
          <w:szCs w:val="28"/>
          <w:highlight w:val="none"/>
        </w:rPr>
      </w:pPr>
      <w:bookmarkStart w:id="111" w:name="_Toc26065"/>
      <w:bookmarkStart w:id="112" w:name="_Toc12363"/>
      <w:bookmarkStart w:id="113" w:name="_Toc17747"/>
      <w:r>
        <w:rPr>
          <w:rFonts w:hint="eastAsia" w:hAnsi="宋体" w:cs="宋体"/>
          <w:b/>
          <w:color w:val="auto"/>
          <w:sz w:val="28"/>
          <w:szCs w:val="28"/>
          <w:highlight w:val="none"/>
        </w:rPr>
        <w:t>五、 废标和串通投标</w:t>
      </w:r>
      <w:bookmarkEnd w:id="111"/>
      <w:bookmarkEnd w:id="112"/>
      <w:bookmarkEnd w:id="113"/>
    </w:p>
    <w:p w14:paraId="107170EA">
      <w:pPr>
        <w:pageBreakBefore w:val="0"/>
        <w:widowControl w:val="0"/>
        <w:kinsoku/>
        <w:wordWrap/>
        <w:overflowPunct/>
        <w:topLinePunct w:val="0"/>
        <w:bidi w:val="0"/>
        <w:snapToGrid/>
        <w:spacing w:before="0" w:beforeLines="0" w:after="0" w:afterLines="0" w:line="360" w:lineRule="auto"/>
        <w:ind w:firstLine="480" w:firstLineChars="200"/>
        <w:textAlignment w:val="auto"/>
        <w:outlineLvl w:val="9"/>
        <w:rPr>
          <w:rFonts w:hAnsi="宋体" w:cs="宋体"/>
          <w:bCs/>
          <w:color w:val="auto"/>
          <w:sz w:val="24"/>
          <w:szCs w:val="24"/>
          <w:highlight w:val="none"/>
        </w:rPr>
      </w:pPr>
      <w:bookmarkStart w:id="114" w:name="_Toc217446072"/>
      <w:r>
        <w:rPr>
          <w:rFonts w:hint="eastAsia" w:hAnsi="宋体" w:cs="宋体"/>
          <w:bCs/>
          <w:color w:val="auto"/>
          <w:sz w:val="24"/>
          <w:szCs w:val="24"/>
          <w:highlight w:val="none"/>
        </w:rPr>
        <w:t>3</w:t>
      </w:r>
      <w:r>
        <w:rPr>
          <w:rFonts w:hint="eastAsia" w:hAnsi="宋体" w:cs="宋体"/>
          <w:bCs/>
          <w:color w:val="auto"/>
          <w:sz w:val="24"/>
          <w:szCs w:val="24"/>
          <w:highlight w:val="none"/>
          <w:lang w:val="en-US" w:eastAsia="zh-CN"/>
        </w:rPr>
        <w:t>6</w:t>
      </w:r>
      <w:r>
        <w:rPr>
          <w:rFonts w:hint="eastAsia" w:hAnsi="宋体" w:cs="宋体"/>
          <w:bCs/>
          <w:color w:val="auto"/>
          <w:sz w:val="24"/>
          <w:szCs w:val="24"/>
          <w:highlight w:val="none"/>
        </w:rPr>
        <w:t>. 废标的情形</w:t>
      </w:r>
      <w:bookmarkEnd w:id="114"/>
    </w:p>
    <w:p w14:paraId="7ACBC260">
      <w:pPr>
        <w:pStyle w:val="6"/>
        <w:pageBreakBefore w:val="0"/>
        <w:widowControl w:val="0"/>
        <w:kinsoku/>
        <w:wordWrap/>
        <w:overflowPunct/>
        <w:topLinePunct w:val="0"/>
        <w:bidi w:val="0"/>
        <w:snapToGrid/>
        <w:spacing w:line="360" w:lineRule="auto"/>
        <w:ind w:firstLine="525"/>
        <w:textAlignment w:val="auto"/>
        <w:outlineLvl w:val="9"/>
        <w:rPr>
          <w:rFonts w:hAnsi="宋体" w:cs="宋体"/>
          <w:b/>
          <w:color w:val="auto"/>
          <w:sz w:val="24"/>
          <w:szCs w:val="24"/>
          <w:highlight w:val="none"/>
        </w:rPr>
      </w:pPr>
      <w:r>
        <w:rPr>
          <w:rFonts w:hint="eastAsia" w:hAnsi="宋体" w:cs="宋体"/>
          <w:b/>
          <w:color w:val="auto"/>
          <w:sz w:val="24"/>
          <w:szCs w:val="24"/>
          <w:highlight w:val="none"/>
        </w:rPr>
        <w:t>3</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.1招标采购中，出现下列情形之一的，予以废标：</w:t>
      </w:r>
    </w:p>
    <w:p w14:paraId="57E55D00">
      <w:pPr>
        <w:pStyle w:val="6"/>
        <w:pageBreakBefore w:val="0"/>
        <w:widowControl w:val="0"/>
        <w:kinsoku/>
        <w:wordWrap/>
        <w:overflowPunct/>
        <w:topLinePunct w:val="0"/>
        <w:bidi w:val="0"/>
        <w:snapToGrid/>
        <w:spacing w:line="360" w:lineRule="auto"/>
        <w:ind w:firstLine="525"/>
        <w:textAlignment w:val="auto"/>
        <w:outlineLvl w:val="9"/>
        <w:rPr>
          <w:rFonts w:hAnsi="宋体" w:cs="宋体"/>
          <w:b/>
          <w:color w:val="auto"/>
          <w:sz w:val="24"/>
          <w:szCs w:val="24"/>
          <w:highlight w:val="none"/>
        </w:rPr>
      </w:pPr>
      <w:r>
        <w:rPr>
          <w:rFonts w:hint="eastAsia" w:hAnsi="宋体" w:cs="宋体"/>
          <w:b/>
          <w:color w:val="auto"/>
          <w:sz w:val="24"/>
          <w:szCs w:val="24"/>
          <w:highlight w:val="none"/>
        </w:rPr>
        <w:t>（1）符合专业条件的供应商或者对招标文件作实质响应的供应商不足三家的；</w:t>
      </w:r>
    </w:p>
    <w:p w14:paraId="4187FE00">
      <w:pPr>
        <w:pStyle w:val="6"/>
        <w:pageBreakBefore w:val="0"/>
        <w:widowControl w:val="0"/>
        <w:kinsoku/>
        <w:wordWrap/>
        <w:overflowPunct/>
        <w:topLinePunct w:val="0"/>
        <w:bidi w:val="0"/>
        <w:snapToGrid/>
        <w:spacing w:line="360" w:lineRule="auto"/>
        <w:ind w:firstLine="525"/>
        <w:textAlignment w:val="auto"/>
        <w:outlineLvl w:val="9"/>
        <w:rPr>
          <w:rFonts w:hAnsi="宋体" w:cs="宋体"/>
          <w:b/>
          <w:color w:val="auto"/>
          <w:sz w:val="24"/>
          <w:szCs w:val="24"/>
          <w:highlight w:val="none"/>
        </w:rPr>
      </w:pPr>
      <w:r>
        <w:rPr>
          <w:rFonts w:hint="eastAsia" w:hAnsi="宋体" w:cs="宋体"/>
          <w:b/>
          <w:color w:val="auto"/>
          <w:sz w:val="24"/>
          <w:szCs w:val="24"/>
          <w:highlight w:val="none"/>
        </w:rPr>
        <w:t>（2）出现影响采购公正的违法、违规行为的；</w:t>
      </w:r>
    </w:p>
    <w:p w14:paraId="1618543C">
      <w:pPr>
        <w:pStyle w:val="6"/>
        <w:pageBreakBefore w:val="0"/>
        <w:widowControl w:val="0"/>
        <w:kinsoku/>
        <w:wordWrap/>
        <w:overflowPunct/>
        <w:topLinePunct w:val="0"/>
        <w:bidi w:val="0"/>
        <w:snapToGrid/>
        <w:spacing w:line="360" w:lineRule="auto"/>
        <w:ind w:firstLine="525"/>
        <w:textAlignment w:val="auto"/>
        <w:outlineLvl w:val="9"/>
        <w:rPr>
          <w:rFonts w:hAnsi="宋体" w:cs="宋体"/>
          <w:b/>
          <w:color w:val="auto"/>
          <w:sz w:val="24"/>
          <w:szCs w:val="24"/>
          <w:highlight w:val="none"/>
        </w:rPr>
      </w:pPr>
      <w:r>
        <w:rPr>
          <w:rFonts w:hint="eastAsia" w:hAnsi="宋体" w:cs="宋体"/>
          <w:b/>
          <w:color w:val="auto"/>
          <w:sz w:val="24"/>
          <w:szCs w:val="24"/>
          <w:highlight w:val="none"/>
        </w:rPr>
        <w:t>（3）投标人的报价均超过了采购预算，采购人不能支付的；</w:t>
      </w:r>
    </w:p>
    <w:p w14:paraId="5FEEB664">
      <w:pPr>
        <w:pStyle w:val="6"/>
        <w:pageBreakBefore w:val="0"/>
        <w:widowControl w:val="0"/>
        <w:kinsoku/>
        <w:wordWrap/>
        <w:overflowPunct/>
        <w:topLinePunct w:val="0"/>
        <w:bidi w:val="0"/>
        <w:snapToGrid/>
        <w:spacing w:line="360" w:lineRule="auto"/>
        <w:ind w:firstLine="525"/>
        <w:textAlignment w:val="auto"/>
        <w:outlineLvl w:val="9"/>
        <w:rPr>
          <w:rFonts w:hAnsi="宋体" w:cs="宋体"/>
          <w:b/>
          <w:color w:val="auto"/>
          <w:sz w:val="24"/>
          <w:szCs w:val="24"/>
          <w:highlight w:val="none"/>
        </w:rPr>
      </w:pPr>
      <w:r>
        <w:rPr>
          <w:rFonts w:hint="eastAsia" w:hAnsi="宋体" w:cs="宋体"/>
          <w:b/>
          <w:color w:val="auto"/>
          <w:sz w:val="24"/>
          <w:szCs w:val="24"/>
          <w:highlight w:val="none"/>
        </w:rPr>
        <w:t>（4）因重大变故，采购任务取消的。</w:t>
      </w:r>
    </w:p>
    <w:p w14:paraId="1E1D0BC9">
      <w:pPr>
        <w:pStyle w:val="6"/>
        <w:pageBreakBefore w:val="0"/>
        <w:widowControl w:val="0"/>
        <w:kinsoku/>
        <w:wordWrap/>
        <w:overflowPunct/>
        <w:topLinePunct w:val="0"/>
        <w:bidi w:val="0"/>
        <w:snapToGrid/>
        <w:spacing w:line="360" w:lineRule="auto"/>
        <w:ind w:firstLine="525"/>
        <w:textAlignment w:val="auto"/>
        <w:outlineLvl w:val="9"/>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.2废标后，</w:t>
      </w:r>
      <w:r>
        <w:rPr>
          <w:rFonts w:hint="eastAsia" w:hAnsi="宋体" w:cs="宋体"/>
          <w:color w:val="auto"/>
          <w:sz w:val="24"/>
          <w:szCs w:val="24"/>
          <w:highlight w:val="none"/>
          <w:lang w:eastAsia="zh-CN"/>
        </w:rPr>
        <w:t>采购人</w:t>
      </w:r>
      <w:r>
        <w:rPr>
          <w:rFonts w:hint="eastAsia" w:hAnsi="宋体" w:cs="宋体"/>
          <w:color w:val="auto"/>
          <w:sz w:val="24"/>
          <w:szCs w:val="24"/>
          <w:highlight w:val="none"/>
        </w:rPr>
        <w:t>应在甘肃政府采购网和甘肃省公共资源交易网上公告，并公告废标的详细理由。</w:t>
      </w:r>
    </w:p>
    <w:p w14:paraId="6650793E">
      <w:pPr>
        <w:pStyle w:val="6"/>
        <w:pageBreakBefore w:val="0"/>
        <w:widowControl w:val="0"/>
        <w:kinsoku/>
        <w:wordWrap/>
        <w:overflowPunct/>
        <w:topLinePunct w:val="0"/>
        <w:bidi w:val="0"/>
        <w:snapToGrid/>
        <w:spacing w:line="360" w:lineRule="auto"/>
        <w:ind w:firstLine="525"/>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3</w:t>
      </w: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 xml:space="preserve">.有下列情形之一的，视为投标人串通投标，其投标无效： </w:t>
      </w:r>
    </w:p>
    <w:p w14:paraId="4B665252">
      <w:pPr>
        <w:pStyle w:val="6"/>
        <w:pageBreakBefore w:val="0"/>
        <w:widowControl w:val="0"/>
        <w:kinsoku/>
        <w:wordWrap/>
        <w:overflowPunct/>
        <w:topLinePunct w:val="0"/>
        <w:bidi w:val="0"/>
        <w:snapToGrid/>
        <w:spacing w:line="360" w:lineRule="auto"/>
        <w:ind w:firstLine="525"/>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 xml:space="preserve">（一）不同投标人的电子投标文件由同一单位或者个人编制； </w:t>
      </w:r>
    </w:p>
    <w:p w14:paraId="4A027D66">
      <w:pPr>
        <w:pStyle w:val="6"/>
        <w:pageBreakBefore w:val="0"/>
        <w:widowControl w:val="0"/>
        <w:kinsoku/>
        <w:wordWrap/>
        <w:overflowPunct/>
        <w:topLinePunct w:val="0"/>
        <w:bidi w:val="0"/>
        <w:snapToGrid/>
        <w:spacing w:line="360" w:lineRule="auto"/>
        <w:ind w:firstLine="525"/>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 xml:space="preserve">（二）不同投标人委托同一单位或者个人办理投标事宜； </w:t>
      </w:r>
    </w:p>
    <w:p w14:paraId="1394B84D">
      <w:pPr>
        <w:pStyle w:val="6"/>
        <w:pageBreakBefore w:val="0"/>
        <w:widowControl w:val="0"/>
        <w:kinsoku/>
        <w:wordWrap/>
        <w:overflowPunct/>
        <w:topLinePunct w:val="0"/>
        <w:bidi w:val="0"/>
        <w:snapToGrid/>
        <w:spacing w:line="360" w:lineRule="auto"/>
        <w:ind w:firstLine="525"/>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 xml:space="preserve">（三）不同投标人的电子投标文件载明的项目管理成员或者联系人员为同一人； </w:t>
      </w:r>
    </w:p>
    <w:p w14:paraId="50E36EE6">
      <w:pPr>
        <w:pStyle w:val="6"/>
        <w:pageBreakBefore w:val="0"/>
        <w:widowControl w:val="0"/>
        <w:kinsoku/>
        <w:wordWrap/>
        <w:overflowPunct/>
        <w:topLinePunct w:val="0"/>
        <w:bidi w:val="0"/>
        <w:snapToGrid/>
        <w:spacing w:line="360" w:lineRule="auto"/>
        <w:ind w:firstLine="525"/>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 xml:space="preserve">（四）不同投标人的电子投标文件异常一致或者投标报价呈规律性差异； </w:t>
      </w:r>
    </w:p>
    <w:p w14:paraId="03BB21E2">
      <w:pPr>
        <w:pStyle w:val="6"/>
        <w:pageBreakBefore w:val="0"/>
        <w:widowControl w:val="0"/>
        <w:kinsoku/>
        <w:wordWrap/>
        <w:overflowPunct/>
        <w:topLinePunct w:val="0"/>
        <w:bidi w:val="0"/>
        <w:snapToGrid/>
        <w:spacing w:line="360" w:lineRule="auto"/>
        <w:ind w:firstLine="525"/>
        <w:textAlignment w:val="auto"/>
        <w:outlineLvl w:val="9"/>
        <w:rPr>
          <w:rFonts w:hAnsi="宋体" w:cs="宋体"/>
          <w:b/>
          <w:bCs/>
          <w:color w:val="auto"/>
          <w:sz w:val="24"/>
          <w:szCs w:val="24"/>
          <w:highlight w:val="none"/>
        </w:rPr>
      </w:pPr>
      <w:r>
        <w:rPr>
          <w:rFonts w:hint="eastAsia" w:hAnsi="宋体" w:cs="宋体"/>
          <w:b/>
          <w:bCs/>
          <w:color w:val="auto"/>
          <w:sz w:val="24"/>
          <w:szCs w:val="24"/>
          <w:highlight w:val="none"/>
        </w:rPr>
        <w:t xml:space="preserve">（五）不同投标人的电子投标文件相互混装； </w:t>
      </w:r>
    </w:p>
    <w:p w14:paraId="34C45C5E">
      <w:pPr>
        <w:pStyle w:val="104"/>
        <w:pageBreakBefore w:val="0"/>
        <w:widowControl w:val="0"/>
        <w:kinsoku/>
        <w:wordWrap/>
        <w:overflowPunct/>
        <w:topLinePunct w:val="0"/>
        <w:bidi w:val="0"/>
        <w:snapToGrid/>
        <w:spacing w:line="360" w:lineRule="auto"/>
        <w:ind w:firstLine="480" w:firstLineChars="200"/>
        <w:jc w:val="both"/>
        <w:textAlignment w:val="auto"/>
        <w:outlineLvl w:val="9"/>
        <w:rPr>
          <w:rFonts w:ascii="宋体" w:hAnsi="宋体" w:eastAsia="宋体" w:cs="宋体"/>
          <w:color w:val="auto"/>
          <w:sz w:val="28"/>
          <w:szCs w:val="28"/>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根据《政府采购货物和服务招标投标管理办法》（财政部令第87号）第43条规定，如评审现场经财政部门批准本项目转为其他采购方式的，按相应采购方式程序执行。</w:t>
      </w:r>
    </w:p>
    <w:p w14:paraId="20482393">
      <w:pPr>
        <w:pStyle w:val="4"/>
        <w:spacing w:before="0" w:beforeLines="0" w:after="0" w:afterLines="0" w:line="360" w:lineRule="auto"/>
        <w:jc w:val="center"/>
        <w:rPr>
          <w:rFonts w:ascii="宋体" w:hAnsi="宋体" w:eastAsia="宋体" w:cs="宋体"/>
          <w:color w:val="auto"/>
          <w:szCs w:val="28"/>
          <w:highlight w:val="none"/>
        </w:rPr>
      </w:pPr>
      <w:bookmarkStart w:id="115" w:name="_Toc3529"/>
      <w:bookmarkStart w:id="116" w:name="_Toc22617"/>
      <w:bookmarkStart w:id="117" w:name="_Toc12859"/>
      <w:bookmarkStart w:id="118" w:name="_Toc13447"/>
      <w:r>
        <w:rPr>
          <w:rFonts w:hint="eastAsia" w:ascii="宋体" w:hAnsi="宋体" w:eastAsia="宋体" w:cs="宋体"/>
          <w:color w:val="auto"/>
          <w:szCs w:val="28"/>
          <w:highlight w:val="none"/>
        </w:rPr>
        <w:t>六、中  标</w:t>
      </w:r>
      <w:bookmarkEnd w:id="110"/>
      <w:bookmarkEnd w:id="115"/>
      <w:bookmarkEnd w:id="116"/>
      <w:bookmarkEnd w:id="117"/>
      <w:bookmarkEnd w:id="118"/>
      <w:bookmarkStart w:id="119" w:name="_Toc217446061"/>
    </w:p>
    <w:p w14:paraId="2982F68F">
      <w:pPr>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w:t>
      </w:r>
      <w:bookmarkEnd w:id="119"/>
      <w:r>
        <w:rPr>
          <w:rFonts w:hint="eastAsia" w:ascii="宋体" w:hAnsi="宋体" w:eastAsia="宋体" w:cs="宋体"/>
          <w:color w:val="auto"/>
          <w:sz w:val="24"/>
          <w:szCs w:val="24"/>
          <w:highlight w:val="none"/>
        </w:rPr>
        <w:t>中标人的确定</w:t>
      </w:r>
    </w:p>
    <w:p w14:paraId="0CC663F9">
      <w:pPr>
        <w:pageBreakBefore w:val="0"/>
        <w:widowControl w:val="0"/>
        <w:kinsoku/>
        <w:wordWrap/>
        <w:overflowPunct/>
        <w:topLinePunct w:val="0"/>
        <w:autoSpaceDE/>
        <w:autoSpaceDN/>
        <w:bidi w:val="0"/>
        <w:adjustRightInd/>
        <w:snapToGrid/>
        <w:spacing w:line="360" w:lineRule="auto"/>
        <w:ind w:firstLine="420" w:firstLineChars="175"/>
        <w:textAlignment w:val="auto"/>
        <w:outlineLvl w:val="9"/>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.1 集采机构应当在评标结束之日后2个工作日内将评标报告送采购人。</w:t>
      </w:r>
    </w:p>
    <w:p w14:paraId="68A61E16">
      <w:pPr>
        <w:pStyle w:val="6"/>
        <w:pageBreakBefore w:val="0"/>
        <w:widowControl w:val="0"/>
        <w:kinsoku/>
        <w:wordWrap/>
        <w:overflowPunct/>
        <w:topLinePunct w:val="0"/>
        <w:autoSpaceDE/>
        <w:autoSpaceDN/>
        <w:bidi w:val="0"/>
        <w:adjustRightInd/>
        <w:snapToGrid/>
        <w:spacing w:line="360" w:lineRule="auto"/>
        <w:textAlignment w:val="auto"/>
        <w:outlineLvl w:val="9"/>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.2采购人可以事先授权评标委员会直接确定中标供应商。</w:t>
      </w:r>
    </w:p>
    <w:p w14:paraId="7B34A220">
      <w:pPr>
        <w:pStyle w:val="6"/>
        <w:pageBreakBefore w:val="0"/>
        <w:widowControl w:val="0"/>
        <w:kinsoku/>
        <w:wordWrap/>
        <w:overflowPunct/>
        <w:topLinePunct w:val="0"/>
        <w:autoSpaceDE/>
        <w:autoSpaceDN/>
        <w:bidi w:val="0"/>
        <w:adjustRightInd/>
        <w:snapToGrid/>
        <w:spacing w:line="360" w:lineRule="auto"/>
        <w:textAlignment w:val="auto"/>
        <w:outlineLvl w:val="9"/>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3采购人应当自收到评标报告之日起５个工作日内，在评标报告确定的中标候选人名单中按顺序确定中标人。中标候选人并列的，由采购人确定中标人。采购人在收到评标报告5个工作日内未按评标报告推荐的中标候选人顺序确定中标人，又不能说明合法理由的，视同按评标报告推荐的顺序确定排名第一的中标候选人为中标人。</w:t>
      </w:r>
    </w:p>
    <w:p w14:paraId="4D030883">
      <w:pPr>
        <w:pageBreakBefore w:val="0"/>
        <w:widowControl w:val="0"/>
        <w:kinsoku/>
        <w:wordWrap/>
        <w:overflowPunct/>
        <w:topLinePunct w:val="0"/>
        <w:autoSpaceDE/>
        <w:autoSpaceDN/>
        <w:bidi w:val="0"/>
        <w:adjustRightInd/>
        <w:snapToGrid/>
        <w:spacing w:line="360" w:lineRule="auto"/>
        <w:ind w:firstLine="420" w:firstLineChars="175"/>
        <w:textAlignment w:val="auto"/>
        <w:outlineLvl w:val="9"/>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.4采购人或者集采机构应当自中标人确定之日起2个工作日内，在甘肃政府采购网和</w:t>
      </w:r>
      <w:r>
        <w:rPr>
          <w:rFonts w:hint="eastAsia" w:hAnsi="宋体" w:cs="宋体"/>
          <w:color w:val="auto"/>
          <w:sz w:val="24"/>
          <w:szCs w:val="24"/>
          <w:highlight w:val="none"/>
          <w:lang w:val="en-US" w:eastAsia="zh-CN"/>
        </w:rPr>
        <w:t>陇南市</w:t>
      </w:r>
      <w:r>
        <w:rPr>
          <w:rFonts w:hint="eastAsia" w:hAnsi="宋体" w:cs="宋体"/>
          <w:color w:val="auto"/>
          <w:sz w:val="24"/>
          <w:szCs w:val="24"/>
          <w:highlight w:val="none"/>
        </w:rPr>
        <w:t>公共资源交易</w:t>
      </w:r>
      <w:r>
        <w:rPr>
          <w:rFonts w:hint="eastAsia" w:hAnsi="宋体" w:cs="宋体"/>
          <w:color w:val="auto"/>
          <w:sz w:val="24"/>
          <w:szCs w:val="24"/>
          <w:highlight w:val="none"/>
          <w:lang w:eastAsia="zh-CN"/>
        </w:rPr>
        <w:t>网</w:t>
      </w:r>
      <w:r>
        <w:rPr>
          <w:rFonts w:hint="eastAsia" w:hAnsi="宋体" w:cs="宋体"/>
          <w:color w:val="auto"/>
          <w:sz w:val="24"/>
          <w:szCs w:val="24"/>
          <w:highlight w:val="none"/>
        </w:rPr>
        <w:t>上公告中标结果。中标公告期限为</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个工作日。</w:t>
      </w:r>
    </w:p>
    <w:p w14:paraId="740F8D25">
      <w:pPr>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outlineLvl w:val="9"/>
        <w:rPr>
          <w:rFonts w:hAnsi="宋体" w:cs="宋体"/>
          <w:bCs/>
          <w:color w:val="auto"/>
          <w:sz w:val="24"/>
          <w:szCs w:val="24"/>
          <w:highlight w:val="none"/>
        </w:rPr>
      </w:pPr>
      <w:bookmarkStart w:id="120" w:name="_Toc183582238"/>
      <w:bookmarkStart w:id="121" w:name="_Toc183682375"/>
      <w:bookmarkStart w:id="122" w:name="_Toc217446063"/>
      <w:r>
        <w:rPr>
          <w:rFonts w:hint="eastAsia" w:hAnsi="宋体" w:cs="宋体"/>
          <w:bCs/>
          <w:color w:val="auto"/>
          <w:sz w:val="24"/>
          <w:szCs w:val="24"/>
          <w:highlight w:val="none"/>
          <w:lang w:val="en-US" w:eastAsia="zh-CN"/>
        </w:rPr>
        <w:t>40</w:t>
      </w:r>
      <w:r>
        <w:rPr>
          <w:rFonts w:hint="eastAsia" w:hAnsi="宋体" w:cs="宋体"/>
          <w:bCs/>
          <w:color w:val="auto"/>
          <w:sz w:val="24"/>
          <w:szCs w:val="24"/>
          <w:highlight w:val="none"/>
        </w:rPr>
        <w:t>．中标通知</w:t>
      </w:r>
      <w:bookmarkEnd w:id="120"/>
      <w:bookmarkEnd w:id="121"/>
      <w:r>
        <w:rPr>
          <w:rFonts w:hint="eastAsia" w:hAnsi="宋体" w:cs="宋体"/>
          <w:bCs/>
          <w:color w:val="auto"/>
          <w:sz w:val="24"/>
          <w:szCs w:val="24"/>
          <w:highlight w:val="none"/>
        </w:rPr>
        <w:t>书</w:t>
      </w:r>
      <w:bookmarkEnd w:id="122"/>
    </w:p>
    <w:p w14:paraId="472F2E47">
      <w:pPr>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40</w:t>
      </w:r>
      <w:r>
        <w:rPr>
          <w:rFonts w:hint="eastAsia" w:hAnsi="宋体" w:cs="宋体"/>
          <w:b/>
          <w:bCs/>
          <w:color w:val="auto"/>
          <w:sz w:val="24"/>
          <w:szCs w:val="24"/>
          <w:highlight w:val="none"/>
        </w:rPr>
        <w:t>.</w:t>
      </w:r>
      <w:r>
        <w:rPr>
          <w:rFonts w:hint="eastAsia" w:hAnsi="宋体" w:cs="宋体"/>
          <w:color w:val="auto"/>
          <w:sz w:val="24"/>
          <w:szCs w:val="24"/>
          <w:highlight w:val="none"/>
        </w:rPr>
        <w:t>1 中标通知书为签订政府采购合同的依据，是合同的有效组成部分。</w:t>
      </w:r>
    </w:p>
    <w:p w14:paraId="03471360">
      <w:pPr>
        <w:pageBreakBefore w:val="0"/>
        <w:widowControl w:val="0"/>
        <w:tabs>
          <w:tab w:val="left" w:pos="7665"/>
        </w:tabs>
        <w:kinsoku/>
        <w:wordWrap/>
        <w:overflowPunct/>
        <w:topLinePunct w:val="0"/>
        <w:autoSpaceDE/>
        <w:autoSpaceDN/>
        <w:bidi w:val="0"/>
        <w:adjustRightInd/>
        <w:snapToGrid/>
        <w:spacing w:line="360" w:lineRule="auto"/>
        <w:ind w:firstLine="480"/>
        <w:textAlignment w:val="auto"/>
        <w:outlineLvl w:val="9"/>
        <w:rPr>
          <w:rFonts w:hAnsi="宋体" w:cs="宋体"/>
          <w:color w:val="auto"/>
          <w:sz w:val="28"/>
          <w:szCs w:val="28"/>
          <w:highlight w:val="none"/>
        </w:rPr>
      </w:pPr>
      <w:r>
        <w:rPr>
          <w:rFonts w:hint="eastAsia" w:hAnsi="宋体" w:cs="宋体"/>
          <w:color w:val="auto"/>
          <w:sz w:val="24"/>
          <w:szCs w:val="24"/>
          <w:highlight w:val="none"/>
          <w:lang w:val="en-US" w:eastAsia="zh-CN"/>
        </w:rPr>
        <w:t>40</w:t>
      </w:r>
      <w:r>
        <w:rPr>
          <w:rFonts w:hint="eastAsia" w:hAnsi="宋体" w:cs="宋体"/>
          <w:color w:val="auto"/>
          <w:sz w:val="24"/>
          <w:szCs w:val="24"/>
          <w:highlight w:val="none"/>
        </w:rPr>
        <w:t>.2 中标通知书对采购人和中标人均具有法律效力。中标通知书发出后，采购人不得违法改变中标结果，中标人无正当理由不得放弃中标。</w:t>
      </w:r>
    </w:p>
    <w:p w14:paraId="519BC192">
      <w:pPr>
        <w:tabs>
          <w:tab w:val="left" w:pos="7665"/>
        </w:tabs>
        <w:spacing w:line="360" w:lineRule="auto"/>
        <w:jc w:val="center"/>
        <w:rPr>
          <w:rFonts w:hAnsi="宋体" w:cs="宋体"/>
          <w:b/>
          <w:color w:val="auto"/>
          <w:sz w:val="28"/>
          <w:szCs w:val="28"/>
          <w:highlight w:val="none"/>
        </w:rPr>
      </w:pPr>
      <w:bookmarkStart w:id="123" w:name="_Toc217446064"/>
      <w:bookmarkStart w:id="124" w:name="_Toc183682377"/>
      <w:bookmarkStart w:id="125" w:name="_Toc183582240"/>
    </w:p>
    <w:p w14:paraId="780F9C38">
      <w:pPr>
        <w:tabs>
          <w:tab w:val="left" w:pos="7665"/>
        </w:tabs>
        <w:spacing w:line="360" w:lineRule="auto"/>
        <w:jc w:val="center"/>
        <w:outlineLvl w:val="1"/>
        <w:rPr>
          <w:rFonts w:hAnsi="宋体" w:cs="宋体"/>
          <w:b/>
          <w:color w:val="auto"/>
          <w:sz w:val="28"/>
          <w:szCs w:val="28"/>
          <w:highlight w:val="none"/>
        </w:rPr>
      </w:pPr>
      <w:bookmarkStart w:id="126" w:name="_Toc9415"/>
      <w:bookmarkStart w:id="127" w:name="_Toc28858"/>
      <w:bookmarkStart w:id="128" w:name="_Toc291"/>
      <w:bookmarkStart w:id="129" w:name="_Toc22761"/>
      <w:r>
        <w:rPr>
          <w:rFonts w:hint="eastAsia" w:hAnsi="宋体" w:cs="宋体"/>
          <w:b/>
          <w:color w:val="auto"/>
          <w:sz w:val="28"/>
          <w:szCs w:val="28"/>
          <w:highlight w:val="none"/>
        </w:rPr>
        <w:t>七、合同签订及履行</w:t>
      </w:r>
      <w:bookmarkEnd w:id="123"/>
      <w:bookmarkEnd w:id="126"/>
      <w:bookmarkEnd w:id="127"/>
      <w:bookmarkEnd w:id="128"/>
      <w:bookmarkEnd w:id="129"/>
    </w:p>
    <w:p w14:paraId="4724ADD2">
      <w:pPr>
        <w:pageBreakBefore w:val="0"/>
        <w:kinsoku/>
        <w:wordWrap/>
        <w:overflowPunct/>
        <w:topLinePunct w:val="0"/>
        <w:bidi w:val="0"/>
        <w:snapToGrid/>
        <w:spacing w:before="0" w:beforeLines="0" w:after="0" w:afterLines="0" w:line="360" w:lineRule="auto"/>
        <w:ind w:left="0" w:firstLine="470" w:firstLineChars="196"/>
        <w:textAlignment w:val="auto"/>
        <w:outlineLvl w:val="9"/>
        <w:rPr>
          <w:rFonts w:ascii="宋体" w:hAnsi="宋体" w:eastAsia="宋体" w:cs="宋体"/>
          <w:color w:val="auto"/>
          <w:sz w:val="24"/>
          <w:szCs w:val="24"/>
          <w:highlight w:val="none"/>
        </w:rPr>
      </w:pPr>
      <w:bookmarkStart w:id="130" w:name="_Toc217446065"/>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.签订合同</w:t>
      </w:r>
      <w:bookmarkEnd w:id="130"/>
    </w:p>
    <w:p w14:paraId="483F2261">
      <w:pPr>
        <w:pageBreakBefore w:val="0"/>
        <w:kinsoku/>
        <w:wordWrap/>
        <w:overflowPunct/>
        <w:topLinePunct w:val="0"/>
        <w:bidi w:val="0"/>
        <w:snapToGrid/>
        <w:spacing w:line="360" w:lineRule="auto"/>
        <w:ind w:left="0"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41</w:t>
      </w:r>
      <w:r>
        <w:rPr>
          <w:rFonts w:hint="eastAsia" w:hAnsi="宋体" w:cs="宋体"/>
          <w:color w:val="auto"/>
          <w:sz w:val="24"/>
          <w:szCs w:val="24"/>
          <w:highlight w:val="none"/>
        </w:rPr>
        <w:t>.1 中标人在收到集采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政府采购活动。</w:t>
      </w:r>
    </w:p>
    <w:p w14:paraId="46FADFB5">
      <w:pPr>
        <w:pageBreakBefore w:val="0"/>
        <w:kinsoku/>
        <w:wordWrap/>
        <w:overflowPunct/>
        <w:topLinePunct w:val="0"/>
        <w:bidi w:val="0"/>
        <w:snapToGrid/>
        <w:spacing w:line="360" w:lineRule="auto"/>
        <w:ind w:left="0" w:firstLine="420" w:firstLineChars="175"/>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41</w:t>
      </w:r>
      <w:r>
        <w:rPr>
          <w:rFonts w:hint="eastAsia" w:hAnsi="宋体" w:cs="宋体"/>
          <w:color w:val="auto"/>
          <w:sz w:val="24"/>
          <w:szCs w:val="24"/>
          <w:highlight w:val="none"/>
        </w:rPr>
        <w:t>.2 采购人不得向中标人提出任何不合理的要求，作为签订合同的条件，不得与中标人私下订立背离合同实质性内容的任何协议，所签订的合同不得对招标文件和中标人电子投标文件作实质性修改。</w:t>
      </w:r>
    </w:p>
    <w:p w14:paraId="5B79FE62">
      <w:pPr>
        <w:pageBreakBefore w:val="0"/>
        <w:kinsoku/>
        <w:wordWrap/>
        <w:overflowPunct/>
        <w:topLinePunct w:val="0"/>
        <w:bidi w:val="0"/>
        <w:snapToGrid/>
        <w:spacing w:line="360" w:lineRule="auto"/>
        <w:ind w:left="0" w:firstLine="420" w:firstLineChars="175"/>
        <w:textAlignment w:val="auto"/>
        <w:outlineLvl w:val="9"/>
        <w:rPr>
          <w:rFonts w:hint="eastAsia" w:hAnsi="宋体" w:cs="宋体"/>
          <w:color w:val="auto"/>
          <w:sz w:val="24"/>
          <w:szCs w:val="24"/>
          <w:highlight w:val="none"/>
        </w:rPr>
      </w:pPr>
      <w:r>
        <w:rPr>
          <w:rFonts w:hint="eastAsia" w:hAnsi="宋体" w:cs="宋体"/>
          <w:color w:val="auto"/>
          <w:sz w:val="24"/>
          <w:szCs w:val="24"/>
          <w:highlight w:val="none"/>
          <w:lang w:val="en-US" w:eastAsia="zh-CN"/>
        </w:rPr>
        <w:t>41</w:t>
      </w:r>
      <w:r>
        <w:rPr>
          <w:rFonts w:hint="eastAsia" w:hAnsi="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p w14:paraId="083C4CE2">
      <w:pPr>
        <w:pStyle w:val="2"/>
        <w:pageBreakBefore w:val="0"/>
        <w:tabs>
          <w:tab w:val="right" w:leader="dot" w:pos="8400"/>
        </w:tabs>
        <w:kinsoku/>
        <w:wordWrap/>
        <w:overflowPunct/>
        <w:topLinePunct w:val="0"/>
        <w:bidi w:val="0"/>
        <w:snapToGrid/>
        <w:spacing w:line="360" w:lineRule="auto"/>
        <w:ind w:left="0"/>
        <w:textAlignment w:val="auto"/>
        <w:outlineLvl w:val="9"/>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     41.4 对于通过预留采购项目、要求以联合体形式参加或者合同分包等措施</w:t>
      </w:r>
    </w:p>
    <w:p w14:paraId="76BC2461">
      <w:pPr>
        <w:pStyle w:val="2"/>
        <w:pageBreakBefore w:val="0"/>
        <w:tabs>
          <w:tab w:val="right" w:leader="dot" w:pos="8400"/>
        </w:tabs>
        <w:kinsoku/>
        <w:wordWrap/>
        <w:overflowPunct/>
        <w:topLinePunct w:val="0"/>
        <w:bidi w:val="0"/>
        <w:snapToGrid/>
        <w:spacing w:line="360" w:lineRule="auto"/>
        <w:ind w:left="0" w:leftChars="0" w:firstLine="0" w:firstLineChars="0"/>
        <w:textAlignment w:val="auto"/>
        <w:outlineLvl w:val="9"/>
        <w:rPr>
          <w:rFonts w:hint="default" w:eastAsia="宋体"/>
          <w:color w:val="auto"/>
          <w:lang w:val="en-US" w:eastAsia="zh-CN"/>
        </w:rPr>
      </w:pPr>
      <w:r>
        <w:rPr>
          <w:rFonts w:hint="eastAsia" w:cs="宋体"/>
          <w:color w:val="auto"/>
          <w:sz w:val="24"/>
          <w:szCs w:val="24"/>
          <w:highlight w:val="none"/>
          <w:lang w:val="en-US" w:eastAsia="zh-CN"/>
        </w:rPr>
        <w:t>签订的采购合同，采购人应当明确标注本合同为中小企业预留合同。其中，要求以联合体形式参加采购活动或者合同分包的，应当将联合协议或者分包意向协议作为采购合同的组成部分。</w:t>
      </w:r>
    </w:p>
    <w:p w14:paraId="704DD6A5">
      <w:pPr>
        <w:pageBreakBefore w:val="0"/>
        <w:kinsoku/>
        <w:wordWrap/>
        <w:overflowPunct/>
        <w:topLinePunct w:val="0"/>
        <w:bidi w:val="0"/>
        <w:snapToGrid/>
        <w:spacing w:before="0" w:beforeLines="0" w:after="0" w:afterLines="0" w:line="360" w:lineRule="auto"/>
        <w:ind w:left="0"/>
        <w:textAlignment w:val="auto"/>
        <w:outlineLvl w:val="9"/>
        <w:rPr>
          <w:rFonts w:ascii="宋体" w:hAnsi="宋体" w:eastAsia="宋体" w:cs="宋体"/>
          <w:color w:val="auto"/>
          <w:sz w:val="24"/>
          <w:szCs w:val="24"/>
          <w:highlight w:val="none"/>
        </w:rPr>
      </w:pPr>
      <w:bookmarkStart w:id="131" w:name="_Toc217446066"/>
      <w:r>
        <w:rPr>
          <w:rFonts w:hint="eastAsia" w:ascii="宋体" w:hAnsi="宋体" w:eastAsia="宋体" w:cs="宋体"/>
          <w:color w:val="auto"/>
          <w:sz w:val="24"/>
          <w:szCs w:val="24"/>
          <w:highlight w:val="none"/>
          <w:lang w:val="en-US" w:eastAsia="zh-CN"/>
        </w:rPr>
        <w:t xml:space="preserve">    42</w:t>
      </w:r>
      <w:r>
        <w:rPr>
          <w:rFonts w:hint="eastAsia" w:ascii="宋体" w:hAnsi="宋体" w:eastAsia="宋体" w:cs="宋体"/>
          <w:color w:val="auto"/>
          <w:sz w:val="24"/>
          <w:szCs w:val="24"/>
          <w:highlight w:val="none"/>
        </w:rPr>
        <w:t>. 合同分包</w:t>
      </w:r>
      <w:bookmarkEnd w:id="131"/>
    </w:p>
    <w:p w14:paraId="309D88F2">
      <w:pPr>
        <w:pStyle w:val="104"/>
        <w:pageBreakBefore w:val="0"/>
        <w:kinsoku/>
        <w:wordWrap/>
        <w:overflowPunct/>
        <w:topLinePunct w:val="0"/>
        <w:bidi w:val="0"/>
        <w:snapToGrid/>
        <w:spacing w:line="360" w:lineRule="auto"/>
        <w:ind w:left="0" w:firstLine="480" w:firstLineChars="200"/>
        <w:jc w:val="both"/>
        <w:textAlignment w:val="auto"/>
        <w:outlineLvl w:val="9"/>
        <w:rPr>
          <w:rFonts w:ascii="宋体" w:hAnsi="宋体" w:eastAsia="宋体" w:cs="宋体"/>
          <w:color w:val="auto"/>
          <w:highlight w:val="none"/>
        </w:rPr>
      </w:pPr>
      <w:bookmarkStart w:id="132" w:name="_Toc217446067"/>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.1 未经采购人同意，中标人不得分包合同。</w:t>
      </w:r>
    </w:p>
    <w:p w14:paraId="4F954EE0">
      <w:pPr>
        <w:pStyle w:val="104"/>
        <w:pageBreakBefore w:val="0"/>
        <w:kinsoku/>
        <w:wordWrap/>
        <w:overflowPunct/>
        <w:topLinePunct w:val="0"/>
        <w:bidi w:val="0"/>
        <w:snapToGrid/>
        <w:spacing w:line="360" w:lineRule="auto"/>
        <w:ind w:left="0"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.2 政府采购合同分包履行的，中标人就采购项目和分包项目向采购人负责，分包供应商就分包项目承担责任。</w:t>
      </w:r>
      <w:bookmarkEnd w:id="132"/>
    </w:p>
    <w:p w14:paraId="38FC42B8">
      <w:pPr>
        <w:pStyle w:val="104"/>
        <w:pageBreakBefore w:val="0"/>
        <w:kinsoku/>
        <w:wordWrap/>
        <w:overflowPunct/>
        <w:topLinePunct w:val="0"/>
        <w:bidi w:val="0"/>
        <w:snapToGrid/>
        <w:spacing w:beforeAutospacing="0" w:afterAutospacing="0" w:line="360" w:lineRule="auto"/>
        <w:ind w:left="0" w:firstLine="480" w:firstLineChars="200"/>
        <w:jc w:val="both"/>
        <w:textAlignment w:va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42.3 依据《政府采购促进中小企业发展管理办法》（财库〔2020〕46号）规定，享受扶持政策获得政府采购合同的，小微企业不得将合同分包给大中型企业，中型企业不得将合同分包给大型企业。</w:t>
      </w:r>
    </w:p>
    <w:p w14:paraId="6C595470">
      <w:pPr>
        <w:pageBreakBefore w:val="0"/>
        <w:kinsoku/>
        <w:wordWrap/>
        <w:overflowPunct/>
        <w:topLinePunct w:val="0"/>
        <w:bidi w:val="0"/>
        <w:snapToGrid/>
        <w:spacing w:before="0" w:beforeLines="0" w:after="0" w:afterLines="0" w:line="360" w:lineRule="auto"/>
        <w:ind w:left="0" w:firstLine="480" w:firstLineChars="200"/>
        <w:textAlignment w:val="auto"/>
        <w:outlineLvl w:val="9"/>
        <w:rPr>
          <w:rFonts w:ascii="宋体" w:hAnsi="宋体" w:eastAsia="宋体" w:cs="宋体"/>
          <w:b w:val="0"/>
          <w:color w:val="auto"/>
          <w:sz w:val="24"/>
          <w:szCs w:val="24"/>
          <w:highlight w:val="none"/>
        </w:rPr>
      </w:pPr>
      <w:bookmarkStart w:id="133" w:name="_Toc217446068"/>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 履约保证金</w:t>
      </w:r>
      <w:bookmarkEnd w:id="133"/>
    </w:p>
    <w:p w14:paraId="2E34E5A6">
      <w:pPr>
        <w:pageBreakBefore w:val="0"/>
        <w:kinsoku/>
        <w:wordWrap/>
        <w:overflowPunct/>
        <w:topLinePunct w:val="0"/>
        <w:bidi w:val="0"/>
        <w:snapToGrid/>
        <w:spacing w:line="360" w:lineRule="auto"/>
        <w:ind w:left="0" w:firstLine="424" w:firstLineChars="177"/>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43</w:t>
      </w:r>
      <w:r>
        <w:rPr>
          <w:rFonts w:hint="eastAsia" w:hAnsi="宋体" w:cs="宋体"/>
          <w:color w:val="auto"/>
          <w:sz w:val="24"/>
          <w:szCs w:val="24"/>
          <w:highlight w:val="none"/>
        </w:rPr>
        <w:t>.1 若《采购项目需求》规定须提交履约保证金的，合同签订前，中标人须按照规定要求提交履约保证金，履约保证金的有效期至货到并最终验收合格之日。</w:t>
      </w:r>
    </w:p>
    <w:p w14:paraId="6467866D">
      <w:pPr>
        <w:keepNext w:val="0"/>
        <w:keepLines w:val="0"/>
        <w:pageBreakBefore w:val="0"/>
        <w:kinsoku/>
        <w:wordWrap/>
        <w:overflowPunct/>
        <w:topLinePunct w:val="0"/>
        <w:bidi w:val="0"/>
        <w:snapToGrid/>
        <w:spacing w:beforeAutospacing="0" w:afterAutospacing="0" w:line="360" w:lineRule="auto"/>
        <w:ind w:left="0" w:firstLine="424" w:firstLineChars="177"/>
        <w:textAlignment w:val="auto"/>
        <w:outlineLvl w:val="9"/>
        <w:rPr>
          <w:rFonts w:hAnsi="宋体" w:cs="宋体"/>
          <w:color w:val="auto"/>
          <w:sz w:val="24"/>
          <w:szCs w:val="24"/>
          <w:highlight w:val="none"/>
        </w:rPr>
      </w:pPr>
      <w:r>
        <w:rPr>
          <w:rFonts w:hint="eastAsia" w:hAnsi="宋体" w:cs="宋体"/>
          <w:color w:val="auto"/>
          <w:sz w:val="24"/>
          <w:szCs w:val="24"/>
          <w:highlight w:val="none"/>
          <w:lang w:val="en-US" w:eastAsia="zh-CN"/>
        </w:rPr>
        <w:t>43</w:t>
      </w:r>
      <w:r>
        <w:rPr>
          <w:rFonts w:hint="eastAsia" w:hAnsi="宋体" w:cs="宋体"/>
          <w:color w:val="auto"/>
          <w:sz w:val="24"/>
          <w:szCs w:val="24"/>
          <w:highlight w:val="none"/>
        </w:rPr>
        <w:t>.2 如果中标人在规定的合同签订时间内，没有按照招标文件的规定交纳履约保证金，且又无正当理由的，将视为放弃中标。</w:t>
      </w:r>
    </w:p>
    <w:p w14:paraId="5B1E2BAE">
      <w:pPr>
        <w:pStyle w:val="104"/>
        <w:keepNext w:val="0"/>
        <w:keepLines w:val="0"/>
        <w:pageBreakBefore w:val="0"/>
        <w:kinsoku/>
        <w:wordWrap/>
        <w:overflowPunct/>
        <w:topLinePunct w:val="0"/>
        <w:bidi w:val="0"/>
        <w:snapToGrid/>
        <w:spacing w:beforeAutospacing="0" w:afterAutospacing="0" w:line="360" w:lineRule="auto"/>
        <w:ind w:left="0"/>
        <w:jc w:val="both"/>
        <w:textAlignment w:val="auto"/>
        <w:outlineLvl w:val="9"/>
        <w:rPr>
          <w:rFonts w:hAnsi="宋体" w:cs="宋体"/>
          <w:b/>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kern w:val="2"/>
          <w:sz w:val="24"/>
          <w:szCs w:val="24"/>
          <w:highlight w:val="none"/>
          <w:lang w:val="en-US" w:eastAsia="zh-CN"/>
        </w:rPr>
        <w:t xml:space="preserve"> </w:t>
      </w:r>
      <w:bookmarkStart w:id="134" w:name="_Toc217446071"/>
      <w:r>
        <w:rPr>
          <w:rFonts w:hint="eastAsia" w:ascii="宋体" w:hAnsi="宋体" w:eastAsia="宋体" w:cs="宋体"/>
          <w:b/>
          <w:color w:val="auto"/>
          <w:kern w:val="2"/>
          <w:sz w:val="24"/>
          <w:szCs w:val="24"/>
          <w:highlight w:val="none"/>
          <w:lang w:val="en-US" w:eastAsia="zh-CN"/>
        </w:rPr>
        <w:t>44．合同验收</w:t>
      </w:r>
    </w:p>
    <w:p w14:paraId="1F111D01">
      <w:pPr>
        <w:pStyle w:val="28"/>
        <w:keepNext w:val="0"/>
        <w:keepLines w:val="0"/>
        <w:pageBreakBefore w:val="0"/>
        <w:widowControl/>
        <w:kinsoku/>
        <w:wordWrap/>
        <w:overflowPunct/>
        <w:topLinePunct w:val="0"/>
        <w:bidi w:val="0"/>
        <w:snapToGrid/>
        <w:spacing w:before="0" w:beforeAutospacing="0" w:after="0" w:afterAutospacing="0" w:line="360" w:lineRule="auto"/>
        <w:ind w:left="0" w:firstLine="480"/>
        <w:jc w:val="both"/>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44</w:t>
      </w:r>
      <w:r>
        <w:rPr>
          <w:rFonts w:hint="eastAsia" w:hAnsi="宋体" w:cs="宋体"/>
          <w:color w:val="auto"/>
          <w:sz w:val="24"/>
          <w:szCs w:val="24"/>
          <w:highlight w:val="none"/>
        </w:rPr>
        <w:t>.1 采购人按照政府采购合同规定的技术、服务、安全标准组织对供应商履约情况进行验收，并出具验收书。</w:t>
      </w:r>
      <w:r>
        <w:rPr>
          <w:rFonts w:hint="eastAsia" w:ascii="宋体" w:hAnsi="宋体" w:eastAsia="宋体" w:cs="宋体"/>
          <w:color w:val="auto"/>
          <w:sz w:val="24"/>
          <w:szCs w:val="24"/>
          <w:highlight w:val="none"/>
        </w:rPr>
        <w:t>采购人应当及时对采购项目进行验收。采购人可以邀请参加本项目的其他投标人或者第三方机构参与验收。参与验收的投标人或者第三方机构的意见作为验收书的参考资料一并存档。</w:t>
      </w:r>
    </w:p>
    <w:p w14:paraId="075E46A6">
      <w:pPr>
        <w:pStyle w:val="2"/>
        <w:pageBreakBefore w:val="0"/>
        <w:tabs>
          <w:tab w:val="right" w:leader="dot" w:pos="8400"/>
        </w:tabs>
        <w:kinsoku/>
        <w:wordWrap/>
        <w:overflowPunct/>
        <w:topLinePunct w:val="0"/>
        <w:bidi w:val="0"/>
        <w:snapToGrid/>
        <w:spacing w:line="360" w:lineRule="auto"/>
        <w:ind w:left="0"/>
        <w:textAlignment w:val="auto"/>
        <w:outlineLvl w:val="9"/>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     45. 政府采购合同融资</w:t>
      </w:r>
    </w:p>
    <w:p w14:paraId="51B05979">
      <w:pPr>
        <w:pageBreakBefore w:val="0"/>
        <w:kinsoku/>
        <w:wordWrap/>
        <w:overflowPunct/>
        <w:topLinePunct w:val="0"/>
        <w:bidi w:val="0"/>
        <w:snapToGrid/>
        <w:spacing w:line="360" w:lineRule="auto"/>
        <w:ind w:left="0"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45.1政府采购合同融资是指参与我省政府采购活动中的中标（成交）供应商，凭借与采购单位签订的采购合同项下的预期回款作为主要还款来源，向开展合同融资业务的甘肃省区域内的银行业金融机构申请信用贷款，金融机构为其提供不超过合同金额贷款的融资模式。</w:t>
      </w:r>
    </w:p>
    <w:p w14:paraId="4A7A6FD4">
      <w:pPr>
        <w:pStyle w:val="2"/>
        <w:pageBreakBefore w:val="0"/>
        <w:tabs>
          <w:tab w:val="right" w:leader="dot" w:pos="8400"/>
        </w:tabs>
        <w:kinsoku/>
        <w:wordWrap/>
        <w:overflowPunct/>
        <w:topLinePunct w:val="0"/>
        <w:bidi w:val="0"/>
        <w:snapToGrid/>
        <w:spacing w:line="360" w:lineRule="auto"/>
        <w:ind w:left="0"/>
        <w:textAlignment w:val="auto"/>
        <w:outlineLvl w:val="9"/>
        <w:rPr>
          <w:rFonts w:hint="eastAsia" w:ascii="宋体" w:hAnsi="宋体" w:eastAsia="宋体" w:cs="宋体"/>
          <w:b w:val="0"/>
          <w:bCs w:val="0"/>
          <w:color w:val="auto"/>
          <w:lang w:val="en-US" w:eastAsia="zh-CN"/>
        </w:rPr>
      </w:pPr>
      <w:r>
        <w:rPr>
          <w:rFonts w:hint="eastAsia" w:ascii="宋体" w:hAnsi="宋体" w:eastAsia="宋体" w:cs="宋体"/>
          <w:color w:val="auto"/>
          <w:lang w:val="en-US" w:eastAsia="zh-CN"/>
        </w:rPr>
        <w:t xml:space="preserve">     </w:t>
      </w:r>
      <w:r>
        <w:rPr>
          <w:rFonts w:hint="eastAsia" w:ascii="宋体" w:hAnsi="宋体" w:eastAsia="宋体" w:cs="宋体"/>
          <w:smallCaps w:val="0"/>
          <w:color w:val="auto"/>
          <w:kern w:val="2"/>
          <w:sz w:val="24"/>
          <w:szCs w:val="24"/>
          <w:highlight w:val="none"/>
          <w:lang w:val="en-US" w:eastAsia="zh-CN" w:bidi="ar-SA"/>
        </w:rPr>
        <w:t>45.2金融机构是指各类银行和在</w:t>
      </w:r>
      <w:r>
        <w:rPr>
          <w:rFonts w:hint="eastAsia" w:ascii="宋体" w:hAnsi="宋体" w:cs="宋体"/>
          <w:smallCaps w:val="0"/>
          <w:color w:val="auto"/>
          <w:kern w:val="2"/>
          <w:sz w:val="24"/>
          <w:szCs w:val="24"/>
          <w:highlight w:val="none"/>
          <w:lang w:val="en-US" w:eastAsia="zh-CN" w:bidi="ar-SA"/>
        </w:rPr>
        <w:t>陇南市</w:t>
      </w:r>
      <w:r>
        <w:rPr>
          <w:rFonts w:hint="eastAsia" w:ascii="宋体" w:hAnsi="宋体" w:eastAsia="宋体" w:cs="宋体"/>
          <w:smallCaps w:val="0"/>
          <w:color w:val="auto"/>
          <w:kern w:val="2"/>
          <w:sz w:val="24"/>
          <w:szCs w:val="24"/>
          <w:highlight w:val="none"/>
          <w:lang w:val="en-US" w:eastAsia="zh-CN" w:bidi="ar-SA"/>
        </w:rPr>
        <w:t>金融工作办公室备案的非银行金融机构。</w:t>
      </w:r>
    </w:p>
    <w:p w14:paraId="4C44934A">
      <w:pPr>
        <w:pageBreakBefore w:val="0"/>
        <w:kinsoku/>
        <w:wordWrap/>
        <w:overflowPunct/>
        <w:topLinePunct w:val="0"/>
        <w:bidi w:val="0"/>
        <w:snapToGrid/>
        <w:spacing w:line="360" w:lineRule="auto"/>
        <w:ind w:left="0" w:firstLine="48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45.3供应商是指在甘肃省注册、具有法人资格且依法取得省内政府采购合同的中小微企业。甘肃省内供应商获得省外政府采购合同和甘肃省外供应商获得甘肃省内政府采购合同，不属于政府采购合同融资范围。</w:t>
      </w:r>
    </w:p>
    <w:p w14:paraId="26262FC7">
      <w:pPr>
        <w:pStyle w:val="2"/>
        <w:pageBreakBefore w:val="0"/>
        <w:tabs>
          <w:tab w:val="right" w:leader="dot" w:pos="8400"/>
        </w:tabs>
        <w:kinsoku/>
        <w:wordWrap/>
        <w:overflowPunct/>
        <w:topLinePunct w:val="0"/>
        <w:bidi w:val="0"/>
        <w:snapToGrid/>
        <w:spacing w:line="360" w:lineRule="auto"/>
        <w:ind w:left="0"/>
        <w:textAlignment w:val="auto"/>
        <w:outlineLvl w:val="9"/>
        <w:rPr>
          <w:rFonts w:hint="eastAsia" w:ascii="宋体" w:hAnsi="宋体" w:eastAsia="宋体" w:cs="宋体"/>
          <w:b w:val="0"/>
          <w:bCs w:val="0"/>
          <w:smallCaps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smallCaps w:val="0"/>
          <w:color w:val="auto"/>
          <w:sz w:val="24"/>
          <w:szCs w:val="24"/>
          <w:highlight w:val="none"/>
          <w:lang w:val="en-US" w:eastAsia="zh-CN" w:bidi="ar-SA"/>
        </w:rPr>
        <w:t xml:space="preserve"> 45.4 供应商在依法签订政府采购合同后，即可通过融资平台自行选择金融</w:t>
      </w:r>
    </w:p>
    <w:p w14:paraId="4F02C7C7">
      <w:pPr>
        <w:pStyle w:val="2"/>
        <w:pageBreakBefore w:val="0"/>
        <w:tabs>
          <w:tab w:val="right" w:leader="dot" w:pos="8400"/>
        </w:tabs>
        <w:kinsoku/>
        <w:wordWrap/>
        <w:overflowPunct/>
        <w:topLinePunct w:val="0"/>
        <w:bidi w:val="0"/>
        <w:snapToGrid/>
        <w:spacing w:line="360" w:lineRule="auto"/>
        <w:ind w:left="0" w:leftChars="0" w:firstLine="0" w:firstLineChars="0"/>
        <w:textAlignment w:val="auto"/>
        <w:outlineLvl w:val="9"/>
        <w:rPr>
          <w:rFonts w:hint="default" w:ascii="宋体" w:hAnsi="宋体" w:eastAsia="宋体" w:cs="宋体"/>
          <w:b w:val="0"/>
          <w:bCs w:val="0"/>
          <w:smallCaps w:val="0"/>
          <w:color w:val="auto"/>
          <w:sz w:val="24"/>
          <w:szCs w:val="24"/>
          <w:highlight w:val="none"/>
          <w:lang w:val="en-US" w:eastAsia="zh-CN" w:bidi="ar-SA"/>
        </w:rPr>
      </w:pPr>
      <w:r>
        <w:rPr>
          <w:rFonts w:hint="eastAsia" w:ascii="宋体" w:hAnsi="宋体" w:eastAsia="宋体" w:cs="宋体"/>
          <w:b w:val="0"/>
          <w:bCs w:val="0"/>
          <w:smallCaps w:val="0"/>
          <w:color w:val="auto"/>
          <w:sz w:val="24"/>
          <w:szCs w:val="24"/>
          <w:highlight w:val="none"/>
          <w:lang w:val="en-US" w:eastAsia="zh-CN" w:bidi="ar-SA"/>
        </w:rPr>
        <w:t>机构及合同融资产品，申请合同融资，并按要求提供相关资料。具体详见《甘肃省财政厅关于开展甘肃省政府采购合同融资业务有关事宜的通知》（甘财采〔2019〕16号）。</w:t>
      </w:r>
    </w:p>
    <w:p w14:paraId="0BAFA96B">
      <w:pPr>
        <w:pStyle w:val="28"/>
        <w:keepNext w:val="0"/>
        <w:keepLines w:val="0"/>
        <w:pageBreakBefore w:val="0"/>
        <w:widowControl/>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auto"/>
          <w:sz w:val="24"/>
          <w:szCs w:val="24"/>
          <w:highlight w:val="none"/>
        </w:rPr>
      </w:pPr>
    </w:p>
    <w:bookmarkEnd w:id="124"/>
    <w:bookmarkEnd w:id="125"/>
    <w:bookmarkEnd w:id="134"/>
    <w:p w14:paraId="2D84F187">
      <w:pPr>
        <w:pStyle w:val="6"/>
        <w:spacing w:line="360" w:lineRule="auto"/>
        <w:ind w:firstLine="0"/>
        <w:jc w:val="center"/>
        <w:outlineLvl w:val="1"/>
        <w:rPr>
          <w:rFonts w:hAnsi="宋体" w:cs="宋体"/>
          <w:b/>
          <w:bCs/>
          <w:color w:val="auto"/>
          <w:sz w:val="28"/>
          <w:szCs w:val="28"/>
          <w:highlight w:val="none"/>
        </w:rPr>
      </w:pPr>
      <w:bookmarkStart w:id="135" w:name="_Toc217446078"/>
      <w:bookmarkStart w:id="136" w:name="_Toc14830"/>
      <w:bookmarkStart w:id="137" w:name="_Toc21450"/>
      <w:bookmarkStart w:id="138" w:name="_Toc3474"/>
      <w:bookmarkStart w:id="139" w:name="_Toc183582243"/>
      <w:bookmarkStart w:id="140" w:name="_Toc183682380"/>
      <w:r>
        <w:rPr>
          <w:rFonts w:hint="eastAsia" w:hAnsi="宋体" w:cs="宋体"/>
          <w:b/>
          <w:bCs/>
          <w:color w:val="auto"/>
          <w:sz w:val="28"/>
          <w:szCs w:val="28"/>
          <w:highlight w:val="none"/>
        </w:rPr>
        <w:t>八、</w:t>
      </w:r>
      <w:bookmarkEnd w:id="135"/>
      <w:bookmarkStart w:id="141" w:name="_Toc217446079"/>
      <w:r>
        <w:rPr>
          <w:rFonts w:hint="eastAsia" w:hAnsi="宋体" w:cs="宋体"/>
          <w:b/>
          <w:bCs/>
          <w:color w:val="auto"/>
          <w:sz w:val="28"/>
          <w:szCs w:val="28"/>
          <w:highlight w:val="none"/>
        </w:rPr>
        <w:t>询问和质疑</w:t>
      </w:r>
      <w:bookmarkEnd w:id="136"/>
      <w:bookmarkEnd w:id="137"/>
      <w:bookmarkEnd w:id="138"/>
    </w:p>
    <w:bookmarkEnd w:id="139"/>
    <w:bookmarkEnd w:id="140"/>
    <w:bookmarkEnd w:id="141"/>
    <w:p w14:paraId="60573E2B">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Chars="212"/>
        <w:textAlignment w:val="auto"/>
        <w:outlineLvl w:val="9"/>
        <w:rPr>
          <w:rFonts w:cs="宋体"/>
          <w:b/>
          <w:color w:val="auto"/>
          <w:sz w:val="24"/>
          <w:szCs w:val="24"/>
          <w:highlight w:val="none"/>
        </w:rPr>
      </w:pPr>
      <w:bookmarkStart w:id="142" w:name="_Toc1120"/>
      <w:r>
        <w:rPr>
          <w:rFonts w:hint="eastAsia" w:cs="宋体"/>
          <w:b/>
          <w:color w:val="auto"/>
          <w:sz w:val="24"/>
          <w:szCs w:val="24"/>
          <w:highlight w:val="none"/>
          <w:lang w:val="en-US" w:eastAsia="zh-CN"/>
        </w:rPr>
        <w:t>46</w:t>
      </w:r>
      <w:r>
        <w:rPr>
          <w:rFonts w:hint="eastAsia" w:cs="宋体"/>
          <w:b/>
          <w:color w:val="auto"/>
          <w:sz w:val="24"/>
          <w:szCs w:val="24"/>
          <w:highlight w:val="none"/>
        </w:rPr>
        <w:t>. 询问</w:t>
      </w:r>
      <w:bookmarkEnd w:id="142"/>
    </w:p>
    <w:p w14:paraId="162DFCBC">
      <w:pPr>
        <w:pStyle w:val="10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9"/>
        <w:rPr>
          <w:rFonts w:cs="宋体"/>
          <w:color w:val="auto"/>
          <w:sz w:val="24"/>
          <w:szCs w:val="24"/>
          <w:highlight w:val="none"/>
        </w:rPr>
      </w:pPr>
      <w:r>
        <w:rPr>
          <w:rFonts w:hint="eastAsia" w:cs="宋体"/>
          <w:color w:val="auto"/>
          <w:sz w:val="24"/>
          <w:szCs w:val="24"/>
          <w:highlight w:val="none"/>
          <w:lang w:val="en-US" w:eastAsia="zh-CN"/>
        </w:rPr>
        <w:t>46</w:t>
      </w:r>
      <w:r>
        <w:rPr>
          <w:rFonts w:hint="eastAsia" w:cs="宋体"/>
          <w:color w:val="auto"/>
          <w:sz w:val="24"/>
          <w:szCs w:val="24"/>
          <w:highlight w:val="none"/>
        </w:rPr>
        <w:t>.1投标人对政府采购活动事项和采购文件、采购结果有疑问的，可按第一</w:t>
      </w:r>
      <w:r>
        <w:rPr>
          <w:rFonts w:hint="eastAsia" w:cs="宋体"/>
          <w:color w:val="auto"/>
          <w:sz w:val="24"/>
          <w:szCs w:val="24"/>
          <w:highlight w:val="none"/>
          <w:lang w:eastAsia="zh-CN"/>
        </w:rPr>
        <w:t>章</w:t>
      </w:r>
      <w:r>
        <w:rPr>
          <w:rFonts w:hint="eastAsia" w:cs="宋体"/>
          <w:color w:val="auto"/>
          <w:sz w:val="24"/>
          <w:szCs w:val="24"/>
          <w:highlight w:val="none"/>
        </w:rPr>
        <w:t>投标邀请中载明的联系方式、地址</w:t>
      </w:r>
      <w:r>
        <w:rPr>
          <w:rFonts w:hint="eastAsia" w:cs="宋体"/>
          <w:color w:val="auto"/>
          <w:sz w:val="24"/>
          <w:szCs w:val="24"/>
          <w:highlight w:val="none"/>
          <w:lang w:eastAsia="zh-CN"/>
        </w:rPr>
        <w:t>，以</w:t>
      </w:r>
      <w:r>
        <w:rPr>
          <w:rFonts w:hint="eastAsia" w:cs="宋体"/>
          <w:color w:val="auto"/>
          <w:sz w:val="24"/>
          <w:szCs w:val="24"/>
          <w:highlight w:val="none"/>
        </w:rPr>
        <w:t>口头或书面形式向集采机构、采购人提出询问，集采机构、采购人将依据《中华人民共和国政府采购法实施条例》第五十二条的规定时限做出处理和答复。</w:t>
      </w:r>
    </w:p>
    <w:p w14:paraId="40BD0051">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outlineLvl w:val="9"/>
        <w:rPr>
          <w:rFonts w:cs="宋体"/>
          <w:color w:val="auto"/>
          <w:sz w:val="24"/>
          <w:szCs w:val="24"/>
          <w:highlight w:val="none"/>
        </w:rPr>
      </w:pPr>
      <w:r>
        <w:rPr>
          <w:rFonts w:hint="eastAsia" w:cs="宋体"/>
          <w:color w:val="auto"/>
          <w:sz w:val="24"/>
          <w:szCs w:val="24"/>
          <w:highlight w:val="none"/>
          <w:lang w:val="en-US" w:eastAsia="zh-CN"/>
        </w:rPr>
        <w:t>46</w:t>
      </w:r>
      <w:r>
        <w:rPr>
          <w:rFonts w:hint="eastAsia" w:cs="宋体"/>
          <w:color w:val="auto"/>
          <w:sz w:val="24"/>
          <w:szCs w:val="24"/>
          <w:highlight w:val="none"/>
        </w:rPr>
        <w:t>.2 询问的内容不属于采购人委托集采机构事项的，集采机构将依法告知投标人向采购人提出询问。</w:t>
      </w:r>
    </w:p>
    <w:p w14:paraId="535654C8">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Chars="212"/>
        <w:textAlignment w:val="auto"/>
        <w:outlineLvl w:val="9"/>
        <w:rPr>
          <w:rFonts w:cs="宋体"/>
          <w:b/>
          <w:color w:val="auto"/>
          <w:sz w:val="24"/>
          <w:szCs w:val="24"/>
          <w:highlight w:val="none"/>
        </w:rPr>
      </w:pPr>
      <w:bookmarkStart w:id="143" w:name="_Toc1281"/>
      <w:r>
        <w:rPr>
          <w:rFonts w:hint="eastAsia" w:cs="宋体"/>
          <w:b/>
          <w:color w:val="auto"/>
          <w:sz w:val="24"/>
          <w:szCs w:val="24"/>
          <w:highlight w:val="none"/>
        </w:rPr>
        <w:t>4</w:t>
      </w:r>
      <w:r>
        <w:rPr>
          <w:rFonts w:hint="eastAsia" w:cs="宋体"/>
          <w:b/>
          <w:color w:val="auto"/>
          <w:sz w:val="24"/>
          <w:szCs w:val="24"/>
          <w:highlight w:val="none"/>
          <w:lang w:val="en-US" w:eastAsia="zh-CN"/>
        </w:rPr>
        <w:t>7</w:t>
      </w:r>
      <w:r>
        <w:rPr>
          <w:rFonts w:hint="eastAsia" w:cs="宋体"/>
          <w:b/>
          <w:color w:val="auto"/>
          <w:sz w:val="24"/>
          <w:szCs w:val="24"/>
          <w:highlight w:val="none"/>
        </w:rPr>
        <w:t>. 质疑</w:t>
      </w:r>
      <w:bookmarkEnd w:id="143"/>
    </w:p>
    <w:p w14:paraId="01DB664E">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outlineLvl w:val="9"/>
        <w:rPr>
          <w:rFonts w:cs="宋体"/>
          <w:b/>
          <w:bCs/>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val="en-US" w:eastAsia="zh-CN"/>
        </w:rPr>
        <w:t>7</w:t>
      </w:r>
      <w:r>
        <w:rPr>
          <w:rFonts w:hint="eastAsia" w:cs="宋体"/>
          <w:color w:val="auto"/>
          <w:sz w:val="24"/>
          <w:szCs w:val="24"/>
          <w:highlight w:val="none"/>
        </w:rPr>
        <w:t>.1投标人认为招标文件、评标过程和中标结果使自己的权益受到损害的，可以根据《政府采购质疑和投诉办法》（财政部令第94号）第十条的规定，以书面形式提出质疑。</w:t>
      </w:r>
      <w:r>
        <w:rPr>
          <w:rFonts w:hint="eastAsia" w:cs="宋体"/>
          <w:b/>
          <w:bCs/>
          <w:color w:val="auto"/>
          <w:sz w:val="24"/>
          <w:szCs w:val="24"/>
          <w:highlight w:val="none"/>
        </w:rPr>
        <w:t>对招标文件的质疑其受到损害之日为</w:t>
      </w:r>
      <w:r>
        <w:rPr>
          <w:rFonts w:hint="eastAsia" w:cs="宋体"/>
          <w:b/>
          <w:bCs/>
          <w:color w:val="auto"/>
          <w:sz w:val="24"/>
          <w:szCs w:val="24"/>
          <w:highlight w:val="none"/>
          <w:lang w:val="en-US" w:eastAsia="zh-CN"/>
        </w:rPr>
        <w:t>获取</w:t>
      </w:r>
      <w:r>
        <w:rPr>
          <w:rFonts w:hint="eastAsia" w:cs="宋体"/>
          <w:b/>
          <w:bCs/>
          <w:color w:val="auto"/>
          <w:sz w:val="24"/>
          <w:szCs w:val="24"/>
          <w:highlight w:val="none"/>
        </w:rPr>
        <w:t>本招标文件之日。</w:t>
      </w:r>
    </w:p>
    <w:p w14:paraId="23E699B4">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textAlignment w:val="auto"/>
        <w:outlineLvl w:val="9"/>
        <w:rPr>
          <w:rFonts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w:t>
      </w:r>
      <w:r>
        <w:rPr>
          <w:rFonts w:hint="eastAsia" w:cs="宋体"/>
          <w:color w:val="auto"/>
          <w:sz w:val="24"/>
          <w:szCs w:val="24"/>
          <w:highlight w:val="none"/>
        </w:rPr>
        <w:t>2</w:t>
      </w:r>
      <w:r>
        <w:rPr>
          <w:rFonts w:hint="eastAsia" w:hAnsi="宋体" w:cs="宋体"/>
          <w:color w:val="auto"/>
          <w:sz w:val="24"/>
          <w:szCs w:val="24"/>
          <w:highlight w:val="none"/>
        </w:rPr>
        <w:t xml:space="preserve"> 投标人提出的质疑必须符合《政府采购质疑和投诉办法》（财政部令第94号）</w:t>
      </w:r>
      <w:r>
        <w:rPr>
          <w:rFonts w:hint="eastAsia" w:cs="宋体"/>
          <w:color w:val="auto"/>
          <w:sz w:val="24"/>
          <w:szCs w:val="24"/>
          <w:highlight w:val="none"/>
        </w:rPr>
        <w:t>第</w:t>
      </w:r>
      <w:r>
        <w:rPr>
          <w:rFonts w:hint="eastAsia" w:hAnsi="宋体" w:cs="宋体"/>
          <w:color w:val="auto"/>
          <w:sz w:val="24"/>
          <w:szCs w:val="24"/>
          <w:highlight w:val="none"/>
        </w:rPr>
        <w:t>十</w:t>
      </w:r>
      <w:r>
        <w:rPr>
          <w:rFonts w:hint="eastAsia" w:cs="宋体"/>
          <w:color w:val="auto"/>
          <w:sz w:val="24"/>
          <w:szCs w:val="24"/>
          <w:highlight w:val="none"/>
        </w:rPr>
        <w:t>二</w:t>
      </w:r>
      <w:r>
        <w:rPr>
          <w:rFonts w:hint="eastAsia" w:hAnsi="宋体" w:cs="宋体"/>
          <w:color w:val="auto"/>
          <w:sz w:val="24"/>
          <w:szCs w:val="24"/>
          <w:highlight w:val="none"/>
        </w:rPr>
        <w:t>条的规定，应当提交质疑函和必要的证明材料</w:t>
      </w:r>
      <w:r>
        <w:rPr>
          <w:rFonts w:hint="eastAsia" w:cs="宋体"/>
          <w:color w:val="auto"/>
          <w:sz w:val="24"/>
          <w:szCs w:val="24"/>
          <w:highlight w:val="none"/>
        </w:rPr>
        <w:t>及</w:t>
      </w:r>
      <w:r>
        <w:rPr>
          <w:rFonts w:hint="eastAsia" w:hAnsi="宋体" w:cs="宋体"/>
          <w:color w:val="auto"/>
          <w:sz w:val="24"/>
          <w:szCs w:val="24"/>
          <w:highlight w:val="none"/>
        </w:rPr>
        <w:t>法人授权委托书（原件）、营业执照（复印件）、法定代表人和</w:t>
      </w:r>
      <w:r>
        <w:rPr>
          <w:rFonts w:hint="default" w:hAnsi="宋体" w:cs="宋体"/>
          <w:color w:val="auto"/>
          <w:sz w:val="24"/>
          <w:szCs w:val="24"/>
          <w:highlight w:val="none"/>
          <w:lang w:val="en" w:eastAsia="zh-CN"/>
        </w:rPr>
        <w:t>授权代表</w:t>
      </w:r>
      <w:r>
        <w:rPr>
          <w:rFonts w:hint="eastAsia" w:hAnsi="宋体" w:cs="宋体"/>
          <w:color w:val="auto"/>
          <w:sz w:val="24"/>
          <w:szCs w:val="24"/>
          <w:highlight w:val="none"/>
        </w:rPr>
        <w:t>身份证复印件</w:t>
      </w:r>
      <w:r>
        <w:rPr>
          <w:rFonts w:hint="eastAsia" w:cs="宋体"/>
          <w:color w:val="auto"/>
          <w:sz w:val="24"/>
          <w:szCs w:val="24"/>
          <w:highlight w:val="none"/>
        </w:rPr>
        <w:t>，</w:t>
      </w:r>
      <w:r>
        <w:rPr>
          <w:rFonts w:hint="eastAsia" w:hAnsi="宋体" w:cs="宋体"/>
          <w:color w:val="auto"/>
          <w:sz w:val="24"/>
          <w:szCs w:val="24"/>
          <w:highlight w:val="none"/>
        </w:rPr>
        <w:t>否则不予受理</w:t>
      </w:r>
      <w:r>
        <w:rPr>
          <w:rFonts w:hint="eastAsia" w:cs="宋体"/>
          <w:color w:val="auto"/>
          <w:sz w:val="24"/>
          <w:szCs w:val="24"/>
          <w:highlight w:val="none"/>
        </w:rPr>
        <w:t>。</w:t>
      </w:r>
      <w:r>
        <w:rPr>
          <w:rFonts w:hint="eastAsia" w:hAnsi="宋体" w:cs="宋体"/>
          <w:color w:val="auto"/>
          <w:sz w:val="24"/>
          <w:szCs w:val="24"/>
          <w:highlight w:val="none"/>
        </w:rPr>
        <w:t>质疑函应当包括下列内容（质疑函范本请登录中国政府采购网自行下载）：</w:t>
      </w:r>
    </w:p>
    <w:p w14:paraId="23CCB136">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1200" w:leftChars="0"/>
        <w:textAlignment w:val="auto"/>
        <w:outlineLvl w:val="9"/>
        <w:rPr>
          <w:rFonts w:cs="宋体"/>
          <w:color w:val="auto"/>
          <w:sz w:val="24"/>
          <w:szCs w:val="24"/>
          <w:highlight w:val="none"/>
        </w:rPr>
      </w:pPr>
      <w:r>
        <w:rPr>
          <w:rFonts w:hint="eastAsia"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cs="宋体"/>
          <w:color w:val="auto"/>
          <w:sz w:val="24"/>
          <w:szCs w:val="24"/>
          <w:highlight w:val="none"/>
        </w:rPr>
        <w:t>（1）供应商的姓名或者名称、地址、邮编、联系人及联系电话；</w:t>
      </w:r>
    </w:p>
    <w:p w14:paraId="195427F5">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1200" w:leftChars="0"/>
        <w:textAlignment w:val="auto"/>
        <w:outlineLvl w:val="9"/>
        <w:rPr>
          <w:rFonts w:cs="宋体"/>
          <w:color w:val="auto"/>
          <w:sz w:val="24"/>
          <w:szCs w:val="24"/>
          <w:highlight w:val="none"/>
        </w:rPr>
      </w:pPr>
      <w:r>
        <w:rPr>
          <w:rFonts w:hint="eastAsia" w:cs="宋体"/>
          <w:color w:val="auto"/>
          <w:sz w:val="24"/>
          <w:szCs w:val="24"/>
          <w:highlight w:val="none"/>
        </w:rPr>
        <w:t xml:space="preserve">   </w:t>
      </w:r>
      <w:r>
        <w:rPr>
          <w:rFonts w:hint="eastAsia" w:cs="宋体"/>
          <w:color w:val="auto"/>
          <w:sz w:val="24"/>
          <w:szCs w:val="24"/>
          <w:highlight w:val="none"/>
          <w:lang w:val="en-US" w:eastAsia="zh-CN"/>
        </w:rPr>
        <w:t xml:space="preserve">            </w:t>
      </w:r>
      <w:bookmarkStart w:id="144" w:name="_Toc11490"/>
      <w:r>
        <w:rPr>
          <w:rFonts w:hint="eastAsia" w:cs="宋体"/>
          <w:color w:val="auto"/>
          <w:sz w:val="24"/>
          <w:szCs w:val="24"/>
          <w:highlight w:val="none"/>
        </w:rPr>
        <w:t>（2）质疑项目的名称、编号；</w:t>
      </w:r>
      <w:bookmarkEnd w:id="144"/>
    </w:p>
    <w:p w14:paraId="1D47518C">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1200" w:leftChars="0"/>
        <w:textAlignment w:val="auto"/>
        <w:outlineLvl w:val="9"/>
        <w:rPr>
          <w:rFonts w:cs="宋体"/>
          <w:color w:val="auto"/>
          <w:sz w:val="24"/>
          <w:szCs w:val="24"/>
          <w:highlight w:val="none"/>
        </w:rPr>
      </w:pPr>
      <w:r>
        <w:rPr>
          <w:rFonts w:hint="eastAsia"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cs="宋体"/>
          <w:color w:val="auto"/>
          <w:sz w:val="24"/>
          <w:szCs w:val="24"/>
          <w:highlight w:val="none"/>
        </w:rPr>
        <w:t>（3）具体、明确的质疑事项和与质疑事项相关的请求；</w:t>
      </w:r>
    </w:p>
    <w:p w14:paraId="05F82568">
      <w:pPr>
        <w:pStyle w:val="102"/>
        <w:keepNext w:val="0"/>
        <w:keepLines w:val="0"/>
        <w:pageBreakBefore w:val="0"/>
        <w:widowControl w:val="0"/>
        <w:numPr>
          <w:ilvl w:val="0"/>
          <w:numId w:val="0"/>
        </w:numPr>
        <w:kinsoku/>
        <w:wordWrap/>
        <w:overflowPunct/>
        <w:topLinePunct w:val="0"/>
        <w:bidi w:val="0"/>
        <w:adjustRightInd w:val="0"/>
        <w:snapToGrid w:val="0"/>
        <w:spacing w:line="360" w:lineRule="auto"/>
        <w:ind w:left="-1200" w:leftChars="0"/>
        <w:textAlignment w:val="auto"/>
        <w:outlineLvl w:val="9"/>
        <w:rPr>
          <w:rFonts w:cs="宋体"/>
          <w:color w:val="auto"/>
          <w:sz w:val="24"/>
          <w:szCs w:val="24"/>
          <w:highlight w:val="none"/>
        </w:rPr>
      </w:pPr>
      <w:r>
        <w:rPr>
          <w:rFonts w:hint="eastAsia"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cs="宋体"/>
          <w:color w:val="auto"/>
          <w:sz w:val="24"/>
          <w:szCs w:val="24"/>
          <w:highlight w:val="none"/>
        </w:rPr>
        <w:t>（4）事实依据；</w:t>
      </w:r>
    </w:p>
    <w:p w14:paraId="08E9A0EA">
      <w:pPr>
        <w:pStyle w:val="10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0" w:leftChars="0"/>
        <w:textAlignment w:val="auto"/>
        <w:outlineLvl w:val="9"/>
        <w:rPr>
          <w:rFonts w:cs="宋体"/>
          <w:color w:val="auto"/>
          <w:sz w:val="24"/>
          <w:szCs w:val="24"/>
          <w:highlight w:val="none"/>
        </w:rPr>
      </w:pPr>
      <w:r>
        <w:rPr>
          <w:rFonts w:hint="eastAsia"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cs="宋体"/>
          <w:color w:val="auto"/>
          <w:sz w:val="24"/>
          <w:szCs w:val="24"/>
          <w:highlight w:val="none"/>
        </w:rPr>
        <w:t>（5）必要的法律依据；</w:t>
      </w:r>
    </w:p>
    <w:p w14:paraId="1FC5B03B">
      <w:pPr>
        <w:pStyle w:val="10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200" w:leftChars="0"/>
        <w:textAlignment w:val="auto"/>
        <w:outlineLvl w:val="9"/>
        <w:rPr>
          <w:rFonts w:cs="宋体"/>
          <w:color w:val="auto"/>
          <w:sz w:val="24"/>
          <w:szCs w:val="24"/>
          <w:highlight w:val="none"/>
        </w:rPr>
      </w:pPr>
      <w:r>
        <w:rPr>
          <w:rFonts w:hint="eastAsia"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cs="宋体"/>
          <w:color w:val="auto"/>
          <w:sz w:val="24"/>
          <w:szCs w:val="24"/>
          <w:highlight w:val="none"/>
        </w:rPr>
        <w:t xml:space="preserve"> （6）提出质疑的日期。</w:t>
      </w:r>
    </w:p>
    <w:p w14:paraId="77FFB291">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200" w:firstLine="240" w:firstLineChars="100"/>
        <w:textAlignment w:val="auto"/>
        <w:outlineLvl w:val="9"/>
        <w:rPr>
          <w:rFonts w:cs="宋体"/>
          <w:color w:val="auto"/>
          <w:sz w:val="24"/>
          <w:szCs w:val="24"/>
          <w:highlight w:val="none"/>
        </w:rPr>
      </w:pPr>
      <w:r>
        <w:rPr>
          <w:rFonts w:hint="eastAsia" w:cs="宋体"/>
          <w:color w:val="auto"/>
          <w:sz w:val="24"/>
          <w:szCs w:val="24"/>
          <w:highlight w:val="none"/>
        </w:rPr>
        <w:t>供应商为自然人的，应当由本人签字</w:t>
      </w:r>
      <w:r>
        <w:rPr>
          <w:rFonts w:hint="eastAsia" w:hAnsi="宋体"/>
          <w:color w:val="auto"/>
          <w:sz w:val="24"/>
          <w:szCs w:val="24"/>
          <w:highlight w:val="none"/>
          <w:lang w:eastAsia="zh-CN"/>
        </w:rPr>
        <w:t>或盖章</w:t>
      </w:r>
      <w:r>
        <w:rPr>
          <w:rFonts w:hint="eastAsia" w:cs="宋体"/>
          <w:color w:val="auto"/>
          <w:sz w:val="24"/>
          <w:szCs w:val="24"/>
          <w:highlight w:val="none"/>
        </w:rPr>
        <w:t>；供应商为法人或者其他组织的，应当由法定代表人、主要负责人，或者</w:t>
      </w:r>
      <w:r>
        <w:rPr>
          <w:rFonts w:hint="default" w:cs="宋体"/>
          <w:color w:val="auto"/>
          <w:sz w:val="24"/>
          <w:szCs w:val="24"/>
          <w:highlight w:val="none"/>
          <w:lang w:val="en"/>
        </w:rPr>
        <w:t>授权代表</w:t>
      </w:r>
      <w:r>
        <w:rPr>
          <w:rFonts w:hint="eastAsia" w:cs="宋体"/>
          <w:color w:val="auto"/>
          <w:sz w:val="24"/>
          <w:szCs w:val="24"/>
          <w:highlight w:val="none"/>
        </w:rPr>
        <w:t>签字或者盖章，并加盖公章。</w:t>
      </w:r>
    </w:p>
    <w:p w14:paraId="499CE478">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200"/>
        <w:textAlignment w:val="auto"/>
        <w:outlineLvl w:val="9"/>
        <w:rPr>
          <w:rFonts w:cs="宋体"/>
          <w:b/>
          <w:bCs/>
          <w:color w:val="auto"/>
          <w:sz w:val="24"/>
          <w:szCs w:val="24"/>
          <w:highlight w:val="none"/>
        </w:rPr>
      </w:pPr>
      <w:r>
        <w:rPr>
          <w:rFonts w:hint="eastAsia" w:cs="宋体"/>
          <w:b/>
          <w:bCs/>
          <w:color w:val="auto"/>
          <w:sz w:val="24"/>
          <w:szCs w:val="24"/>
          <w:highlight w:val="none"/>
        </w:rPr>
        <w:t>4</w:t>
      </w:r>
      <w:r>
        <w:rPr>
          <w:rFonts w:hint="eastAsia" w:cs="宋体"/>
          <w:b/>
          <w:bCs/>
          <w:color w:val="auto"/>
          <w:sz w:val="24"/>
          <w:szCs w:val="24"/>
          <w:highlight w:val="none"/>
          <w:lang w:val="en-US" w:eastAsia="zh-CN"/>
        </w:rPr>
        <w:t>7</w:t>
      </w:r>
      <w:r>
        <w:rPr>
          <w:rFonts w:hint="eastAsia" w:cs="宋体"/>
          <w:b/>
          <w:bCs/>
          <w:color w:val="auto"/>
          <w:sz w:val="24"/>
          <w:szCs w:val="24"/>
          <w:highlight w:val="none"/>
        </w:rPr>
        <w:t>.3对采购需求</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评分标准</w:t>
      </w:r>
      <w:r>
        <w:rPr>
          <w:rFonts w:hint="eastAsia" w:cs="宋体"/>
          <w:b/>
          <w:bCs/>
          <w:color w:val="auto"/>
          <w:sz w:val="24"/>
          <w:szCs w:val="24"/>
          <w:highlight w:val="none"/>
        </w:rPr>
        <w:t>的质疑，供应商直接向采购人提出，由采购人负责答复。</w:t>
      </w:r>
    </w:p>
    <w:p w14:paraId="5EC764F4">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outlineLvl w:val="9"/>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val="en-US" w:eastAsia="zh-CN"/>
        </w:rPr>
        <w:t>7</w:t>
      </w:r>
      <w:r>
        <w:rPr>
          <w:rFonts w:hint="eastAsia" w:cs="宋体"/>
          <w:color w:val="auto"/>
          <w:sz w:val="24"/>
          <w:szCs w:val="24"/>
          <w:highlight w:val="none"/>
        </w:rPr>
        <w:t>.4 根据《政府采购质疑和投诉办法》（财政部令第94号）第十条，投标人对采购文件、采购过程、中标或者成交结果的质疑必须在有效的质疑期内一次性提出针对同一采购程序环节的质疑，不接受二次质疑。</w:t>
      </w:r>
    </w:p>
    <w:p w14:paraId="1BDFB33C">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outlineLvl w:val="9"/>
        <w:rPr>
          <w:rFonts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lang w:val="en-US" w:eastAsia="zh-CN"/>
        </w:rPr>
        <w:t>7</w:t>
      </w:r>
      <w:r>
        <w:rPr>
          <w:rFonts w:hint="eastAsia" w:hAnsi="宋体" w:cs="宋体"/>
          <w:color w:val="auto"/>
          <w:sz w:val="24"/>
          <w:highlight w:val="none"/>
        </w:rPr>
        <w:t>.</w:t>
      </w:r>
      <w:r>
        <w:rPr>
          <w:rFonts w:hint="eastAsia" w:hAnsi="宋体" w:cs="宋体"/>
          <w:color w:val="auto"/>
          <w:sz w:val="24"/>
          <w:highlight w:val="none"/>
          <w:lang w:val="en-US" w:eastAsia="zh-CN"/>
        </w:rPr>
        <w:t>5</w:t>
      </w:r>
      <w:r>
        <w:rPr>
          <w:rFonts w:hint="eastAsia" w:hAnsi="宋体" w:cs="宋体"/>
          <w:color w:val="auto"/>
          <w:sz w:val="24"/>
          <w:highlight w:val="none"/>
        </w:rPr>
        <w:t>有下列情形之一的，属于无效质疑，</w:t>
      </w:r>
      <w:r>
        <w:rPr>
          <w:rFonts w:hint="eastAsia" w:hAnsi="宋体" w:cs="宋体"/>
          <w:color w:val="auto"/>
          <w:sz w:val="24"/>
          <w:highlight w:val="none"/>
          <w:lang w:val="en-US" w:eastAsia="zh-CN"/>
        </w:rPr>
        <w:t>陇南市</w:t>
      </w:r>
      <w:r>
        <w:rPr>
          <w:rFonts w:hint="eastAsia" w:hAnsi="宋体" w:cs="宋体"/>
          <w:color w:val="auto"/>
          <w:sz w:val="24"/>
          <w:highlight w:val="none"/>
        </w:rPr>
        <w:t>公共资源</w:t>
      </w:r>
      <w:r>
        <w:rPr>
          <w:rFonts w:hint="eastAsia" w:hAnsi="宋体" w:cs="宋体"/>
          <w:color w:val="auto"/>
          <w:sz w:val="24"/>
          <w:highlight w:val="none"/>
          <w:lang w:eastAsia="zh-CN"/>
        </w:rPr>
        <w:t>交易中心</w:t>
      </w:r>
      <w:r>
        <w:rPr>
          <w:rFonts w:hint="eastAsia" w:hAnsi="宋体" w:cs="宋体"/>
          <w:color w:val="auto"/>
          <w:sz w:val="24"/>
          <w:highlight w:val="none"/>
        </w:rPr>
        <w:t>可不予受理：</w:t>
      </w:r>
    </w:p>
    <w:p w14:paraId="3AFAED33">
      <w:pPr>
        <w:pStyle w:val="102"/>
        <w:keepNext w:val="0"/>
        <w:keepLines w:val="0"/>
        <w:pageBreakBefore w:val="0"/>
        <w:widowControl w:val="0"/>
        <w:numPr>
          <w:ilvl w:val="0"/>
          <w:numId w:val="0"/>
        </w:numPr>
        <w:tabs>
          <w:tab w:val="left" w:pos="1200"/>
        </w:tabs>
        <w:kinsoku/>
        <w:wordWrap/>
        <w:overflowPunct/>
        <w:topLinePunct w:val="0"/>
        <w:autoSpaceDE/>
        <w:autoSpaceDN/>
        <w:bidi w:val="0"/>
        <w:snapToGrid w:val="0"/>
        <w:spacing w:line="360" w:lineRule="auto"/>
        <w:ind w:firstLine="480" w:firstLineChars="200"/>
        <w:textAlignment w:val="auto"/>
        <w:outlineLvl w:val="9"/>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cs="宋体"/>
          <w:color w:val="auto"/>
          <w:sz w:val="24"/>
          <w:szCs w:val="24"/>
          <w:highlight w:val="none"/>
          <w:lang w:eastAsia="zh-CN"/>
        </w:rPr>
        <w:t>）</w:t>
      </w:r>
      <w:r>
        <w:rPr>
          <w:rFonts w:hint="eastAsia" w:cs="宋体"/>
          <w:color w:val="auto"/>
          <w:sz w:val="24"/>
          <w:szCs w:val="24"/>
          <w:highlight w:val="none"/>
        </w:rPr>
        <w:t>未在有效期限内提出质疑的；</w:t>
      </w:r>
    </w:p>
    <w:p w14:paraId="48D2D3A3">
      <w:pPr>
        <w:pStyle w:val="102"/>
        <w:keepNext w:val="0"/>
        <w:keepLines w:val="0"/>
        <w:pageBreakBefore w:val="0"/>
        <w:widowControl w:val="0"/>
        <w:numPr>
          <w:ilvl w:val="0"/>
          <w:numId w:val="0"/>
        </w:numPr>
        <w:tabs>
          <w:tab w:val="left" w:pos="1200"/>
        </w:tabs>
        <w:kinsoku/>
        <w:wordWrap/>
        <w:overflowPunct/>
        <w:topLinePunct w:val="0"/>
        <w:bidi w:val="0"/>
        <w:snapToGrid w:val="0"/>
        <w:spacing w:line="360" w:lineRule="auto"/>
        <w:ind w:left="-720" w:leftChars="0" w:firstLine="1200" w:firstLineChars="500"/>
        <w:textAlignment w:val="auto"/>
        <w:outlineLvl w:val="9"/>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cs="宋体"/>
          <w:color w:val="auto"/>
          <w:sz w:val="24"/>
          <w:szCs w:val="24"/>
          <w:highlight w:val="none"/>
        </w:rPr>
        <w:t>质疑未以书面形式提出，或质疑书内容不符合本须知要求的；</w:t>
      </w:r>
    </w:p>
    <w:p w14:paraId="09FA8B17">
      <w:pPr>
        <w:pStyle w:val="102"/>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firstLine="480" w:firstLineChars="200"/>
        <w:textAlignment w:val="auto"/>
        <w:outlineLvl w:val="9"/>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3</w:t>
      </w:r>
      <w:r>
        <w:rPr>
          <w:rFonts w:hint="eastAsia" w:cs="宋体"/>
          <w:color w:val="auto"/>
          <w:sz w:val="24"/>
          <w:szCs w:val="24"/>
          <w:highlight w:val="none"/>
          <w:lang w:eastAsia="zh-CN"/>
        </w:rPr>
        <w:t>）</w:t>
      </w:r>
      <w:r>
        <w:rPr>
          <w:rFonts w:hint="eastAsia" w:cs="宋体"/>
          <w:color w:val="auto"/>
          <w:sz w:val="24"/>
          <w:szCs w:val="24"/>
          <w:highlight w:val="none"/>
        </w:rPr>
        <w:t>质疑书没有法定代表人本人签章，或未提供法定代表人签章的特别授权，或未加盖单位公章的；</w:t>
      </w:r>
    </w:p>
    <w:p w14:paraId="5A2DB571">
      <w:pPr>
        <w:pStyle w:val="102"/>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firstLine="480" w:firstLineChars="200"/>
        <w:textAlignment w:val="auto"/>
        <w:outlineLvl w:val="9"/>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4</w:t>
      </w:r>
      <w:r>
        <w:rPr>
          <w:rFonts w:hint="eastAsia" w:cs="宋体"/>
          <w:color w:val="auto"/>
          <w:sz w:val="24"/>
          <w:szCs w:val="24"/>
          <w:highlight w:val="none"/>
          <w:lang w:eastAsia="zh-CN"/>
        </w:rPr>
        <w:t>）</w:t>
      </w:r>
      <w:r>
        <w:rPr>
          <w:rFonts w:hint="eastAsia" w:cs="宋体"/>
          <w:color w:val="auto"/>
          <w:sz w:val="24"/>
          <w:szCs w:val="24"/>
          <w:highlight w:val="none"/>
        </w:rPr>
        <w:t>对招标文件条款或技术参数有异议，而未在开标前通过澄清或修改程序提出的；</w:t>
      </w:r>
    </w:p>
    <w:p w14:paraId="560FBA90">
      <w:pPr>
        <w:pStyle w:val="102"/>
        <w:keepNext w:val="0"/>
        <w:keepLines w:val="0"/>
        <w:pageBreakBefore w:val="0"/>
        <w:widowControl w:val="0"/>
        <w:numPr>
          <w:ilvl w:val="0"/>
          <w:numId w:val="0"/>
        </w:numPr>
        <w:tabs>
          <w:tab w:val="left" w:pos="1200"/>
        </w:tabs>
        <w:kinsoku/>
        <w:wordWrap/>
        <w:overflowPunct/>
        <w:topLinePunct w:val="0"/>
        <w:bidi w:val="0"/>
        <w:snapToGrid w:val="0"/>
        <w:spacing w:line="360" w:lineRule="auto"/>
        <w:ind w:left="0" w:leftChars="0" w:firstLine="480" w:firstLineChars="200"/>
        <w:textAlignment w:val="auto"/>
        <w:outlineLvl w:val="9"/>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5</w:t>
      </w:r>
      <w:r>
        <w:rPr>
          <w:rFonts w:hint="eastAsia" w:cs="宋体"/>
          <w:color w:val="auto"/>
          <w:sz w:val="24"/>
          <w:szCs w:val="24"/>
          <w:highlight w:val="none"/>
          <w:lang w:eastAsia="zh-CN"/>
        </w:rPr>
        <w:t>）</w:t>
      </w:r>
      <w:r>
        <w:rPr>
          <w:rFonts w:hint="eastAsia" w:cs="宋体"/>
          <w:color w:val="auto"/>
          <w:sz w:val="24"/>
          <w:szCs w:val="24"/>
          <w:highlight w:val="none"/>
        </w:rPr>
        <w:t>未在有效的质疑期内一次性提出针对同一采购程序环节的质疑，进行二次或多次质疑的；</w:t>
      </w:r>
    </w:p>
    <w:p w14:paraId="01C4C3A2">
      <w:pPr>
        <w:pStyle w:val="102"/>
        <w:keepNext w:val="0"/>
        <w:keepLines w:val="0"/>
        <w:pageBreakBefore w:val="0"/>
        <w:widowControl w:val="0"/>
        <w:numPr>
          <w:ilvl w:val="0"/>
          <w:numId w:val="0"/>
        </w:numPr>
        <w:tabs>
          <w:tab w:val="left" w:pos="1200"/>
        </w:tabs>
        <w:kinsoku/>
        <w:wordWrap/>
        <w:overflowPunct/>
        <w:topLinePunct w:val="0"/>
        <w:bidi w:val="0"/>
        <w:snapToGrid w:val="0"/>
        <w:spacing w:line="360" w:lineRule="auto"/>
        <w:ind w:left="-720" w:leftChars="0" w:firstLine="1200" w:firstLineChars="500"/>
        <w:textAlignment w:val="auto"/>
        <w:outlineLvl w:val="9"/>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6</w:t>
      </w:r>
      <w:r>
        <w:rPr>
          <w:rFonts w:hint="eastAsia" w:cs="宋体"/>
          <w:color w:val="auto"/>
          <w:sz w:val="24"/>
          <w:szCs w:val="24"/>
          <w:highlight w:val="none"/>
          <w:lang w:eastAsia="zh-CN"/>
        </w:rPr>
        <w:t>）</w:t>
      </w:r>
      <w:r>
        <w:rPr>
          <w:rFonts w:hint="eastAsia" w:cs="宋体"/>
          <w:color w:val="auto"/>
          <w:sz w:val="24"/>
          <w:szCs w:val="24"/>
          <w:highlight w:val="none"/>
        </w:rPr>
        <w:t>质疑事项已经进入投诉或者诉讼程序的；</w:t>
      </w:r>
    </w:p>
    <w:p w14:paraId="441CB748">
      <w:pPr>
        <w:pStyle w:val="102"/>
        <w:keepNext w:val="0"/>
        <w:keepLines w:val="0"/>
        <w:pageBreakBefore w:val="0"/>
        <w:widowControl w:val="0"/>
        <w:numPr>
          <w:ilvl w:val="0"/>
          <w:numId w:val="0"/>
        </w:numPr>
        <w:tabs>
          <w:tab w:val="left" w:pos="1200"/>
        </w:tabs>
        <w:kinsoku/>
        <w:wordWrap/>
        <w:overflowPunct/>
        <w:topLinePunct w:val="0"/>
        <w:bidi w:val="0"/>
        <w:snapToGrid w:val="0"/>
        <w:spacing w:line="360" w:lineRule="auto"/>
        <w:ind w:left="-720" w:leftChars="0" w:firstLine="1200" w:firstLineChars="500"/>
        <w:textAlignment w:val="auto"/>
        <w:outlineLvl w:val="9"/>
        <w:rPr>
          <w:rFonts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cs="宋体"/>
          <w:color w:val="auto"/>
          <w:sz w:val="24"/>
          <w:szCs w:val="24"/>
          <w:highlight w:val="none"/>
        </w:rPr>
        <w:t>其它不符合受理条件的情形。</w:t>
      </w:r>
    </w:p>
    <w:p w14:paraId="653635F6">
      <w:pPr>
        <w:adjustRightInd w:val="0"/>
        <w:snapToGrid w:val="0"/>
        <w:spacing w:line="360" w:lineRule="auto"/>
        <w:jc w:val="center"/>
        <w:rPr>
          <w:rFonts w:hAnsi="宋体" w:cs="宋体"/>
          <w:b/>
          <w:bCs/>
          <w:color w:val="auto"/>
          <w:sz w:val="28"/>
          <w:szCs w:val="28"/>
          <w:highlight w:val="none"/>
        </w:rPr>
      </w:pPr>
    </w:p>
    <w:p w14:paraId="27620FCD">
      <w:pPr>
        <w:adjustRightInd w:val="0"/>
        <w:snapToGrid w:val="0"/>
        <w:spacing w:line="420" w:lineRule="exact"/>
        <w:jc w:val="center"/>
        <w:outlineLvl w:val="1"/>
        <w:rPr>
          <w:rFonts w:hAnsi="宋体" w:cs="宋体"/>
          <w:b/>
          <w:bCs/>
          <w:color w:val="auto"/>
          <w:sz w:val="28"/>
          <w:szCs w:val="28"/>
          <w:highlight w:val="none"/>
        </w:rPr>
      </w:pPr>
      <w:bookmarkStart w:id="145" w:name="_Toc21792"/>
      <w:bookmarkStart w:id="146" w:name="_Toc18467"/>
      <w:bookmarkStart w:id="147" w:name="_Toc31760"/>
      <w:r>
        <w:rPr>
          <w:rFonts w:hint="eastAsia" w:hAnsi="宋体" w:cs="宋体"/>
          <w:b/>
          <w:bCs/>
          <w:color w:val="auto"/>
          <w:sz w:val="28"/>
          <w:szCs w:val="28"/>
          <w:highlight w:val="none"/>
        </w:rPr>
        <w:t>九、其他规定</w:t>
      </w:r>
      <w:bookmarkEnd w:id="145"/>
      <w:bookmarkEnd w:id="146"/>
      <w:bookmarkEnd w:id="147"/>
    </w:p>
    <w:p w14:paraId="367E8A45">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150"/>
        <w:jc w:val="left"/>
        <w:textAlignment w:val="auto"/>
        <w:outlineLvl w:val="9"/>
        <w:rPr>
          <w:rFonts w:hAnsi="宋体" w:cs="宋体"/>
          <w:b/>
          <w:color w:val="auto"/>
          <w:sz w:val="24"/>
          <w:szCs w:val="24"/>
          <w:highlight w:val="none"/>
        </w:rPr>
      </w:pPr>
      <w:r>
        <w:rPr>
          <w:rFonts w:hint="eastAsia" w:hAnsi="宋体" w:cs="宋体"/>
          <w:b/>
          <w:color w:val="auto"/>
          <w:sz w:val="24"/>
          <w:szCs w:val="24"/>
          <w:highlight w:val="none"/>
        </w:rPr>
        <w:t>4</w:t>
      </w: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.采购代理服务费</w:t>
      </w:r>
    </w:p>
    <w:p w14:paraId="6A1CA0A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4</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.1</w:t>
      </w:r>
      <w:r>
        <w:rPr>
          <w:rFonts w:hint="eastAsia" w:hAnsi="宋体"/>
          <w:color w:val="auto"/>
          <w:sz w:val="24"/>
          <w:highlight w:val="none"/>
        </w:rPr>
        <w:t>集采机构不</w:t>
      </w:r>
      <w:r>
        <w:rPr>
          <w:rFonts w:hint="eastAsia" w:hAnsi="宋体"/>
          <w:color w:val="auto"/>
          <w:sz w:val="24"/>
          <w:szCs w:val="24"/>
          <w:highlight w:val="none"/>
        </w:rPr>
        <w:t>收取采购代理服务费</w:t>
      </w:r>
      <w:r>
        <w:rPr>
          <w:rFonts w:hint="eastAsia" w:hAnsi="宋体"/>
          <w:color w:val="auto"/>
          <w:sz w:val="24"/>
          <w:szCs w:val="24"/>
          <w:highlight w:val="none"/>
          <w:lang w:val="en-US" w:eastAsia="zh-CN"/>
        </w:rPr>
        <w:t>,</w:t>
      </w:r>
      <w:r>
        <w:rPr>
          <w:rFonts w:hint="eastAsia" w:hAnsi="宋体" w:cs="宋体"/>
          <w:color w:val="auto"/>
          <w:sz w:val="24"/>
          <w:szCs w:val="24"/>
          <w:highlight w:val="none"/>
          <w:lang w:val="en-US" w:eastAsia="zh-CN"/>
        </w:rPr>
        <w:t>请各投标人在报价时充分考虑</w:t>
      </w:r>
      <w:r>
        <w:rPr>
          <w:rFonts w:hint="eastAsia" w:hAnsi="宋体"/>
          <w:color w:val="auto"/>
          <w:sz w:val="24"/>
          <w:szCs w:val="24"/>
          <w:highlight w:val="none"/>
        </w:rPr>
        <w:t>。</w:t>
      </w:r>
    </w:p>
    <w:p w14:paraId="40A6511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 xml:space="preserve"> </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4</w:t>
      </w: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中标通知书</w:t>
      </w:r>
    </w:p>
    <w:p w14:paraId="5F5FF995">
      <w:pPr>
        <w:pStyle w:val="161"/>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s="宋体"/>
          <w:color w:val="auto"/>
          <w:sz w:val="24"/>
          <w:szCs w:val="24"/>
          <w:highlight w:val="none"/>
        </w:rPr>
      </w:pPr>
      <w:r>
        <w:rPr>
          <w:rFonts w:hint="eastAsia" w:hAnsi="宋体" w:cs="宋体"/>
          <w:color w:val="auto"/>
          <w:sz w:val="24"/>
          <w:szCs w:val="24"/>
          <w:highlight w:val="none"/>
        </w:rPr>
        <w:t xml:space="preserve">   4</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.1中标公告发布后</w:t>
      </w:r>
      <w:r>
        <w:rPr>
          <w:rFonts w:hint="eastAsia" w:hAnsi="宋体" w:cs="宋体"/>
          <w:color w:val="auto"/>
          <w:sz w:val="24"/>
          <w:szCs w:val="24"/>
          <w:highlight w:val="none"/>
          <w:lang w:eastAsia="zh-CN"/>
        </w:rPr>
        <w:t>，</w:t>
      </w:r>
      <w:r>
        <w:rPr>
          <w:rFonts w:hint="eastAsia" w:hAnsi="宋体" w:cs="宋体"/>
          <w:color w:val="auto"/>
          <w:sz w:val="24"/>
          <w:szCs w:val="24"/>
          <w:highlight w:val="none"/>
        </w:rPr>
        <w:t>中标人在</w:t>
      </w:r>
      <w:r>
        <w:rPr>
          <w:rFonts w:hint="eastAsia" w:hAnsi="宋体" w:cs="宋体"/>
          <w:color w:val="auto"/>
          <w:sz w:val="24"/>
          <w:szCs w:val="24"/>
          <w:highlight w:val="none"/>
          <w:lang w:val="en-US" w:eastAsia="zh-CN"/>
        </w:rPr>
        <w:t>陇南市</w:t>
      </w:r>
      <w:r>
        <w:rPr>
          <w:rFonts w:hint="eastAsia" w:hAnsi="宋体" w:cs="宋体"/>
          <w:color w:val="auto"/>
          <w:sz w:val="24"/>
          <w:szCs w:val="24"/>
          <w:highlight w:val="none"/>
        </w:rPr>
        <w:t>公共资源</w:t>
      </w:r>
      <w:r>
        <w:rPr>
          <w:rFonts w:hint="eastAsia" w:hAnsi="宋体" w:cs="宋体"/>
          <w:color w:val="auto"/>
          <w:sz w:val="24"/>
          <w:szCs w:val="24"/>
          <w:highlight w:val="none"/>
          <w:lang w:eastAsia="zh-CN"/>
        </w:rPr>
        <w:t>交易中心</w:t>
      </w:r>
      <w:r>
        <w:rPr>
          <w:rFonts w:hint="eastAsia" w:hAnsi="宋体" w:cs="宋体"/>
          <w:color w:val="auto"/>
          <w:sz w:val="24"/>
          <w:szCs w:val="24"/>
          <w:highlight w:val="none"/>
          <w:lang w:val="en-US" w:eastAsia="zh-CN"/>
        </w:rPr>
        <w:t>三</w:t>
      </w:r>
      <w:r>
        <w:rPr>
          <w:rFonts w:hint="eastAsia" w:hAnsi="宋体" w:cs="宋体"/>
          <w:color w:val="auto"/>
          <w:sz w:val="24"/>
          <w:szCs w:val="24"/>
          <w:highlight w:val="none"/>
        </w:rPr>
        <w:t>楼</w:t>
      </w:r>
      <w:r>
        <w:rPr>
          <w:rFonts w:hint="eastAsia" w:hAnsi="宋体" w:cs="宋体"/>
          <w:color w:val="auto"/>
          <w:sz w:val="24"/>
          <w:szCs w:val="24"/>
          <w:highlight w:val="none"/>
          <w:lang w:val="en-US" w:eastAsia="zh-CN"/>
        </w:rPr>
        <w:t>316室</w:t>
      </w:r>
      <w:r>
        <w:rPr>
          <w:rFonts w:hint="eastAsia" w:hAnsi="宋体" w:cs="宋体"/>
          <w:color w:val="auto"/>
          <w:sz w:val="24"/>
          <w:szCs w:val="24"/>
          <w:highlight w:val="none"/>
        </w:rPr>
        <w:t>政府采购处领取中标通知书，不另行通知。因逾期未领取造成的后果由中标人自行承担。</w:t>
      </w:r>
    </w:p>
    <w:p w14:paraId="5CAE2F3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50.其他</w:t>
      </w:r>
    </w:p>
    <w:p w14:paraId="49B5C39A">
      <w:pPr>
        <w:keepNext w:val="0"/>
        <w:keepLines w:val="0"/>
        <w:pageBreakBefore w:val="0"/>
        <w:widowControl w:val="0"/>
        <w:kinsoku/>
        <w:wordWrap/>
        <w:overflowPunct/>
        <w:topLinePunct w:val="0"/>
        <w:autoSpaceDE/>
        <w:autoSpaceDN/>
        <w:bidi w:val="0"/>
        <w:spacing w:line="360" w:lineRule="auto"/>
        <w:ind w:firstLine="480"/>
        <w:jc w:val="left"/>
        <w:textAlignment w:val="auto"/>
        <w:outlineLvl w:val="9"/>
        <w:rPr>
          <w:rFonts w:hAnsi="宋体" w:cs="宋体"/>
          <w:b/>
          <w:bCs/>
          <w:color w:val="auto"/>
          <w:sz w:val="24"/>
          <w:szCs w:val="24"/>
          <w:highlight w:val="none"/>
        </w:rPr>
      </w:pPr>
      <w:r>
        <w:rPr>
          <w:rFonts w:hint="eastAsia" w:hAnsi="宋体" w:cs="宋体"/>
          <w:b/>
          <w:bCs/>
          <w:color w:val="auto"/>
          <w:sz w:val="24"/>
          <w:szCs w:val="24"/>
          <w:highlight w:val="none"/>
          <w:lang w:val="en-US" w:eastAsia="zh-CN"/>
        </w:rPr>
        <w:t>50.1</w:t>
      </w:r>
      <w:r>
        <w:rPr>
          <w:rFonts w:hint="eastAsia" w:hAnsi="宋体" w:cs="宋体"/>
          <w:b/>
          <w:bCs/>
          <w:color w:val="auto"/>
          <w:sz w:val="24"/>
          <w:szCs w:val="24"/>
          <w:highlight w:val="none"/>
        </w:rPr>
        <w:t>投标人向集采机构咨询的有关项目事项，一切以法律法规的规定和集采机构书面答复为准，其他一切形式均为个人意见，不代表本单位的意见。</w:t>
      </w:r>
    </w:p>
    <w:bookmarkEnd w:id="27"/>
    <w:bookmarkEnd w:id="28"/>
    <w:p w14:paraId="4DDE5E34">
      <w:pPr>
        <w:pageBreakBefore/>
        <w:numPr>
          <w:ilvl w:val="0"/>
          <w:numId w:val="6"/>
        </w:numPr>
        <w:spacing w:line="360" w:lineRule="auto"/>
        <w:jc w:val="center"/>
        <w:outlineLvl w:val="0"/>
        <w:rPr>
          <w:rFonts w:hint="eastAsia" w:ascii="宋体" w:hAnsi="宋体" w:cs="宋体"/>
          <w:b/>
          <w:bCs/>
          <w:kern w:val="0"/>
          <w:sz w:val="36"/>
          <w:szCs w:val="36"/>
        </w:rPr>
      </w:pPr>
      <w:bookmarkStart w:id="148" w:name="_Toc28982"/>
      <w:bookmarkStart w:id="149" w:name="_Toc274816735"/>
      <w:r>
        <w:rPr>
          <w:rFonts w:hint="eastAsia" w:ascii="宋体" w:hAnsi="宋体" w:cs="宋体"/>
          <w:b/>
          <w:bCs/>
          <w:kern w:val="0"/>
          <w:sz w:val="36"/>
          <w:szCs w:val="36"/>
        </w:rPr>
        <w:t xml:space="preserve"> </w:t>
      </w:r>
      <w:bookmarkStart w:id="150" w:name="_Toc15524"/>
      <w:bookmarkStart w:id="151" w:name="_Toc6186"/>
      <w:bookmarkStart w:id="152" w:name="_Toc4516"/>
      <w:bookmarkStart w:id="153" w:name="_Toc18174"/>
      <w:bookmarkStart w:id="154" w:name="_Toc24676"/>
      <w:bookmarkStart w:id="155" w:name="_Toc25911"/>
      <w:bookmarkStart w:id="156" w:name="_Toc3611"/>
      <w:bookmarkStart w:id="157" w:name="_Toc29974"/>
      <w:r>
        <w:rPr>
          <w:rFonts w:hint="eastAsia" w:ascii="宋体" w:hAnsi="宋体" w:cs="宋体"/>
          <w:b/>
          <w:bCs/>
          <w:kern w:val="0"/>
          <w:sz w:val="36"/>
          <w:szCs w:val="36"/>
        </w:rPr>
        <w:t>采购需求及要求</w:t>
      </w:r>
      <w:bookmarkEnd w:id="148"/>
      <w:bookmarkEnd w:id="150"/>
      <w:bookmarkEnd w:id="151"/>
      <w:bookmarkEnd w:id="152"/>
      <w:bookmarkEnd w:id="153"/>
      <w:bookmarkEnd w:id="154"/>
      <w:bookmarkEnd w:id="155"/>
      <w:bookmarkEnd w:id="156"/>
      <w:bookmarkEnd w:id="157"/>
    </w:p>
    <w:bookmarkEnd w:id="149"/>
    <w:p w14:paraId="4D798D0B">
      <w:pPr>
        <w:pStyle w:val="2"/>
        <w:tabs>
          <w:tab w:val="right" w:leader="dot" w:pos="8400"/>
        </w:tabs>
        <w:rPr>
          <w:color w:val="auto"/>
          <w:highlight w:val="none"/>
        </w:rPr>
      </w:pPr>
      <w:bookmarkStart w:id="158" w:name="_Toc9692"/>
      <w:bookmarkStart w:id="159" w:name="_Toc24881"/>
      <w:bookmarkStart w:id="160" w:name="_Toc22989"/>
      <w:bookmarkStart w:id="161" w:name="_Toc16655"/>
      <w:bookmarkStart w:id="162" w:name="_Toc423078602"/>
      <w:bookmarkStart w:id="163" w:name="_Toc373314705"/>
    </w:p>
    <w:p w14:paraId="56344C15">
      <w:pPr>
        <w:spacing w:line="360" w:lineRule="auto"/>
        <w:jc w:val="center"/>
        <w:outlineLvl w:val="1"/>
        <w:rPr>
          <w:rFonts w:ascii="Times New Roman"/>
          <w:b/>
          <w:bCs/>
          <w:color w:val="auto"/>
          <w:sz w:val="32"/>
          <w:szCs w:val="40"/>
          <w:highlight w:val="none"/>
        </w:rPr>
      </w:pPr>
      <w:bookmarkStart w:id="164" w:name="_Toc8492"/>
      <w:bookmarkStart w:id="165" w:name="_Toc16494"/>
      <w:bookmarkStart w:id="166" w:name="_Toc2805"/>
      <w:r>
        <w:rPr>
          <w:rFonts w:ascii="Times New Roman"/>
          <w:b/>
          <w:bCs/>
          <w:color w:val="auto"/>
          <w:sz w:val="32"/>
          <w:szCs w:val="40"/>
          <w:highlight w:val="none"/>
        </w:rPr>
        <w:t>第</w:t>
      </w:r>
      <w:r>
        <w:rPr>
          <w:rFonts w:hint="eastAsia" w:ascii="Times New Roman"/>
          <w:b/>
          <w:bCs/>
          <w:color w:val="auto"/>
          <w:sz w:val="32"/>
          <w:szCs w:val="40"/>
          <w:highlight w:val="none"/>
        </w:rPr>
        <w:t>一</w:t>
      </w:r>
      <w:r>
        <w:rPr>
          <w:rFonts w:ascii="Times New Roman"/>
          <w:b/>
          <w:bCs/>
          <w:color w:val="auto"/>
          <w:sz w:val="32"/>
          <w:szCs w:val="40"/>
          <w:highlight w:val="none"/>
        </w:rPr>
        <w:t xml:space="preserve">部分  </w:t>
      </w:r>
      <w:r>
        <w:rPr>
          <w:rFonts w:hint="eastAsia" w:ascii="Times New Roman"/>
          <w:b/>
          <w:bCs/>
          <w:color w:val="auto"/>
          <w:sz w:val="32"/>
          <w:szCs w:val="40"/>
          <w:highlight w:val="none"/>
        </w:rPr>
        <w:t>商务要求</w:t>
      </w:r>
      <w:bookmarkEnd w:id="164"/>
      <w:bookmarkEnd w:id="165"/>
      <w:bookmarkEnd w:id="166"/>
    </w:p>
    <w:p w14:paraId="3CBB84EE">
      <w:pPr>
        <w:keepNext w:val="0"/>
        <w:keepLines w:val="0"/>
        <w:pageBreakBefore w:val="0"/>
        <w:widowControl w:val="0"/>
        <w:kinsoku/>
        <w:wordWrap/>
        <w:overflowPunct/>
        <w:topLinePunct w:val="0"/>
        <w:bidi w:val="0"/>
        <w:snapToGrid w:val="0"/>
        <w:spacing w:line="360" w:lineRule="auto"/>
        <w:textAlignment w:val="auto"/>
        <w:outlineLvl w:val="9"/>
        <w:rPr>
          <w:b/>
          <w:bCs/>
          <w:color w:val="auto"/>
          <w:sz w:val="24"/>
          <w:szCs w:val="22"/>
          <w:highlight w:val="none"/>
        </w:rPr>
      </w:pPr>
      <w:r>
        <w:rPr>
          <w:rFonts w:hint="eastAsia"/>
          <w:b/>
          <w:bCs/>
          <w:color w:val="auto"/>
          <w:sz w:val="24"/>
          <w:szCs w:val="22"/>
          <w:highlight w:val="none"/>
          <w:lang w:val="en-US" w:eastAsia="zh-CN"/>
        </w:rPr>
        <w:t xml:space="preserve"> </w:t>
      </w:r>
      <w:r>
        <w:rPr>
          <w:rFonts w:hint="eastAsia"/>
          <w:b/>
          <w:bCs/>
          <w:color w:val="auto"/>
          <w:sz w:val="24"/>
          <w:szCs w:val="22"/>
          <w:highlight w:val="none"/>
        </w:rPr>
        <w:t>一、报价要求</w:t>
      </w:r>
    </w:p>
    <w:p w14:paraId="220A61C5">
      <w:pPr>
        <w:keepNext w:val="0"/>
        <w:keepLines w:val="0"/>
        <w:pageBreakBefore w:val="0"/>
        <w:widowControl w:val="0"/>
        <w:kinsoku/>
        <w:wordWrap/>
        <w:overflowPunct/>
        <w:topLinePunct w:val="0"/>
        <w:bidi w:val="0"/>
        <w:snapToGrid w:val="0"/>
        <w:spacing w:line="360" w:lineRule="auto"/>
        <w:textAlignment w:val="auto"/>
        <w:outlineLvl w:val="9"/>
        <w:rPr>
          <w:color w:val="auto"/>
          <w:sz w:val="24"/>
          <w:szCs w:val="22"/>
          <w:highlight w:val="none"/>
        </w:rPr>
      </w:pPr>
      <w:r>
        <w:rPr>
          <w:rFonts w:hint="eastAsia"/>
          <w:color w:val="auto"/>
          <w:sz w:val="24"/>
          <w:szCs w:val="22"/>
          <w:highlight w:val="none"/>
        </w:rPr>
        <w:t xml:space="preserve">    1. 投标报价以人民币填列。</w:t>
      </w:r>
    </w:p>
    <w:p w14:paraId="5738EA63">
      <w:pPr>
        <w:keepNext w:val="0"/>
        <w:keepLines w:val="0"/>
        <w:pageBreakBefore w:val="0"/>
        <w:widowControl w:val="0"/>
        <w:numPr>
          <w:ilvl w:val="0"/>
          <w:numId w:val="7"/>
        </w:numPr>
        <w:kinsoku/>
        <w:wordWrap/>
        <w:overflowPunct/>
        <w:topLinePunct w:val="0"/>
        <w:bidi w:val="0"/>
        <w:snapToGrid w:val="0"/>
        <w:spacing w:line="360" w:lineRule="auto"/>
        <w:ind w:firstLine="480"/>
        <w:textAlignment w:val="auto"/>
        <w:outlineLvl w:val="9"/>
        <w:rPr>
          <w:rFonts w:hint="eastAsia"/>
          <w:color w:val="auto"/>
          <w:sz w:val="24"/>
          <w:szCs w:val="22"/>
          <w:highlight w:val="none"/>
        </w:rPr>
      </w:pPr>
      <w:r>
        <w:rPr>
          <w:rFonts w:hint="eastAsia"/>
          <w:color w:val="auto"/>
          <w:sz w:val="24"/>
          <w:szCs w:val="22"/>
          <w:highlight w:val="none"/>
        </w:rPr>
        <w:t>投标人的报价应包括：</w:t>
      </w:r>
      <w:r>
        <w:rPr>
          <w:rFonts w:hint="eastAsia"/>
          <w:color w:val="auto"/>
          <w:sz w:val="24"/>
          <w:szCs w:val="22"/>
          <w:highlight w:val="none"/>
          <w:lang w:eastAsia="zh-CN"/>
        </w:rPr>
        <w:t>包含所有内容的报价。</w:t>
      </w:r>
    </w:p>
    <w:p w14:paraId="6D11E2A7">
      <w:pPr>
        <w:keepNext w:val="0"/>
        <w:keepLines w:val="0"/>
        <w:pageBreakBefore w:val="0"/>
        <w:widowControl w:val="0"/>
        <w:kinsoku/>
        <w:wordWrap/>
        <w:overflowPunct/>
        <w:topLinePunct w:val="0"/>
        <w:bidi w:val="0"/>
        <w:snapToGrid w:val="0"/>
        <w:spacing w:line="360" w:lineRule="auto"/>
        <w:textAlignment w:val="auto"/>
        <w:outlineLvl w:val="9"/>
        <w:rPr>
          <w:b/>
          <w:bCs/>
          <w:color w:val="auto"/>
          <w:sz w:val="24"/>
          <w:highlight w:val="none"/>
        </w:rPr>
      </w:pPr>
      <w:r>
        <w:rPr>
          <w:rFonts w:hint="eastAsia"/>
          <w:b/>
          <w:bCs/>
          <w:color w:val="auto"/>
          <w:sz w:val="24"/>
          <w:szCs w:val="22"/>
          <w:highlight w:val="none"/>
          <w:lang w:val="en-US" w:eastAsia="zh-CN"/>
        </w:rPr>
        <w:t xml:space="preserve">  </w:t>
      </w:r>
      <w:r>
        <w:rPr>
          <w:rFonts w:hint="eastAsia"/>
          <w:b/>
          <w:bCs/>
          <w:color w:val="auto"/>
          <w:sz w:val="24"/>
          <w:highlight w:val="none"/>
          <w:lang w:eastAsia="zh-CN"/>
        </w:rPr>
        <w:t>二</w:t>
      </w:r>
      <w:r>
        <w:rPr>
          <w:rFonts w:hint="eastAsia"/>
          <w:b/>
          <w:bCs/>
          <w:color w:val="auto"/>
          <w:sz w:val="24"/>
          <w:highlight w:val="none"/>
        </w:rPr>
        <w:t>、</w:t>
      </w:r>
      <w:r>
        <w:rPr>
          <w:rFonts w:hint="eastAsia"/>
          <w:b/>
          <w:bCs/>
          <w:color w:val="auto"/>
          <w:sz w:val="24"/>
          <w:highlight w:val="none"/>
          <w:lang w:eastAsia="zh-CN"/>
        </w:rPr>
        <w:t>服务期限：合同签订后一年。</w:t>
      </w:r>
    </w:p>
    <w:p w14:paraId="377B82E8">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eastAsia"/>
          <w:color w:val="auto"/>
          <w:sz w:val="24"/>
          <w:szCs w:val="24"/>
          <w:highlight w:val="none"/>
          <w:lang w:val="en-US" w:eastAsia="zh-CN"/>
        </w:rPr>
      </w:pPr>
      <w:r>
        <w:rPr>
          <w:rFonts w:hint="eastAsia"/>
          <w:b/>
          <w:bCs/>
          <w:color w:val="auto"/>
          <w:sz w:val="24"/>
          <w:szCs w:val="24"/>
          <w:highlight w:val="none"/>
          <w:lang w:val="en-US" w:eastAsia="zh-CN"/>
        </w:rPr>
        <w:t xml:space="preserve">  </w:t>
      </w:r>
      <w:r>
        <w:rPr>
          <w:rFonts w:hint="eastAsia"/>
          <w:b/>
          <w:bCs/>
          <w:color w:val="auto"/>
          <w:sz w:val="24"/>
          <w:szCs w:val="24"/>
          <w:highlight w:val="none"/>
          <w:lang w:eastAsia="zh-CN"/>
        </w:rPr>
        <w:t>三</w:t>
      </w:r>
      <w:r>
        <w:rPr>
          <w:rFonts w:hint="eastAsia"/>
          <w:b/>
          <w:bCs/>
          <w:color w:val="auto"/>
          <w:sz w:val="24"/>
          <w:szCs w:val="24"/>
          <w:highlight w:val="none"/>
        </w:rPr>
        <w:t>、付款方式</w:t>
      </w:r>
      <w:r>
        <w:rPr>
          <w:rFonts w:hint="eastAsia"/>
          <w:color w:val="auto"/>
          <w:sz w:val="24"/>
          <w:highlight w:val="none"/>
          <w:lang w:eastAsia="zh-CN"/>
        </w:rPr>
        <w:t>：</w:t>
      </w:r>
      <w:r>
        <w:rPr>
          <w:rFonts w:hint="eastAsia"/>
          <w:color w:val="auto"/>
          <w:sz w:val="24"/>
          <w:szCs w:val="24"/>
          <w:highlight w:val="none"/>
          <w:lang w:val="en-US" w:eastAsia="zh-CN"/>
        </w:rPr>
        <w:t xml:space="preserve"> 按财政拨付进度及时支付。 </w:t>
      </w:r>
    </w:p>
    <w:p w14:paraId="58120494">
      <w:pPr>
        <w:keepNext w:val="0"/>
        <w:keepLines w:val="0"/>
        <w:pageBreakBefore w:val="0"/>
        <w:widowControl w:val="0"/>
        <w:kinsoku/>
        <w:wordWrap/>
        <w:overflowPunct/>
        <w:topLinePunct w:val="0"/>
        <w:autoSpaceDE w:val="0"/>
        <w:autoSpaceDN w:val="0"/>
        <w:bidi w:val="0"/>
        <w:adjustRightInd w:val="0"/>
        <w:spacing w:line="360" w:lineRule="auto"/>
        <w:textAlignment w:val="auto"/>
        <w:outlineLvl w:val="9"/>
        <w:rPr>
          <w:rFonts w:hint="default"/>
          <w:b/>
          <w:bCs/>
          <w:color w:val="auto"/>
          <w:sz w:val="24"/>
          <w:szCs w:val="24"/>
          <w:highlight w:val="none"/>
          <w:lang w:val="en-US" w:eastAsia="zh-CN"/>
        </w:rPr>
      </w:pPr>
      <w:r>
        <w:rPr>
          <w:rFonts w:hint="eastAsia"/>
          <w:b/>
          <w:bCs/>
          <w:color w:val="auto"/>
          <w:sz w:val="24"/>
          <w:szCs w:val="24"/>
          <w:highlight w:val="none"/>
          <w:lang w:val="en-US" w:eastAsia="zh-CN"/>
        </w:rPr>
        <w:t xml:space="preserve">  四、履约保证金：</w:t>
      </w:r>
      <w:r>
        <w:rPr>
          <w:rFonts w:hint="eastAsia"/>
          <w:b w:val="0"/>
          <w:bCs w:val="0"/>
          <w:color w:val="auto"/>
          <w:sz w:val="24"/>
          <w:szCs w:val="24"/>
          <w:highlight w:val="none"/>
          <w:lang w:val="en-US" w:eastAsia="zh-CN"/>
        </w:rPr>
        <w:t>不收取。</w:t>
      </w:r>
    </w:p>
    <w:p w14:paraId="4435302C">
      <w:pPr>
        <w:spacing w:line="360" w:lineRule="auto"/>
        <w:jc w:val="center"/>
        <w:outlineLvl w:val="9"/>
        <w:rPr>
          <w:rFonts w:ascii="Times New Roman"/>
          <w:color w:val="auto"/>
          <w:highlight w:val="none"/>
        </w:rPr>
      </w:pPr>
      <w:r>
        <w:rPr>
          <w:rFonts w:hint="eastAsia"/>
          <w:color w:val="auto"/>
          <w:sz w:val="24"/>
          <w:highlight w:val="none"/>
          <w:lang w:val="en-US" w:eastAsia="zh-CN"/>
        </w:rPr>
        <w:t xml:space="preserve">  </w:t>
      </w:r>
    </w:p>
    <w:p w14:paraId="3C2BA50D">
      <w:pPr>
        <w:spacing w:line="360" w:lineRule="auto"/>
        <w:jc w:val="center"/>
        <w:rPr>
          <w:rFonts w:hint="eastAsia" w:ascii="Times New Roman"/>
          <w:color w:val="auto"/>
          <w:highlight w:val="none"/>
          <w:lang w:eastAsia="zh-CN"/>
        </w:rPr>
      </w:pPr>
    </w:p>
    <w:p w14:paraId="2B6B47BA">
      <w:pPr>
        <w:pStyle w:val="2"/>
        <w:tabs>
          <w:tab w:val="right" w:leader="dot" w:pos="8400"/>
        </w:tabs>
        <w:rPr>
          <w:rFonts w:hint="eastAsia" w:ascii="Times New Roman"/>
          <w:color w:val="auto"/>
          <w:highlight w:val="none"/>
          <w:lang w:eastAsia="zh-CN"/>
        </w:rPr>
      </w:pPr>
    </w:p>
    <w:p w14:paraId="42FDD676">
      <w:pPr>
        <w:rPr>
          <w:rFonts w:hint="eastAsia" w:ascii="Times New Roman"/>
          <w:color w:val="auto"/>
          <w:highlight w:val="none"/>
          <w:lang w:eastAsia="zh-CN"/>
        </w:rPr>
      </w:pPr>
    </w:p>
    <w:p w14:paraId="1D9E4053">
      <w:pPr>
        <w:pStyle w:val="2"/>
        <w:tabs>
          <w:tab w:val="right" w:leader="dot" w:pos="8400"/>
        </w:tabs>
        <w:rPr>
          <w:rFonts w:hint="eastAsia" w:ascii="Times New Roman"/>
          <w:color w:val="auto"/>
          <w:highlight w:val="none"/>
          <w:lang w:eastAsia="zh-CN"/>
        </w:rPr>
      </w:pPr>
    </w:p>
    <w:p w14:paraId="4A8BE968">
      <w:pPr>
        <w:rPr>
          <w:rFonts w:hint="eastAsia" w:ascii="Times New Roman"/>
          <w:color w:val="auto"/>
          <w:highlight w:val="none"/>
          <w:lang w:eastAsia="zh-CN"/>
        </w:rPr>
      </w:pPr>
    </w:p>
    <w:p w14:paraId="5F31DB1A">
      <w:pPr>
        <w:pStyle w:val="2"/>
        <w:tabs>
          <w:tab w:val="right" w:leader="dot" w:pos="8400"/>
        </w:tabs>
        <w:rPr>
          <w:rFonts w:hint="eastAsia" w:ascii="Times New Roman"/>
          <w:color w:val="auto"/>
          <w:highlight w:val="none"/>
          <w:lang w:eastAsia="zh-CN"/>
        </w:rPr>
      </w:pPr>
    </w:p>
    <w:p w14:paraId="47CBBD0B">
      <w:pPr>
        <w:rPr>
          <w:rFonts w:hint="eastAsia" w:ascii="Times New Roman"/>
          <w:color w:val="auto"/>
          <w:highlight w:val="none"/>
          <w:lang w:eastAsia="zh-CN"/>
        </w:rPr>
      </w:pPr>
    </w:p>
    <w:p w14:paraId="64926A8F">
      <w:pPr>
        <w:pStyle w:val="2"/>
        <w:tabs>
          <w:tab w:val="right" w:leader="dot" w:pos="8400"/>
        </w:tabs>
        <w:rPr>
          <w:rFonts w:hint="eastAsia" w:ascii="Times New Roman"/>
          <w:color w:val="auto"/>
          <w:highlight w:val="none"/>
          <w:lang w:eastAsia="zh-CN"/>
        </w:rPr>
      </w:pPr>
    </w:p>
    <w:p w14:paraId="051E3C02">
      <w:pPr>
        <w:rPr>
          <w:rFonts w:hint="eastAsia" w:ascii="Times New Roman"/>
          <w:color w:val="auto"/>
          <w:highlight w:val="none"/>
          <w:lang w:eastAsia="zh-CN"/>
        </w:rPr>
      </w:pPr>
    </w:p>
    <w:p w14:paraId="4A902264">
      <w:pPr>
        <w:pStyle w:val="2"/>
        <w:tabs>
          <w:tab w:val="right" w:leader="dot" w:pos="8400"/>
        </w:tabs>
        <w:rPr>
          <w:rFonts w:hint="eastAsia" w:ascii="Times New Roman"/>
          <w:color w:val="auto"/>
          <w:highlight w:val="none"/>
          <w:lang w:eastAsia="zh-CN"/>
        </w:rPr>
      </w:pPr>
    </w:p>
    <w:p w14:paraId="6F0D26BA">
      <w:pPr>
        <w:rPr>
          <w:rFonts w:hint="eastAsia" w:ascii="Times New Roman"/>
          <w:color w:val="auto"/>
          <w:highlight w:val="none"/>
          <w:lang w:eastAsia="zh-CN"/>
        </w:rPr>
      </w:pPr>
    </w:p>
    <w:p w14:paraId="549D8816">
      <w:pPr>
        <w:pStyle w:val="2"/>
        <w:tabs>
          <w:tab w:val="right" w:leader="dot" w:pos="8400"/>
        </w:tabs>
        <w:rPr>
          <w:rFonts w:hint="eastAsia" w:ascii="Times New Roman"/>
          <w:color w:val="auto"/>
          <w:highlight w:val="none"/>
          <w:lang w:eastAsia="zh-CN"/>
        </w:rPr>
      </w:pPr>
    </w:p>
    <w:p w14:paraId="58517FC5">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hint="eastAsia" w:ascii="Times New Roman" w:hAnsi="Times New Roman" w:eastAsia="宋体" w:cs="Times New Roman"/>
          <w:b/>
          <w:bCs/>
          <w:color w:val="auto"/>
          <w:sz w:val="32"/>
          <w:szCs w:val="40"/>
          <w:highlight w:val="none"/>
          <w:lang w:val="en-US" w:eastAsia="zh-CN"/>
        </w:rPr>
      </w:pPr>
      <w:bookmarkStart w:id="167" w:name="_Toc21646"/>
      <w:bookmarkStart w:id="168" w:name="_Toc26483"/>
      <w:bookmarkStart w:id="169" w:name="_Toc15730"/>
      <w:r>
        <w:rPr>
          <w:rFonts w:hint="eastAsia" w:ascii="Times New Roman" w:hAnsi="Times New Roman" w:eastAsia="宋体" w:cs="Times New Roman"/>
          <w:b/>
          <w:bCs/>
          <w:color w:val="auto"/>
          <w:sz w:val="32"/>
          <w:szCs w:val="40"/>
          <w:highlight w:val="none"/>
          <w:lang w:eastAsia="zh-CN"/>
        </w:rPr>
        <w:t>第二部分</w:t>
      </w:r>
      <w:r>
        <w:rPr>
          <w:rFonts w:hint="eastAsia" w:ascii="Times New Roman" w:hAnsi="Times New Roman" w:eastAsia="宋体" w:cs="Times New Roman"/>
          <w:b/>
          <w:bCs/>
          <w:color w:val="auto"/>
          <w:sz w:val="32"/>
          <w:szCs w:val="40"/>
          <w:highlight w:val="none"/>
          <w:lang w:val="en-US" w:eastAsia="zh-CN"/>
        </w:rPr>
        <w:t xml:space="preserve"> 技术需求</w:t>
      </w:r>
      <w:bookmarkEnd w:id="167"/>
      <w:bookmarkEnd w:id="168"/>
      <w:bookmarkEnd w:id="169"/>
    </w:p>
    <w:p w14:paraId="670193EA">
      <w:pPr>
        <w:rPr>
          <w:rFonts w:hint="eastAsia"/>
          <w:color w:val="auto"/>
          <w:sz w:val="24"/>
          <w:szCs w:val="24"/>
          <w:highlight w:val="none"/>
        </w:rPr>
      </w:pPr>
    </w:p>
    <w:p w14:paraId="695A17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采购需求及要求</w:t>
      </w:r>
    </w:p>
    <w:p w14:paraId="388D2C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一、项目概况</w:t>
      </w:r>
    </w:p>
    <w:p w14:paraId="1B3C4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1.项目名称：陇南市政务服务中心政府采购综合窗口工作人员服务项目。</w:t>
      </w:r>
    </w:p>
    <w:p w14:paraId="3D6EA7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2.采购预算：73.0128万元。</w:t>
      </w:r>
    </w:p>
    <w:p w14:paraId="5E0785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3.最高限价：73.0128万元。</w:t>
      </w:r>
    </w:p>
    <w:p w14:paraId="74EBA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4.服务期：1年服务期。</w:t>
      </w:r>
    </w:p>
    <w:p w14:paraId="5C841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bookmarkStart w:id="170" w:name="_Toc23568"/>
      <w:bookmarkStart w:id="171" w:name="_Toc1602"/>
      <w:r>
        <w:rPr>
          <w:rFonts w:hint="eastAsia" w:ascii="仿宋_GB2312" w:hAnsi="仿宋_GB2312" w:eastAsia="仿宋_GB2312" w:cs="仿宋_GB2312"/>
          <w:color w:val="auto"/>
          <w:kern w:val="0"/>
          <w:sz w:val="32"/>
          <w:szCs w:val="32"/>
          <w:lang w:val="en-US" w:eastAsia="zh-CN" w:bidi="ar"/>
        </w:rPr>
        <w:t>5.分包情况</w:t>
      </w:r>
      <w:bookmarkEnd w:id="170"/>
      <w:bookmarkEnd w:id="171"/>
      <w:r>
        <w:rPr>
          <w:rFonts w:hint="eastAsia" w:ascii="仿宋_GB2312" w:hAnsi="仿宋_GB2312" w:eastAsia="仿宋_GB2312" w:cs="仿宋_GB2312"/>
          <w:color w:val="auto"/>
          <w:kern w:val="0"/>
          <w:sz w:val="32"/>
          <w:szCs w:val="32"/>
          <w:lang w:val="en-US" w:eastAsia="zh-CN" w:bidi="ar"/>
        </w:rPr>
        <w:t>：本项目不分包，采购一家政务服务劳务派遣服务商。</w:t>
      </w:r>
    </w:p>
    <w:p w14:paraId="32BE9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6.本项目外聘人员14名，</w:t>
      </w:r>
      <w:r>
        <w:rPr>
          <w:rFonts w:hint="eastAsia" w:ascii="仿宋_GB2312" w:hAnsi="仿宋_GB2312" w:eastAsia="仿宋_GB2312" w:cs="仿宋_GB2312"/>
          <w:sz w:val="32"/>
          <w:szCs w:val="32"/>
        </w:rPr>
        <w:t>承担政务服务中心的综合窗口咨询、接件受理、文件流转、统一出件等整体外包服务。</w:t>
      </w:r>
    </w:p>
    <w:p w14:paraId="349C4D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7.报价要求：采用固定价格采购，其价格不列为评审因素，供应商报价参照下表要求。</w:t>
      </w:r>
    </w:p>
    <w:tbl>
      <w:tblPr>
        <w:tblStyle w:val="46"/>
        <w:tblW w:w="8855" w:type="dxa"/>
        <w:tblInd w:w="159" w:type="dxa"/>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1"/>
        <w:gridCol w:w="2119"/>
        <w:gridCol w:w="2225"/>
        <w:gridCol w:w="1837"/>
        <w:gridCol w:w="1763"/>
      </w:tblGrid>
      <w:tr w14:paraId="4B4E3166">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855" w:type="dxa"/>
            <w:gridSpan w:val="5"/>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1BE1E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工资福利核算表</w:t>
            </w:r>
          </w:p>
        </w:tc>
      </w:tr>
      <w:tr w14:paraId="3D7C72C3">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25C0C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序号</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D1D4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名称</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70878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标准及要求</w:t>
            </w: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475E5A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14人合计</w:t>
            </w:r>
          </w:p>
          <w:p w14:paraId="4651D6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（年元）</w:t>
            </w: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21E62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备注</w:t>
            </w:r>
          </w:p>
        </w:tc>
      </w:tr>
      <w:tr w14:paraId="011D9C2F">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6"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64800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一</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77111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人员工资福利</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31D4B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7DE8E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4F4A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r>
      <w:tr w14:paraId="67A71792">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9761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9989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基本工资</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7C142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2800元/人年</w:t>
            </w: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F60F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470400</w:t>
            </w: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22F13FDE">
            <w:pPr>
              <w:bidi w:val="0"/>
              <w:jc w:val="left"/>
              <w:rPr>
                <w:rFonts w:hint="eastAsia" w:ascii="仿宋_GB2312" w:hAnsi="仿宋_GB2312" w:eastAsia="仿宋_GB2312" w:cs="仿宋_GB2312"/>
                <w:sz w:val="28"/>
                <w:szCs w:val="28"/>
              </w:rPr>
            </w:pPr>
          </w:p>
        </w:tc>
      </w:tr>
      <w:tr w14:paraId="4FB9454F">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17"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336A4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2</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99DD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日常绩效考核</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2BAF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200元/人月</w:t>
            </w: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30800B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33600</w:t>
            </w: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6AC8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按管理办法落实</w:t>
            </w:r>
          </w:p>
        </w:tc>
      </w:tr>
      <w:tr w14:paraId="58166970">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tblCellMar>
            <w:top w:w="0" w:type="dxa"/>
            <w:left w:w="0" w:type="dxa"/>
            <w:bottom w:w="0" w:type="dxa"/>
            <w:right w:w="0" w:type="dxa"/>
          </w:tblCellMar>
        </w:tblPrEx>
        <w:trPr>
          <w:trHeight w:val="968"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7493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3</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1CD55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工龄工资</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5B3D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50元/人月</w:t>
            </w: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2B467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8400</w:t>
            </w: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4BCA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第二年起，逐年累计</w:t>
            </w:r>
          </w:p>
        </w:tc>
      </w:tr>
      <w:tr w14:paraId="33AEC709">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04"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73541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4</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636C0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单位缴纳部分</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7D728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333333"/>
                <w:spacing w:val="0"/>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1286元/人月</w:t>
            </w: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07A03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216048</w:t>
            </w: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6C6D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五险一金</w:t>
            </w:r>
          </w:p>
        </w:tc>
      </w:tr>
      <w:tr w14:paraId="283E376D">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43"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1A85B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二</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8EE3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劳务派遣费</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7090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45207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1C2933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r>
      <w:tr w14:paraId="44AB0AB0">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06"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646E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4</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4D7F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劳务派遣费</w:t>
            </w: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3AD3F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60元/人月</w:t>
            </w: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C2D9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10080</w:t>
            </w: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F945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r>
      <w:tr w14:paraId="2164BE41">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76" w:hRule="atLeast"/>
        </w:trPr>
        <w:tc>
          <w:tcPr>
            <w:tcW w:w="911"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200F6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合计：</w:t>
            </w:r>
          </w:p>
        </w:tc>
        <w:tc>
          <w:tcPr>
            <w:tcW w:w="2119"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6F52D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c>
          <w:tcPr>
            <w:tcW w:w="2225"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40580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p>
        </w:tc>
        <w:tc>
          <w:tcPr>
            <w:tcW w:w="1837"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56D05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i w:val="0"/>
                <w:iCs w:val="0"/>
                <w:caps w:val="0"/>
                <w:color w:val="333333"/>
                <w:spacing w:val="0"/>
                <w:kern w:val="2"/>
                <w:sz w:val="24"/>
                <w:szCs w:val="24"/>
                <w:lang w:val="en-US" w:eastAsia="zh-CN" w:bidi="ar-SA"/>
              </w:rPr>
              <w:t>730128元/年</w:t>
            </w:r>
          </w:p>
        </w:tc>
        <w:tc>
          <w:tcPr>
            <w:tcW w:w="1763" w:type="dxa"/>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034D4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未计算工龄工资</w:t>
            </w:r>
          </w:p>
        </w:tc>
      </w:tr>
      <w:tr w14:paraId="1B4C4044">
        <w:tblPrEx>
          <w:tblBorders>
            <w:top w:val="single" w:color="303235" w:sz="6" w:space="0"/>
            <w:left w:val="single" w:color="303235" w:sz="6" w:space="0"/>
            <w:bottom w:val="single" w:color="303235" w:sz="6" w:space="0"/>
            <w:right w:val="single" w:color="30323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1" w:hRule="atLeast"/>
        </w:trPr>
        <w:tc>
          <w:tcPr>
            <w:tcW w:w="8855" w:type="dxa"/>
            <w:gridSpan w:val="5"/>
            <w:tcBorders>
              <w:top w:val="single" w:color="303235" w:sz="6" w:space="0"/>
              <w:left w:val="single" w:color="303235" w:sz="6" w:space="0"/>
              <w:bottom w:val="single" w:color="303235" w:sz="6" w:space="0"/>
              <w:right w:val="single" w:color="303235" w:sz="6" w:space="0"/>
            </w:tcBorders>
            <w:shd w:val="clear" w:color="auto" w:fill="auto"/>
            <w:tcMar>
              <w:top w:w="120" w:type="dxa"/>
              <w:left w:w="150" w:type="dxa"/>
              <w:bottom w:w="120" w:type="dxa"/>
              <w:right w:w="150" w:type="dxa"/>
            </w:tcMar>
            <w:vAlign w:val="center"/>
          </w:tcPr>
          <w:p w14:paraId="17B7E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i w:val="0"/>
                <w:iCs w:val="0"/>
                <w:caps w:val="0"/>
                <w:color w:val="333333"/>
                <w:spacing w:val="0"/>
                <w:kern w:val="0"/>
                <w:sz w:val="28"/>
                <w:szCs w:val="28"/>
                <w:lang w:val="en-US" w:eastAsia="zh-CN" w:bidi="ar"/>
              </w:rPr>
              <w:t>备注：五险一金基数变动后按变动执行。</w:t>
            </w:r>
          </w:p>
        </w:tc>
      </w:tr>
    </w:tbl>
    <w:p w14:paraId="7AF0EC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二、服务内容及要求</w:t>
      </w:r>
    </w:p>
    <w:p w14:paraId="2FA78B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（一）服务内容</w:t>
      </w:r>
    </w:p>
    <w:p w14:paraId="5A957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甘肃省人民政府关于加快推进政务服务标准化规范化便利化的实施意见》（甘政发〔2022〕35号）《甘肃省人民政府关于进一步优化政务服务提升行政效能推动“高效办成一件事”的实施意见》（甘政发〔2024〕20号）等有关文件政策要求，要求各市州政务大厅进行综合窗口改革，建立“前台受理、后台分类审批、统一窗口出件”的综合窗口工作模式，打造稳定高效、素质过硬的全科型服务队伍。陇南市政务服务中心实行政务服务综合窗口工作人员外包机制，着力推动“一网通办、一窗通办、一事联办、跨省通办”政务服务工作目标，全面优化陇南市营商环境，提升陇南市政务服务能力。招标人通过政府购买服务模式向投标人购买服务，投标人根据招标人要求派遣14名工作人员，完成劳务派遣任务。</w:t>
      </w:r>
    </w:p>
    <w:p w14:paraId="7422F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（二）服务要求</w:t>
      </w:r>
    </w:p>
    <w:p w14:paraId="74548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1.工作内容</w:t>
      </w:r>
    </w:p>
    <w:p w14:paraId="54D10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综合窗口服务人员：按照“前台综合受理、后台分类审批、统一窗口出件”的原则，围绕“一网通办”“一窗通办”“一事联办”“跨省通办”事项，以高效办成“一件事”为目标，通过设立政务服务综合窗口，进一步优化整合综合窗口业务，持续推动高频事项综窗办、联办事项专区办、跨省事项专窗办、特殊事项绿窗办。综合窗口专区为办事人提供收件、预审服务、纸质表格信息录入、纸质资料和线上文件打印后内部流转、为办事人提供事项审批的结果，以及发放和邮寄已经办理好的证件服务。</w:t>
      </w:r>
    </w:p>
    <w:p w14:paraId="2BD41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2.岗位职责</w:t>
      </w:r>
    </w:p>
    <w:p w14:paraId="1DAD3F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sz w:val="32"/>
          <w:szCs w:val="32"/>
        </w:rPr>
        <w:t>咨询引导服务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咨询服务，负责为企业群众提供政策法规、办事流程等咨询及办事引导服务，解答各类市场主体及群众有关许可事项、申请政务服务事项等方面问题，协助办事企业和群众进行咨询打（复）印、表格填写等，引导其到所需业务办理窗口等工作。</w:t>
      </w:r>
    </w:p>
    <w:p w14:paraId="39993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综合受理服务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科型”窗口人员实现进厅事项“一窗受理”，按照收件（受理）标准和步骤进行收件（受理）服务，方便群众企业办事。日常管理过程中严格落实“办事公开、限时办结、一次告知、首问负责、责任追究”原则。</w:t>
      </w:r>
    </w:p>
    <w:p w14:paraId="05863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帮办导办服务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提供帮办代办、指引帮扶、邮寄代发等多场景服务；引导、协助办事群众通过自助设备办理相关政务服务业务，如业务办理、咨询解答、材料初审，填表指导、打印复印、收发文件、修改文稿等。</w:t>
      </w:r>
    </w:p>
    <w:p w14:paraId="60A298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材料流转服务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提升政务服务效能，不断优化内部流程，设置内部流转岗位，由专人进行窗口与后台的对接工作，负责综合窗口与业务部门受理材料的整理、内部交接、登记归档等工作。不断提升窗口接件速度，高效办结业务的同时，减少大厅人员聚集。通过前台综合窗口收件，后台按照“预审、流转”路径将材料进行流转审批。</w:t>
      </w:r>
    </w:p>
    <w:p w14:paraId="11E0E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统一出件服务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出件窗口主要负责提供：业务办理批准文件（含即办件和非即办件）的送达服务。</w:t>
      </w:r>
    </w:p>
    <w:p w14:paraId="6F7DA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窗口延时服务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按需合理安排窗口人员提供延时服务，并保证规范的运营秩序。</w:t>
      </w:r>
    </w:p>
    <w:p w14:paraId="1D96A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提供事项标准核实服务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对政务服务进驻事项进行业务开办事项标准核实确认服务，确保业务事项要素准确，受理审批标准统一，从而支撑综合窗口规范受理。</w:t>
      </w:r>
    </w:p>
    <w:p w14:paraId="042E07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3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宋体" w:hAnsi="宋体" w:eastAsia="宋体" w:cs="宋体"/>
          <w:color w:val="auto"/>
          <w:sz w:val="21"/>
          <w:szCs w:val="21"/>
          <w:lang w:val="en-US" w:eastAsia="zh-CN"/>
        </w:rPr>
        <w:t>★</w:t>
      </w:r>
      <w:r>
        <w:rPr>
          <w:rFonts w:hint="eastAsia" w:ascii="仿宋_GB2312" w:hAnsi="仿宋_GB2312" w:eastAsia="仿宋_GB2312" w:cs="仿宋_GB2312"/>
          <w:color w:val="auto"/>
          <w:kern w:val="0"/>
          <w:sz w:val="32"/>
          <w:szCs w:val="32"/>
          <w:lang w:val="en-US" w:eastAsia="zh-CN" w:bidi="ar"/>
        </w:rPr>
        <w:t>3.素质要求</w:t>
      </w:r>
    </w:p>
    <w:p w14:paraId="3213238C">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3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color w:val="auto"/>
          <w:sz w:val="21"/>
          <w:szCs w:val="21"/>
          <w:lang w:val="en-US" w:eastAsia="zh-CN"/>
        </w:rPr>
        <w:t>★</w:t>
      </w:r>
      <w:r>
        <w:rPr>
          <w:rFonts w:hint="eastAsia" w:ascii="仿宋_GB2312" w:hAnsi="仿宋_GB2312" w:eastAsia="仿宋_GB2312" w:cs="仿宋_GB2312"/>
          <w:sz w:val="32"/>
          <w:szCs w:val="32"/>
          <w:lang w:val="en-US" w:eastAsia="zh-CN"/>
        </w:rPr>
        <w:t>（1）拥护中华人民共和国宪法，拥护中国共产党领导和社会主义制度，具有良好的政治素质和道德品行，有较强的责任心和服务精神。</w:t>
      </w:r>
    </w:p>
    <w:p w14:paraId="62BD2EAF">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3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color w:val="auto"/>
          <w:sz w:val="21"/>
          <w:szCs w:val="21"/>
          <w:lang w:val="en-US" w:eastAsia="zh-CN"/>
        </w:rPr>
        <w:t>★</w:t>
      </w:r>
      <w:r>
        <w:rPr>
          <w:rFonts w:hint="eastAsia" w:ascii="仿宋_GB2312" w:hAnsi="仿宋_GB2312" w:eastAsia="仿宋_GB2312" w:cs="仿宋_GB2312"/>
          <w:sz w:val="32"/>
          <w:szCs w:val="32"/>
          <w:lang w:val="en-US" w:eastAsia="zh-CN"/>
        </w:rPr>
        <w:t>（2）陇南市户籍。年龄18周岁（2006年10月21日以前出生）至30周岁（1994年10月22日以后出生），取得行政办事员职业技能等级证书或有政务服务工作经历人员年龄可放宽至32周岁（1992年10月22日以后出生）。</w:t>
      </w:r>
    </w:p>
    <w:p w14:paraId="5E1BDA80">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3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color w:val="auto"/>
          <w:sz w:val="21"/>
          <w:szCs w:val="21"/>
          <w:lang w:val="en-US" w:eastAsia="zh-CN"/>
        </w:rPr>
        <w:t>★</w:t>
      </w:r>
      <w:r>
        <w:rPr>
          <w:rFonts w:hint="eastAsia" w:ascii="仿宋_GB2312" w:hAnsi="仿宋_GB2312" w:eastAsia="仿宋_GB2312" w:cs="仿宋_GB2312"/>
          <w:sz w:val="32"/>
          <w:szCs w:val="32"/>
          <w:lang w:val="en-US" w:eastAsia="zh-CN"/>
        </w:rPr>
        <w:t>（3）大学本科及以上学历（需提供“学信网”学历查询结果），专业不限。符合以下专业条件的，同等条件下优先聘用：计算机类、大数据类、公共管理、播音与主持艺术等专业。</w:t>
      </w:r>
    </w:p>
    <w:p w14:paraId="7839981A">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300"/>
        <w:jc w:val="both"/>
        <w:textAlignment w:val="auto"/>
        <w:rPr>
          <w:rFonts w:hint="eastAsia" w:ascii="仿宋_GB2312" w:hAnsi="仿宋_GB2312" w:eastAsia="仿宋_GB2312" w:cs="仿宋_GB2312"/>
          <w:sz w:val="32"/>
          <w:szCs w:val="32"/>
          <w:lang w:val="en-US" w:eastAsia="zh-CN"/>
        </w:rPr>
      </w:pPr>
      <w:r>
        <w:rPr>
          <w:rFonts w:hint="eastAsia" w:ascii="宋体" w:hAnsi="宋体" w:eastAsia="宋体" w:cs="宋体"/>
          <w:color w:val="auto"/>
          <w:sz w:val="21"/>
          <w:szCs w:val="21"/>
          <w:lang w:val="en-US" w:eastAsia="zh-CN"/>
        </w:rPr>
        <w:t>★</w:t>
      </w:r>
      <w:r>
        <w:rPr>
          <w:rFonts w:hint="eastAsia" w:ascii="仿宋_GB2312" w:hAnsi="仿宋_GB2312" w:eastAsia="仿宋_GB2312" w:cs="仿宋_GB2312"/>
          <w:sz w:val="32"/>
          <w:szCs w:val="32"/>
          <w:lang w:val="en-US" w:eastAsia="zh-CN"/>
        </w:rPr>
        <w:t>（4）为适应公共服务窗口工作需要，要求应聘人员普通话标准，表达能力强，形象气质佳；身体健康，体形端正，男性身高168cm及以上，女性158cm及以上；能够熟练运用办公软件，熟练操作办公自动化设备。</w:t>
      </w:r>
    </w:p>
    <w:p w14:paraId="2D23F5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4.人员招聘流程和要求</w:t>
      </w:r>
    </w:p>
    <w:p w14:paraId="762E3A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240" w:lineRule="auto"/>
        <w:ind w:left="0" w:leftChars="0" w:right="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（1）招标人根据自身的用人需要将需要招聘的岗位，人数告知投标人，投标人收到通知后开始组织招聘工作。</w:t>
      </w:r>
    </w:p>
    <w:p w14:paraId="6BADB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（2）由投标人进行工作人员招聘工作；</w:t>
      </w:r>
    </w:p>
    <w:p w14:paraId="683DB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（3）投标人对工作人员进行入职前培训；</w:t>
      </w:r>
    </w:p>
    <w:p w14:paraId="37D5F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240" w:lineRule="auto"/>
        <w:ind w:left="0" w:leftChars="0" w:right="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（4）投标人提供的服务人员，经由招标人进行岗前验收考核，考评合格后方予以使用，若达不到招标人要求的，招标人有权要求投标人进行重新筛选服务人员；</w:t>
      </w:r>
    </w:p>
    <w:p w14:paraId="75ACA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240" w:lineRule="auto"/>
        <w:ind w:left="0" w:leftChars="0" w:right="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（5）投标人应按照招标人要求数量提供合格人员上岗，因个人原因无法正常上班，投标人须保证到岗总人数不变。</w:t>
      </w:r>
    </w:p>
    <w:p w14:paraId="6E8C1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240" w:lineRule="auto"/>
        <w:ind w:left="0" w:leftChars="0" w:right="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（6）服务人员报道后，招标人安排工作内容给服务人员。</w:t>
      </w:r>
    </w:p>
    <w:p w14:paraId="171C3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240" w:lineRule="auto"/>
        <w:ind w:left="0" w:leftChars="0" w:right="0"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（7）对违纪违规的造成不良影响的员工招标人可以给予退回。</w:t>
      </w:r>
    </w:p>
    <w:p w14:paraId="3DE13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（8）招标人认为投标人提供的服务在服务人员数量、业务水平、专业配置等方面不能满足本项目实际工作需要时，有权要求投标人及时调配或增加符合资格要求的服务人员。</w:t>
      </w:r>
    </w:p>
    <w:p w14:paraId="760A73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三、权利和义务</w:t>
      </w:r>
    </w:p>
    <w:p w14:paraId="1D29C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（一）招标人权利和义务</w:t>
      </w:r>
    </w:p>
    <w:p w14:paraId="5452C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1.招标人应向投标人服务人员说明必要的工作流程和工作规范。</w:t>
      </w:r>
    </w:p>
    <w:p w14:paraId="4AE9E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2.招标人应明确投标人服务人员的工作岗位、工作任务和工作要求。</w:t>
      </w:r>
    </w:p>
    <w:p w14:paraId="08EFF0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3.招标人应为投标人服务人员提供符合要求的工作场所和各项安全生产条件。招标人应尊重投标人服务人员的民族习惯和宗教信仰，不因民族和性别不同歧视投标人服务人员。</w:t>
      </w:r>
    </w:p>
    <w:p w14:paraId="3DB95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4.投标人服务人员有下列行为的，招标人有权要求投标人立即更换：</w:t>
      </w:r>
    </w:p>
    <w:p w14:paraId="67860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（1）投标人服务人员违反操作规程，造成所负责的工作不能正常运行，或不能保证工作质量，给招标人造成严重损失的；</w:t>
      </w:r>
    </w:p>
    <w:p w14:paraId="30118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（2）投标人服务人员严重违反招标人的规章制度、岗位职责和劳动纪律的；</w:t>
      </w:r>
    </w:p>
    <w:p w14:paraId="563F5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5.招标人应按照合同规定的标准和支付方式向投标人支付服务费用。</w:t>
      </w:r>
    </w:p>
    <w:p w14:paraId="4CE5D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6.招标人应对知悉的投标人有关信息、数据和资料（包括但不仅限于技术、财务、销售方面的信息、数据和资料）及其他信息负有严格保密的责任。</w:t>
      </w:r>
    </w:p>
    <w:p w14:paraId="2B134A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7.招标人有权对投标人工作情况进行监督、检查和提出合理建议。</w:t>
      </w:r>
    </w:p>
    <w:p w14:paraId="50262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8.当投标人无法达到招标人的要求时，招标人有权单方终止服务合同，终止通知书送达投标人时，服务合同终止，且招标人不承担任何责任。</w:t>
      </w:r>
    </w:p>
    <w:p w14:paraId="40D2CD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（二）投标人权利和义务</w:t>
      </w:r>
    </w:p>
    <w:p w14:paraId="702302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1.投标人应根据招标人要求提供劳务服务。</w:t>
      </w:r>
    </w:p>
    <w:p w14:paraId="550258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2.投标人应按照招标人要求负责人员管理，针对本项目成立专门的管理小组，负责与招标人对接与本项目相关的工作。</w:t>
      </w:r>
    </w:p>
    <w:p w14:paraId="51084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3.投标人负责与服务人员签订劳动合同，确立劳动关系及辞退员工及处理劳务纠纷事宜服务，严格遵守《中华人民共和国劳动法》《中华人民共和国劳动合同法》等劳动管理的法律、法规，规范劳动用工管理。</w:t>
      </w:r>
    </w:p>
    <w:p w14:paraId="082EC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4.投标人负责服务人员的薪酬管理（个税代扣代缴）、社保办理（含养老、医疗、工伤、生育、失业、公积金等），并负责工伤、工亡等事故的善后处理及赔偿等全部事宜。</w:t>
      </w:r>
    </w:p>
    <w:p w14:paraId="6DAF7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5.投标人负责服务人员的档案管理、党团组织关系管理、业务素质培训管理等。</w:t>
      </w:r>
    </w:p>
    <w:p w14:paraId="2281EA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6.投标人须按照招标人的要求及相应的管理规章制度（包括但不限于工作时间、工作要求、工作完成标准等）予以规范本项目服务人员行为。</w:t>
      </w:r>
    </w:p>
    <w:p w14:paraId="14A29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7.投标人根据招标人的要求，派驻符合招标人要求的专业服务人员到招标人指定地点提供政务服务。</w:t>
      </w:r>
    </w:p>
    <w:p w14:paraId="041C2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8.</w:t>
      </w:r>
      <w:r>
        <w:rPr>
          <w:rFonts w:hint="eastAsia" w:ascii="仿宋_GB2312" w:hAnsi="仿宋_GB2312" w:eastAsia="仿宋_GB2312" w:cs="仿宋_GB2312"/>
          <w:color w:val="auto"/>
          <w:kern w:val="0"/>
          <w:sz w:val="32"/>
          <w:szCs w:val="32"/>
          <w:highlight w:val="none"/>
          <w:lang w:val="en-US" w:eastAsia="zh-CN" w:bidi="ar"/>
        </w:rPr>
        <w:t>投标人根据招标人反馈的绩效考核情况，发放工资及福利后，报招标人财务部门备案。</w:t>
      </w:r>
    </w:p>
    <w:p w14:paraId="311E0A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kern w:val="0"/>
          <w:sz w:val="32"/>
          <w:szCs w:val="32"/>
          <w:lang w:val="en-US" w:eastAsia="zh-CN" w:bidi="ar"/>
        </w:rPr>
        <w:t>9.投标人负责提供相关劳动、人事方面的一般性政策咨询，解决招标人劳动人事等方面遇到的问题。</w:t>
      </w:r>
    </w:p>
    <w:p w14:paraId="1A17549F">
      <w:pPr>
        <w:pStyle w:val="2"/>
        <w:widowControl w:val="0"/>
        <w:rPr>
          <w:rFonts w:hint="default" w:eastAsia="宋体"/>
          <w:kern w:val="2"/>
          <w:lang w:val="en-US" w:eastAsia="zh-CN" w:bidi="ar-SA"/>
        </w:rPr>
      </w:pPr>
    </w:p>
    <w:p w14:paraId="3935939C">
      <w:pPr>
        <w:pStyle w:val="2"/>
        <w:tabs>
          <w:tab w:val="right" w:leader="dot" w:pos="8400"/>
        </w:tabs>
        <w:rPr>
          <w:rFonts w:hint="eastAsia"/>
          <w:color w:val="auto"/>
          <w:sz w:val="24"/>
          <w:szCs w:val="24"/>
          <w:highlight w:val="none"/>
        </w:rPr>
      </w:pPr>
    </w:p>
    <w:p w14:paraId="21217828">
      <w:pPr>
        <w:rPr>
          <w:rFonts w:hint="eastAsia"/>
          <w:color w:val="auto"/>
          <w:highlight w:val="none"/>
        </w:rPr>
      </w:pPr>
    </w:p>
    <w:p w14:paraId="18991AC4">
      <w:pPr>
        <w:bidi w:val="0"/>
        <w:ind w:firstLine="358" w:firstLineChars="0"/>
        <w:jc w:val="left"/>
        <w:rPr>
          <w:rFonts w:hint="default"/>
          <w:lang w:val="en-US" w:eastAsia="zh-CN"/>
        </w:rPr>
      </w:pPr>
    </w:p>
    <w:p w14:paraId="2AA8A77A">
      <w:pPr>
        <w:rPr>
          <w:rFonts w:hint="eastAsia"/>
          <w:color w:val="auto"/>
          <w:sz w:val="24"/>
          <w:szCs w:val="24"/>
          <w:highlight w:val="none"/>
        </w:rPr>
      </w:pPr>
    </w:p>
    <w:p w14:paraId="22708F7C">
      <w:pPr>
        <w:pStyle w:val="2"/>
        <w:tabs>
          <w:tab w:val="right" w:leader="dot" w:pos="8400"/>
        </w:tabs>
        <w:rPr>
          <w:rFonts w:hint="eastAsia"/>
          <w:color w:val="auto"/>
          <w:sz w:val="24"/>
          <w:szCs w:val="24"/>
          <w:highlight w:val="none"/>
        </w:rPr>
      </w:pPr>
    </w:p>
    <w:p w14:paraId="06393DFA">
      <w:pPr>
        <w:rPr>
          <w:rFonts w:hint="eastAsia"/>
          <w:color w:val="auto"/>
          <w:highlight w:val="none"/>
        </w:rPr>
      </w:pPr>
    </w:p>
    <w:p w14:paraId="752E8755">
      <w:pPr>
        <w:bidi w:val="0"/>
        <w:ind w:firstLine="358" w:firstLineChars="0"/>
        <w:jc w:val="left"/>
        <w:rPr>
          <w:rFonts w:hint="default"/>
          <w:lang w:val="en-US" w:eastAsia="zh-CN"/>
        </w:rPr>
      </w:pPr>
    </w:p>
    <w:p w14:paraId="7D6B01BD">
      <w:pPr>
        <w:pageBreakBefore/>
        <w:numPr>
          <w:ilvl w:val="0"/>
          <w:numId w:val="6"/>
        </w:numPr>
        <w:spacing w:line="360" w:lineRule="auto"/>
        <w:jc w:val="center"/>
        <w:outlineLvl w:val="0"/>
        <w:rPr>
          <w:rFonts w:hint="default" w:ascii="宋体" w:hAnsi="宋体" w:cs="宋体"/>
          <w:b/>
          <w:bCs/>
          <w:kern w:val="0"/>
          <w:sz w:val="36"/>
          <w:szCs w:val="36"/>
          <w:lang w:val="en-US"/>
        </w:rPr>
      </w:pPr>
      <w:bookmarkStart w:id="172" w:name="_Toc7106"/>
      <w:bookmarkStart w:id="173" w:name="_Toc16598"/>
      <w:bookmarkStart w:id="174" w:name="_Toc10972"/>
      <w:bookmarkStart w:id="175" w:name="_Toc31785"/>
      <w:bookmarkStart w:id="176" w:name="_Toc4712"/>
      <w:r>
        <w:rPr>
          <w:rFonts w:hint="eastAsia" w:ascii="宋体" w:hAnsi="宋体" w:cs="宋体"/>
          <w:b/>
          <w:bCs/>
          <w:kern w:val="0"/>
          <w:sz w:val="36"/>
          <w:szCs w:val="36"/>
        </w:rPr>
        <w:t>评标</w:t>
      </w:r>
      <w:bookmarkEnd w:id="158"/>
      <w:bookmarkEnd w:id="159"/>
      <w:bookmarkEnd w:id="160"/>
      <w:bookmarkEnd w:id="161"/>
      <w:r>
        <w:rPr>
          <w:rFonts w:hint="eastAsia" w:ascii="宋体" w:hAnsi="宋体" w:cs="宋体"/>
          <w:b/>
          <w:bCs/>
          <w:kern w:val="0"/>
          <w:sz w:val="36"/>
          <w:szCs w:val="36"/>
          <w:lang w:val="en-US" w:eastAsia="zh-CN"/>
        </w:rPr>
        <w:t>办法</w:t>
      </w:r>
      <w:bookmarkEnd w:id="172"/>
      <w:bookmarkEnd w:id="173"/>
      <w:bookmarkEnd w:id="174"/>
      <w:bookmarkEnd w:id="175"/>
      <w:bookmarkEnd w:id="176"/>
    </w:p>
    <w:p w14:paraId="06C50BA6">
      <w:pPr>
        <w:spacing w:before="0" w:beforeLines="0" w:after="0" w:afterLines="0" w:line="360" w:lineRule="auto"/>
        <w:ind w:firstLine="480" w:firstLineChars="200"/>
        <w:jc w:val="left"/>
        <w:outlineLvl w:val="1"/>
        <w:rPr>
          <w:rFonts w:ascii="宋体" w:hAnsi="宋体"/>
          <w:color w:val="auto"/>
          <w:sz w:val="24"/>
          <w:szCs w:val="24"/>
          <w:highlight w:val="none"/>
        </w:rPr>
      </w:pPr>
      <w:bookmarkStart w:id="177" w:name="_Toc29735"/>
      <w:bookmarkStart w:id="178" w:name="_Toc19438"/>
      <w:bookmarkStart w:id="179" w:name="_Toc16814"/>
      <w:r>
        <w:rPr>
          <w:rFonts w:hint="eastAsia" w:ascii="宋体" w:hAnsi="宋体"/>
          <w:color w:val="auto"/>
          <w:sz w:val="24"/>
          <w:szCs w:val="24"/>
          <w:highlight w:val="none"/>
        </w:rPr>
        <w:t>一、</w:t>
      </w:r>
      <w:bookmarkStart w:id="180" w:name="_Toc217446101"/>
      <w:r>
        <w:rPr>
          <w:rFonts w:hint="eastAsia" w:ascii="宋体" w:hAnsi="宋体" w:eastAsia="宋体"/>
          <w:color w:val="auto"/>
          <w:sz w:val="24"/>
          <w:szCs w:val="24"/>
          <w:highlight w:val="none"/>
        </w:rPr>
        <w:t>评标方法</w:t>
      </w:r>
      <w:bookmarkEnd w:id="180"/>
      <w:r>
        <w:rPr>
          <w:rFonts w:hint="eastAsia" w:ascii="宋体" w:hAnsi="宋体"/>
          <w:color w:val="auto"/>
          <w:sz w:val="24"/>
          <w:szCs w:val="24"/>
          <w:highlight w:val="none"/>
        </w:rPr>
        <w:t>（见投标人须知前附表）</w:t>
      </w:r>
      <w:bookmarkEnd w:id="177"/>
      <w:bookmarkEnd w:id="178"/>
      <w:bookmarkEnd w:id="179"/>
    </w:p>
    <w:p w14:paraId="7011F04E">
      <w:pPr>
        <w:spacing w:line="360" w:lineRule="auto"/>
        <w:ind w:firstLine="480" w:firstLineChars="200"/>
        <w:jc w:val="left"/>
        <w:outlineLvl w:val="1"/>
        <w:rPr>
          <w:rFonts w:hAnsi="宋体"/>
          <w:b/>
          <w:color w:val="auto"/>
          <w:sz w:val="24"/>
          <w:szCs w:val="24"/>
          <w:highlight w:val="none"/>
        </w:rPr>
      </w:pPr>
      <w:r>
        <w:rPr>
          <w:rFonts w:hint="eastAsia" w:hAnsi="宋体"/>
          <w:color w:val="auto"/>
          <w:sz w:val="24"/>
          <w:szCs w:val="24"/>
          <w:highlight w:val="none"/>
        </w:rPr>
        <w:t>二、</w:t>
      </w:r>
      <w:r>
        <w:rPr>
          <w:rFonts w:hint="eastAsia" w:hAnsi="宋体"/>
          <w:b/>
          <w:color w:val="auto"/>
          <w:sz w:val="24"/>
          <w:szCs w:val="24"/>
          <w:highlight w:val="none"/>
        </w:rPr>
        <w:t>评标程序：对资格审查合格的投标人，由评标委员会按以下程序进行。</w:t>
      </w:r>
    </w:p>
    <w:p w14:paraId="6446CFB5">
      <w:pPr>
        <w:adjustRightInd w:val="0"/>
        <w:snapToGrid w:val="0"/>
        <w:spacing w:line="360" w:lineRule="auto"/>
        <w:ind w:firstLine="442" w:firstLineChars="200"/>
        <w:outlineLvl w:val="9"/>
        <w:rPr>
          <w:rFonts w:hint="eastAsia" w:ascii="宋体" w:hAnsi="宋体"/>
          <w:b/>
          <w:bCs/>
          <w:sz w:val="22"/>
          <w:szCs w:val="22"/>
        </w:rPr>
      </w:pPr>
      <w:r>
        <w:rPr>
          <w:rFonts w:hint="eastAsia" w:ascii="宋体" w:hAnsi="宋体"/>
          <w:b/>
          <w:bCs/>
          <w:sz w:val="22"/>
          <w:szCs w:val="22"/>
          <w:lang w:val="en-US" w:eastAsia="zh-CN"/>
        </w:rPr>
        <w:t>1.</w:t>
      </w:r>
      <w:r>
        <w:rPr>
          <w:rFonts w:hint="eastAsia" w:ascii="宋体" w:hAnsi="宋体"/>
          <w:b/>
          <w:bCs/>
          <w:sz w:val="22"/>
          <w:szCs w:val="22"/>
        </w:rPr>
        <w:t>资格性审查</w:t>
      </w:r>
      <w:r>
        <w:rPr>
          <w:rFonts w:hint="eastAsia" w:ascii="宋体" w:hAnsi="宋体"/>
          <w:b/>
          <w:bCs/>
          <w:sz w:val="22"/>
          <w:szCs w:val="22"/>
          <w:lang w:val="en-US" w:eastAsia="zh-CN"/>
        </w:rPr>
        <w:t>内容及标准</w:t>
      </w:r>
      <w:r>
        <w:rPr>
          <w:rFonts w:hint="eastAsia" w:ascii="宋体" w:hAnsi="宋体"/>
          <w:b/>
          <w:bCs/>
          <w:sz w:val="22"/>
          <w:szCs w:val="22"/>
        </w:rPr>
        <w:t>：</w:t>
      </w:r>
    </w:p>
    <w:tbl>
      <w:tblPr>
        <w:tblStyle w:val="46"/>
        <w:tblW w:w="8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2450"/>
        <w:gridCol w:w="5110"/>
      </w:tblGrid>
      <w:tr w14:paraId="4E64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368" w:type="dxa"/>
            <w:noWrap w:val="0"/>
            <w:vAlign w:val="center"/>
          </w:tcPr>
          <w:p w14:paraId="3E3B3028">
            <w:pPr>
              <w:spacing w:line="280" w:lineRule="exact"/>
              <w:jc w:val="center"/>
              <w:outlineLvl w:val="9"/>
              <w:rPr>
                <w:rFonts w:hint="eastAsia" w:ascii="宋体" w:hAnsi="宋体" w:cs="仿宋_GB2312"/>
                <w:kern w:val="0"/>
                <w:sz w:val="22"/>
                <w:szCs w:val="22"/>
              </w:rPr>
            </w:pPr>
            <w:r>
              <w:rPr>
                <w:rFonts w:hint="eastAsia" w:ascii="宋体" w:hAnsi="宋体" w:cs="仿宋_GB2312"/>
                <w:kern w:val="0"/>
                <w:sz w:val="22"/>
                <w:szCs w:val="22"/>
              </w:rPr>
              <w:t>评审内容</w:t>
            </w:r>
          </w:p>
        </w:tc>
        <w:tc>
          <w:tcPr>
            <w:tcW w:w="2450" w:type="dxa"/>
            <w:noWrap w:val="0"/>
            <w:vAlign w:val="center"/>
          </w:tcPr>
          <w:p w14:paraId="377F4758">
            <w:pPr>
              <w:spacing w:line="280" w:lineRule="exact"/>
              <w:jc w:val="center"/>
              <w:outlineLvl w:val="9"/>
              <w:rPr>
                <w:rFonts w:hint="eastAsia" w:ascii="宋体" w:hAnsi="宋体" w:cs="仿宋_GB2312"/>
                <w:kern w:val="0"/>
                <w:sz w:val="22"/>
                <w:szCs w:val="22"/>
              </w:rPr>
            </w:pPr>
            <w:r>
              <w:rPr>
                <w:rFonts w:hint="eastAsia" w:ascii="宋体" w:hAnsi="宋体" w:cs="仿宋_GB2312"/>
                <w:kern w:val="0"/>
                <w:sz w:val="22"/>
                <w:szCs w:val="22"/>
              </w:rPr>
              <w:t>评审因素</w:t>
            </w:r>
          </w:p>
        </w:tc>
        <w:tc>
          <w:tcPr>
            <w:tcW w:w="5110" w:type="dxa"/>
            <w:noWrap w:val="0"/>
            <w:vAlign w:val="center"/>
          </w:tcPr>
          <w:p w14:paraId="1F1F12BF">
            <w:pPr>
              <w:spacing w:line="280" w:lineRule="exact"/>
              <w:jc w:val="center"/>
              <w:outlineLvl w:val="9"/>
              <w:rPr>
                <w:rFonts w:hint="eastAsia" w:ascii="宋体" w:hAnsi="宋体" w:cs="仿宋_GB2312"/>
                <w:kern w:val="0"/>
                <w:sz w:val="22"/>
                <w:szCs w:val="22"/>
              </w:rPr>
            </w:pPr>
            <w:r>
              <w:rPr>
                <w:rFonts w:hint="eastAsia" w:ascii="宋体" w:hAnsi="宋体" w:cs="仿宋_GB2312"/>
                <w:kern w:val="0"/>
                <w:sz w:val="22"/>
                <w:szCs w:val="22"/>
              </w:rPr>
              <w:t>评审标准</w:t>
            </w:r>
          </w:p>
        </w:tc>
      </w:tr>
      <w:tr w14:paraId="1769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exact"/>
          <w:jc w:val="center"/>
        </w:trPr>
        <w:tc>
          <w:tcPr>
            <w:tcW w:w="1368" w:type="dxa"/>
            <w:vMerge w:val="restart"/>
            <w:noWrap w:val="0"/>
            <w:vAlign w:val="center"/>
          </w:tcPr>
          <w:p w14:paraId="6F05BE55">
            <w:pPr>
              <w:spacing w:line="280" w:lineRule="exact"/>
              <w:jc w:val="center"/>
              <w:outlineLvl w:val="9"/>
              <w:rPr>
                <w:rFonts w:hint="eastAsia" w:ascii="宋体" w:hAnsi="宋体" w:cs="仿宋_GB2312"/>
                <w:kern w:val="0"/>
                <w:sz w:val="22"/>
                <w:szCs w:val="22"/>
              </w:rPr>
            </w:pPr>
            <w:r>
              <w:rPr>
                <w:rFonts w:hint="eastAsia" w:ascii="宋体" w:hAnsi="宋体" w:cs="仿宋_GB2312"/>
                <w:kern w:val="0"/>
                <w:sz w:val="22"/>
                <w:szCs w:val="22"/>
              </w:rPr>
              <w:t>资格性</w:t>
            </w:r>
          </w:p>
          <w:p w14:paraId="02F63D7A">
            <w:pPr>
              <w:spacing w:line="280" w:lineRule="exact"/>
              <w:jc w:val="center"/>
              <w:outlineLvl w:val="9"/>
              <w:rPr>
                <w:rFonts w:hint="eastAsia" w:ascii="宋体" w:hAnsi="宋体" w:cs="仿宋_GB2312"/>
                <w:kern w:val="0"/>
                <w:sz w:val="22"/>
                <w:szCs w:val="22"/>
              </w:rPr>
            </w:pPr>
            <w:r>
              <w:rPr>
                <w:rFonts w:hint="eastAsia" w:ascii="宋体" w:hAnsi="宋体" w:cs="仿宋_GB2312"/>
                <w:kern w:val="0"/>
                <w:sz w:val="22"/>
                <w:szCs w:val="22"/>
              </w:rPr>
              <w:t>检查</w:t>
            </w:r>
          </w:p>
        </w:tc>
        <w:tc>
          <w:tcPr>
            <w:tcW w:w="2450" w:type="dxa"/>
            <w:noWrap w:val="0"/>
            <w:vAlign w:val="center"/>
          </w:tcPr>
          <w:p w14:paraId="2FA4AEF3">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具有独立承担民事责任的能力</w:t>
            </w:r>
          </w:p>
        </w:tc>
        <w:tc>
          <w:tcPr>
            <w:tcW w:w="5110" w:type="dxa"/>
            <w:noWrap w:val="0"/>
            <w:vAlign w:val="center"/>
          </w:tcPr>
          <w:p w14:paraId="2FFE045A">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审查法人或其他组织的营业执照、税务登记证、组织机构代码证；【</w:t>
            </w:r>
            <w:r>
              <w:rPr>
                <w:rFonts w:hint="eastAsia" w:ascii="宋体" w:hAnsi="宋体"/>
                <w:sz w:val="22"/>
                <w:szCs w:val="22"/>
              </w:rPr>
              <w:t>“三证合一”的证件为有效证件</w:t>
            </w:r>
            <w:r>
              <w:rPr>
                <w:rFonts w:hint="eastAsia" w:ascii="宋体" w:hAnsi="宋体" w:cs="仿宋_GB2312"/>
                <w:kern w:val="0"/>
                <w:sz w:val="22"/>
                <w:szCs w:val="22"/>
              </w:rPr>
              <w:t>】等资格证明文件，确认供应商具有独立承担民事责任的能力。</w:t>
            </w:r>
          </w:p>
        </w:tc>
      </w:tr>
      <w:tr w14:paraId="6E20A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368" w:type="dxa"/>
            <w:vMerge w:val="continue"/>
            <w:noWrap w:val="0"/>
            <w:vAlign w:val="center"/>
          </w:tcPr>
          <w:p w14:paraId="2D60B021">
            <w:pPr>
              <w:spacing w:line="280" w:lineRule="exact"/>
              <w:jc w:val="left"/>
              <w:outlineLvl w:val="9"/>
              <w:rPr>
                <w:rFonts w:hint="eastAsia" w:ascii="宋体" w:hAnsi="宋体" w:cs="仿宋_GB2312"/>
                <w:kern w:val="0"/>
                <w:sz w:val="22"/>
                <w:szCs w:val="22"/>
              </w:rPr>
            </w:pPr>
          </w:p>
        </w:tc>
        <w:tc>
          <w:tcPr>
            <w:tcW w:w="2450" w:type="dxa"/>
            <w:noWrap w:val="0"/>
            <w:vAlign w:val="center"/>
          </w:tcPr>
          <w:p w14:paraId="121804B2">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具有履行合同所必需的设备和专业技术能力</w:t>
            </w:r>
          </w:p>
        </w:tc>
        <w:tc>
          <w:tcPr>
            <w:tcW w:w="5110" w:type="dxa"/>
            <w:noWrap w:val="0"/>
            <w:vAlign w:val="center"/>
          </w:tcPr>
          <w:p w14:paraId="5C00794D">
            <w:pPr>
              <w:spacing w:line="280" w:lineRule="exact"/>
              <w:jc w:val="left"/>
              <w:outlineLvl w:val="9"/>
              <w:rPr>
                <w:rFonts w:hint="eastAsia" w:ascii="宋体" w:hAnsi="宋体" w:cs="仿宋_GB2312"/>
                <w:kern w:val="0"/>
                <w:sz w:val="22"/>
                <w:szCs w:val="22"/>
              </w:rPr>
            </w:pPr>
            <w:r>
              <w:rPr>
                <w:rFonts w:hint="eastAsia" w:ascii="宋体" w:hAnsi="宋体" w:cs="仿宋_GB2312"/>
                <w:sz w:val="22"/>
                <w:szCs w:val="22"/>
              </w:rPr>
              <w:t>审查</w:t>
            </w:r>
            <w:r>
              <w:rPr>
                <w:rFonts w:hint="eastAsia" w:ascii="宋体" w:hAnsi="宋体" w:cs="仿宋_GB2312"/>
                <w:kern w:val="0"/>
                <w:sz w:val="22"/>
                <w:szCs w:val="22"/>
              </w:rPr>
              <w:t>具备履行合同所必需的设备和专业技术能力的证明材料，确认具有履行合同所必须的设备和专业技术能力。</w:t>
            </w:r>
          </w:p>
        </w:tc>
      </w:tr>
      <w:tr w14:paraId="7704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1368" w:type="dxa"/>
            <w:vMerge w:val="continue"/>
            <w:noWrap w:val="0"/>
            <w:vAlign w:val="center"/>
          </w:tcPr>
          <w:p w14:paraId="2313ADC1">
            <w:pPr>
              <w:spacing w:line="280" w:lineRule="exact"/>
              <w:jc w:val="left"/>
              <w:outlineLvl w:val="9"/>
              <w:rPr>
                <w:rFonts w:hint="eastAsia" w:ascii="宋体" w:hAnsi="宋体" w:cs="仿宋_GB2312"/>
                <w:kern w:val="0"/>
                <w:sz w:val="22"/>
                <w:szCs w:val="22"/>
              </w:rPr>
            </w:pPr>
          </w:p>
        </w:tc>
        <w:tc>
          <w:tcPr>
            <w:tcW w:w="2450" w:type="dxa"/>
            <w:noWrap w:val="0"/>
            <w:vAlign w:val="center"/>
          </w:tcPr>
          <w:p w14:paraId="71DBF8C0">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参加政府采购活动前3年内，在经营活动中没有重大违法记录</w:t>
            </w:r>
          </w:p>
        </w:tc>
        <w:tc>
          <w:tcPr>
            <w:tcW w:w="5110" w:type="dxa"/>
            <w:noWrap w:val="0"/>
            <w:vAlign w:val="center"/>
          </w:tcPr>
          <w:p w14:paraId="50979D77">
            <w:pPr>
              <w:spacing w:line="280" w:lineRule="exact"/>
              <w:jc w:val="left"/>
              <w:outlineLvl w:val="9"/>
              <w:rPr>
                <w:rFonts w:hint="eastAsia" w:ascii="宋体" w:hAnsi="宋体" w:cs="仿宋_GB2312"/>
                <w:sz w:val="22"/>
                <w:szCs w:val="22"/>
              </w:rPr>
            </w:pPr>
            <w:r>
              <w:rPr>
                <w:rFonts w:hint="eastAsia" w:ascii="宋体" w:hAnsi="宋体" w:cs="仿宋_GB2312"/>
                <w:kern w:val="0"/>
                <w:sz w:val="22"/>
                <w:szCs w:val="22"/>
              </w:rPr>
              <w:t>审查参加政府采购活动前3年内在经营活动中没有重大违法记录、严重违约及重大质量问题的书面声明。</w:t>
            </w:r>
          </w:p>
        </w:tc>
      </w:tr>
      <w:tr w14:paraId="30927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368" w:type="dxa"/>
            <w:vMerge w:val="continue"/>
            <w:noWrap w:val="0"/>
            <w:vAlign w:val="center"/>
          </w:tcPr>
          <w:p w14:paraId="1F486F38">
            <w:pPr>
              <w:spacing w:line="280" w:lineRule="exact"/>
              <w:jc w:val="left"/>
              <w:outlineLvl w:val="9"/>
              <w:rPr>
                <w:rFonts w:hint="eastAsia" w:ascii="宋体" w:hAnsi="宋体" w:cs="仿宋_GB2312"/>
                <w:kern w:val="0"/>
                <w:sz w:val="22"/>
                <w:szCs w:val="22"/>
              </w:rPr>
            </w:pPr>
          </w:p>
        </w:tc>
        <w:tc>
          <w:tcPr>
            <w:tcW w:w="2450" w:type="dxa"/>
            <w:noWrap w:val="0"/>
            <w:vAlign w:val="center"/>
          </w:tcPr>
          <w:p w14:paraId="64736F6C">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营业执照</w:t>
            </w:r>
          </w:p>
        </w:tc>
        <w:tc>
          <w:tcPr>
            <w:tcW w:w="5110" w:type="dxa"/>
            <w:noWrap w:val="0"/>
            <w:vAlign w:val="center"/>
          </w:tcPr>
          <w:p w14:paraId="7EF82FD8">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具备有效的营业执照，经营范围符合本项目招标内容要求。</w:t>
            </w:r>
          </w:p>
        </w:tc>
      </w:tr>
      <w:tr w14:paraId="3766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1368" w:type="dxa"/>
            <w:vMerge w:val="continue"/>
            <w:noWrap w:val="0"/>
            <w:vAlign w:val="center"/>
          </w:tcPr>
          <w:p w14:paraId="41DD50EF">
            <w:pPr>
              <w:spacing w:line="280" w:lineRule="exact"/>
              <w:jc w:val="left"/>
              <w:outlineLvl w:val="9"/>
              <w:rPr>
                <w:rFonts w:hint="eastAsia" w:ascii="宋体" w:hAnsi="宋体" w:cs="仿宋_GB2312"/>
                <w:kern w:val="0"/>
                <w:sz w:val="22"/>
                <w:szCs w:val="22"/>
              </w:rPr>
            </w:pPr>
          </w:p>
        </w:tc>
        <w:tc>
          <w:tcPr>
            <w:tcW w:w="2450" w:type="dxa"/>
            <w:noWrap w:val="0"/>
            <w:vAlign w:val="center"/>
          </w:tcPr>
          <w:p w14:paraId="018E2CE8">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投标资格、企业经营权</w:t>
            </w:r>
          </w:p>
        </w:tc>
        <w:tc>
          <w:tcPr>
            <w:tcW w:w="5110" w:type="dxa"/>
            <w:noWrap w:val="0"/>
            <w:vAlign w:val="center"/>
          </w:tcPr>
          <w:p w14:paraId="198F4672">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投标资格、企业经营权有效，投标资格没有被取消或暂停，没有处于被责令停业，财产被接管，冻结、破产状态。</w:t>
            </w:r>
          </w:p>
        </w:tc>
      </w:tr>
      <w:tr w14:paraId="30CF5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exact"/>
          <w:jc w:val="center"/>
        </w:trPr>
        <w:tc>
          <w:tcPr>
            <w:tcW w:w="1368" w:type="dxa"/>
            <w:vMerge w:val="continue"/>
            <w:noWrap w:val="0"/>
            <w:vAlign w:val="center"/>
          </w:tcPr>
          <w:p w14:paraId="76C4DAF2">
            <w:pPr>
              <w:spacing w:line="280" w:lineRule="exact"/>
              <w:jc w:val="left"/>
              <w:outlineLvl w:val="9"/>
              <w:rPr>
                <w:rFonts w:hint="eastAsia" w:ascii="宋体" w:hAnsi="宋体" w:cs="仿宋_GB2312"/>
                <w:kern w:val="0"/>
                <w:sz w:val="22"/>
                <w:szCs w:val="22"/>
              </w:rPr>
            </w:pPr>
          </w:p>
        </w:tc>
        <w:tc>
          <w:tcPr>
            <w:tcW w:w="2450" w:type="dxa"/>
            <w:noWrap w:val="0"/>
            <w:vAlign w:val="center"/>
          </w:tcPr>
          <w:p w14:paraId="0C8415C1">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信用查询</w:t>
            </w:r>
          </w:p>
        </w:tc>
        <w:tc>
          <w:tcPr>
            <w:tcW w:w="5110" w:type="dxa"/>
            <w:noWrap w:val="0"/>
            <w:vAlign w:val="center"/>
          </w:tcPr>
          <w:p w14:paraId="3641FBAD">
            <w:pPr>
              <w:spacing w:line="280" w:lineRule="exact"/>
              <w:jc w:val="left"/>
              <w:outlineLvl w:val="9"/>
              <w:rPr>
                <w:rFonts w:hint="eastAsia" w:ascii="宋体" w:hAnsi="宋体" w:cs="仿宋_GB2312"/>
                <w:kern w:val="0"/>
                <w:sz w:val="22"/>
                <w:szCs w:val="22"/>
              </w:rPr>
            </w:pPr>
            <w:r>
              <w:rPr>
                <w:rFonts w:hint="eastAsia" w:ascii="宋体" w:hAnsi="宋体" w:cs="仿宋_GB2312"/>
                <w:kern w:val="0"/>
                <w:sz w:val="22"/>
                <w:szCs w:val="22"/>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tc>
      </w:tr>
      <w:tr w14:paraId="35E97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exact"/>
          <w:jc w:val="center"/>
        </w:trPr>
        <w:tc>
          <w:tcPr>
            <w:tcW w:w="1368" w:type="dxa"/>
            <w:vMerge w:val="continue"/>
            <w:noWrap w:val="0"/>
            <w:vAlign w:val="center"/>
          </w:tcPr>
          <w:p w14:paraId="4A394D5F">
            <w:pPr>
              <w:spacing w:line="280" w:lineRule="exact"/>
              <w:jc w:val="left"/>
              <w:outlineLvl w:val="9"/>
              <w:rPr>
                <w:rFonts w:hint="eastAsia" w:ascii="宋体" w:hAnsi="宋体" w:cs="仿宋_GB2312"/>
                <w:kern w:val="0"/>
                <w:sz w:val="22"/>
                <w:szCs w:val="22"/>
              </w:rPr>
            </w:pPr>
          </w:p>
        </w:tc>
        <w:tc>
          <w:tcPr>
            <w:tcW w:w="2450" w:type="dxa"/>
            <w:shd w:val="clear" w:color="auto" w:fill="auto"/>
            <w:noWrap w:val="0"/>
            <w:vAlign w:val="center"/>
          </w:tcPr>
          <w:p w14:paraId="07C64D2F">
            <w:pPr>
              <w:spacing w:line="280" w:lineRule="exact"/>
              <w:jc w:val="left"/>
              <w:outlineLvl w:val="9"/>
              <w:rPr>
                <w:rFonts w:hint="eastAsia" w:ascii="宋体" w:hAnsi="宋体" w:eastAsia="宋体" w:cs="仿宋_GB2312"/>
                <w:kern w:val="0"/>
                <w:sz w:val="22"/>
                <w:szCs w:val="22"/>
                <w:lang w:val="en-US" w:eastAsia="zh-CN" w:bidi="ar-SA"/>
              </w:rPr>
            </w:pPr>
            <w:r>
              <w:rPr>
                <w:rFonts w:hint="eastAsia" w:ascii="宋体" w:hAnsi="宋体" w:cs="仿宋_GB2312"/>
                <w:kern w:val="0"/>
                <w:sz w:val="22"/>
                <w:szCs w:val="22"/>
                <w:lang w:val="en-US" w:eastAsia="zh-CN"/>
              </w:rPr>
              <w:t>非联合体声明</w:t>
            </w:r>
          </w:p>
        </w:tc>
        <w:tc>
          <w:tcPr>
            <w:tcW w:w="5110" w:type="dxa"/>
            <w:shd w:val="clear" w:color="auto" w:fill="auto"/>
            <w:noWrap w:val="0"/>
            <w:vAlign w:val="center"/>
          </w:tcPr>
          <w:p w14:paraId="1405B750">
            <w:pPr>
              <w:spacing w:line="280" w:lineRule="exact"/>
              <w:jc w:val="left"/>
              <w:outlineLvl w:val="9"/>
              <w:rPr>
                <w:rFonts w:hint="eastAsia" w:ascii="宋体" w:hAnsi="宋体" w:eastAsia="宋体" w:cs="仿宋_GB2312"/>
                <w:kern w:val="0"/>
                <w:sz w:val="22"/>
                <w:szCs w:val="22"/>
                <w:lang w:val="en-US" w:eastAsia="zh-CN" w:bidi="ar-SA"/>
              </w:rPr>
            </w:pPr>
            <w:r>
              <w:rPr>
                <w:rFonts w:hint="eastAsia" w:ascii="宋体" w:hAnsi="宋体" w:cs="宋体"/>
                <w:kern w:val="0"/>
                <w:sz w:val="22"/>
                <w:szCs w:val="22"/>
                <w:lang w:val="en-US" w:eastAsia="zh-CN"/>
              </w:rPr>
              <w:t>本项目不接受联合体投标。</w:t>
            </w:r>
          </w:p>
        </w:tc>
      </w:tr>
      <w:tr w14:paraId="7713E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exact"/>
          <w:jc w:val="center"/>
        </w:trPr>
        <w:tc>
          <w:tcPr>
            <w:tcW w:w="1368" w:type="dxa"/>
            <w:vMerge w:val="continue"/>
            <w:noWrap w:val="0"/>
            <w:vAlign w:val="center"/>
          </w:tcPr>
          <w:p w14:paraId="3F84A603">
            <w:pPr>
              <w:spacing w:line="280" w:lineRule="exact"/>
              <w:jc w:val="left"/>
              <w:outlineLvl w:val="9"/>
              <w:rPr>
                <w:rFonts w:hint="eastAsia" w:ascii="宋体" w:hAnsi="宋体" w:cs="仿宋_GB2312"/>
                <w:kern w:val="0"/>
                <w:sz w:val="22"/>
                <w:szCs w:val="22"/>
              </w:rPr>
            </w:pPr>
          </w:p>
        </w:tc>
        <w:tc>
          <w:tcPr>
            <w:tcW w:w="2450" w:type="dxa"/>
            <w:shd w:val="clear" w:color="auto" w:fill="auto"/>
            <w:noWrap w:val="0"/>
            <w:vAlign w:val="center"/>
          </w:tcPr>
          <w:p w14:paraId="7E6D2448">
            <w:pPr>
              <w:spacing w:line="280" w:lineRule="exact"/>
              <w:jc w:val="left"/>
              <w:outlineLvl w:val="9"/>
              <w:rPr>
                <w:rFonts w:hint="default" w:ascii="宋体" w:hAnsi="Times New Roman" w:eastAsia="宋体" w:cs="Times New Roman"/>
                <w:kern w:val="0"/>
                <w:sz w:val="22"/>
                <w:szCs w:val="22"/>
                <w:lang w:val="en-US" w:eastAsia="zh-CN" w:bidi="ar-SA"/>
              </w:rPr>
            </w:pPr>
            <w:r>
              <w:rPr>
                <w:rFonts w:hint="eastAsia" w:ascii="宋体" w:hAnsi="宋体" w:cs="宋体"/>
                <w:kern w:val="0"/>
                <w:sz w:val="22"/>
                <w:szCs w:val="22"/>
              </w:rPr>
              <w:t>其它要求</w:t>
            </w:r>
          </w:p>
        </w:tc>
        <w:tc>
          <w:tcPr>
            <w:tcW w:w="5110" w:type="dxa"/>
            <w:shd w:val="clear" w:color="auto" w:fill="auto"/>
            <w:noWrap w:val="0"/>
            <w:vAlign w:val="center"/>
          </w:tcPr>
          <w:p w14:paraId="6D15B362">
            <w:pPr>
              <w:spacing w:line="280" w:lineRule="exact"/>
              <w:jc w:val="left"/>
              <w:outlineLvl w:val="9"/>
              <w:rPr>
                <w:rFonts w:hint="eastAsia" w:ascii="宋体" w:hAnsi="Times New Roman" w:eastAsia="宋体" w:cs="Times New Roman"/>
                <w:kern w:val="0"/>
                <w:sz w:val="22"/>
                <w:szCs w:val="22"/>
                <w:lang w:val="en-US" w:eastAsia="zh-CN" w:bidi="ar-SA"/>
              </w:rPr>
            </w:pPr>
            <w:r>
              <w:rPr>
                <w:rFonts w:hint="eastAsia" w:ascii="宋体" w:hAnsi="宋体" w:cs="宋体"/>
                <w:kern w:val="0"/>
                <w:sz w:val="22"/>
                <w:szCs w:val="22"/>
              </w:rPr>
              <w:t>符合</w:t>
            </w:r>
            <w:r>
              <w:rPr>
                <w:rFonts w:ascii="宋体" w:hAnsi="宋体" w:cs="宋体"/>
                <w:kern w:val="0"/>
                <w:sz w:val="22"/>
                <w:szCs w:val="22"/>
              </w:rPr>
              <w:t xml:space="preserve"> </w:t>
            </w:r>
            <w:r>
              <w:rPr>
                <w:rFonts w:hint="eastAsia" w:ascii="宋体" w:hAnsi="宋体" w:cs="宋体"/>
                <w:kern w:val="0"/>
                <w:sz w:val="22"/>
                <w:szCs w:val="22"/>
              </w:rPr>
              <w:t>“供应商须知”其它规定。</w:t>
            </w:r>
          </w:p>
        </w:tc>
      </w:tr>
    </w:tbl>
    <w:p w14:paraId="36EDFBD5">
      <w:pPr>
        <w:numPr>
          <w:ilvl w:val="0"/>
          <w:numId w:val="7"/>
        </w:numPr>
        <w:adjustRightInd w:val="0"/>
        <w:snapToGrid w:val="0"/>
        <w:spacing w:before="240" w:line="360" w:lineRule="auto"/>
        <w:ind w:left="0" w:leftChars="0" w:firstLine="480" w:firstLineChars="0"/>
        <w:outlineLvl w:val="9"/>
        <w:rPr>
          <w:rFonts w:hint="eastAsia" w:ascii="宋体" w:hAnsi="宋体"/>
          <w:sz w:val="22"/>
          <w:szCs w:val="22"/>
        </w:rPr>
      </w:pPr>
      <w:r>
        <w:rPr>
          <w:rFonts w:hint="eastAsia" w:ascii="宋体" w:hAnsi="宋体"/>
          <w:b/>
          <w:sz w:val="22"/>
          <w:szCs w:val="22"/>
        </w:rPr>
        <w:t>符合性审查</w:t>
      </w:r>
      <w:r>
        <w:rPr>
          <w:rFonts w:hint="eastAsia" w:ascii="宋体" w:hAnsi="宋体"/>
          <w:b/>
          <w:sz w:val="22"/>
          <w:szCs w:val="22"/>
          <w:lang w:val="en-US" w:eastAsia="zh-CN"/>
        </w:rPr>
        <w:t>内容及标准</w:t>
      </w:r>
      <w:r>
        <w:rPr>
          <w:rFonts w:hint="eastAsia" w:ascii="宋体" w:hAnsi="宋体"/>
          <w:b/>
          <w:sz w:val="22"/>
          <w:szCs w:val="22"/>
        </w:rPr>
        <w:t>：</w:t>
      </w:r>
      <w:r>
        <w:rPr>
          <w:rFonts w:hint="eastAsia" w:ascii="宋体" w:hAnsi="宋体"/>
          <w:sz w:val="22"/>
          <w:szCs w:val="22"/>
        </w:rPr>
        <w:t>依据《招标文件》的规定，从《投标文件》的有效性、完整性和对《招标文件》的响应程度进行审查，以确定是否对《招标文件》的实质性要求做出响应。</w:t>
      </w:r>
    </w:p>
    <w:p w14:paraId="53B4CC1D">
      <w:pPr>
        <w:adjustRightInd w:val="0"/>
        <w:snapToGrid w:val="0"/>
        <w:spacing w:line="360" w:lineRule="auto"/>
        <w:ind w:firstLine="440" w:firstLineChars="200"/>
        <w:outlineLvl w:val="9"/>
        <w:rPr>
          <w:rFonts w:hint="eastAsia" w:ascii="宋体" w:hAnsi="宋体"/>
          <w:sz w:val="22"/>
          <w:szCs w:val="22"/>
        </w:rPr>
      </w:pPr>
      <w:r>
        <w:rPr>
          <w:rFonts w:hint="eastAsia" w:ascii="宋体" w:hAnsi="宋体"/>
          <w:sz w:val="22"/>
          <w:szCs w:val="22"/>
        </w:rPr>
        <w:t>符合性审查表：</w:t>
      </w:r>
    </w:p>
    <w:tbl>
      <w:tblPr>
        <w:tblStyle w:val="4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9"/>
        <w:gridCol w:w="2235"/>
        <w:gridCol w:w="6084"/>
      </w:tblGrid>
      <w:tr w14:paraId="15680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609" w:type="dxa"/>
            <w:noWrap w:val="0"/>
            <w:vAlign w:val="center"/>
          </w:tcPr>
          <w:p w14:paraId="3DBB2302">
            <w:pPr>
              <w:spacing w:line="280" w:lineRule="exact"/>
              <w:jc w:val="center"/>
              <w:outlineLvl w:val="9"/>
              <w:rPr>
                <w:rFonts w:hint="eastAsia" w:ascii="宋体" w:hAnsi="宋体" w:eastAsia="宋体" w:cs="仿宋_GB2312"/>
                <w:kern w:val="0"/>
                <w:sz w:val="21"/>
                <w:szCs w:val="21"/>
                <w:lang w:eastAsia="zh-CN"/>
              </w:rPr>
            </w:pPr>
            <w:r>
              <w:rPr>
                <w:rFonts w:hint="eastAsia" w:ascii="宋体" w:hAnsi="宋体" w:cs="仿宋_GB2312"/>
                <w:kern w:val="0"/>
                <w:sz w:val="21"/>
                <w:szCs w:val="21"/>
                <w:lang w:val="en-US" w:eastAsia="zh-CN"/>
              </w:rPr>
              <w:t>序号</w:t>
            </w:r>
          </w:p>
        </w:tc>
        <w:tc>
          <w:tcPr>
            <w:tcW w:w="2235" w:type="dxa"/>
            <w:noWrap w:val="0"/>
            <w:vAlign w:val="center"/>
          </w:tcPr>
          <w:p w14:paraId="195F4013">
            <w:pPr>
              <w:spacing w:line="280" w:lineRule="exact"/>
              <w:jc w:val="center"/>
              <w:outlineLvl w:val="9"/>
              <w:rPr>
                <w:rFonts w:hint="eastAsia" w:ascii="宋体" w:hAnsi="宋体" w:cs="仿宋_GB2312"/>
                <w:kern w:val="0"/>
                <w:sz w:val="21"/>
                <w:szCs w:val="21"/>
              </w:rPr>
            </w:pPr>
            <w:r>
              <w:rPr>
                <w:rFonts w:hint="eastAsia" w:ascii="宋体" w:hAnsi="宋体" w:cs="仿宋_GB2312"/>
                <w:kern w:val="0"/>
                <w:sz w:val="21"/>
                <w:szCs w:val="21"/>
              </w:rPr>
              <w:t>评审因素</w:t>
            </w:r>
          </w:p>
        </w:tc>
        <w:tc>
          <w:tcPr>
            <w:tcW w:w="6084" w:type="dxa"/>
            <w:noWrap w:val="0"/>
            <w:vAlign w:val="center"/>
          </w:tcPr>
          <w:p w14:paraId="63A737D2">
            <w:pPr>
              <w:spacing w:line="280" w:lineRule="exact"/>
              <w:jc w:val="center"/>
              <w:outlineLvl w:val="9"/>
              <w:rPr>
                <w:rFonts w:hint="eastAsia" w:ascii="宋体" w:hAnsi="宋体" w:cs="仿宋_GB2312"/>
                <w:kern w:val="0"/>
                <w:sz w:val="21"/>
                <w:szCs w:val="21"/>
              </w:rPr>
            </w:pPr>
            <w:r>
              <w:rPr>
                <w:rFonts w:hint="eastAsia" w:ascii="宋体" w:hAnsi="宋体" w:cs="仿宋_GB2312"/>
                <w:kern w:val="0"/>
                <w:sz w:val="21"/>
                <w:szCs w:val="21"/>
              </w:rPr>
              <w:t>评审标准</w:t>
            </w:r>
          </w:p>
        </w:tc>
      </w:tr>
      <w:tr w14:paraId="5F94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exact"/>
        </w:trPr>
        <w:tc>
          <w:tcPr>
            <w:tcW w:w="609" w:type="dxa"/>
            <w:noWrap w:val="0"/>
            <w:vAlign w:val="center"/>
          </w:tcPr>
          <w:p w14:paraId="7DC58F5A">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cs="仿宋_GB2312"/>
                <w:kern w:val="0"/>
                <w:sz w:val="21"/>
                <w:szCs w:val="21"/>
                <w:lang w:val="en-US" w:eastAsia="zh-CN"/>
              </w:rPr>
              <w:t>1</w:t>
            </w:r>
          </w:p>
        </w:tc>
        <w:tc>
          <w:tcPr>
            <w:tcW w:w="2235" w:type="dxa"/>
            <w:noWrap w:val="0"/>
            <w:vAlign w:val="center"/>
          </w:tcPr>
          <w:p w14:paraId="44FCD078">
            <w:pPr>
              <w:widowControl w:val="0"/>
              <w:adjustRightInd w:val="0"/>
              <w:snapToGrid w:val="0"/>
              <w:spacing w:line="480" w:lineRule="exact"/>
              <w:jc w:val="both"/>
              <w:outlineLvl w:val="9"/>
              <w:rPr>
                <w:rFonts w:hint="eastAsia" w:ascii="宋体" w:hAnsi="宋体" w:cs="仿宋_GB2312"/>
                <w:kern w:val="0"/>
                <w:sz w:val="21"/>
                <w:szCs w:val="21"/>
              </w:rPr>
            </w:pPr>
            <w:r>
              <w:rPr>
                <w:rFonts w:hint="eastAsia" w:ascii="华文中宋" w:hAnsi="华文中宋" w:eastAsia="华文中宋" w:cs="Times New Roman"/>
                <w:color w:val="auto"/>
                <w:sz w:val="22"/>
                <w:szCs w:val="22"/>
                <w:highlight w:val="none"/>
                <w:lang w:val="en-US" w:eastAsia="zh-CN"/>
              </w:rPr>
              <w:t>电子投标文件的签署、</w:t>
            </w:r>
            <w:r>
              <w:rPr>
                <w:rFonts w:hint="eastAsia" w:ascii="华文中宋" w:hAnsi="华文中宋" w:eastAsia="华文中宋" w:cs="Times New Roman"/>
                <w:color w:val="auto"/>
                <w:kern w:val="2"/>
                <w:sz w:val="22"/>
                <w:szCs w:val="22"/>
                <w:highlight w:val="none"/>
                <w:lang w:val="en-US" w:eastAsia="zh-CN"/>
              </w:rPr>
              <w:t>盖章</w:t>
            </w:r>
          </w:p>
        </w:tc>
        <w:tc>
          <w:tcPr>
            <w:tcW w:w="6084" w:type="dxa"/>
            <w:noWrap w:val="0"/>
            <w:vAlign w:val="center"/>
          </w:tcPr>
          <w:p w14:paraId="377DA329">
            <w:pPr>
              <w:spacing w:line="280" w:lineRule="exact"/>
              <w:jc w:val="left"/>
              <w:outlineLvl w:val="9"/>
              <w:rPr>
                <w:rFonts w:hint="eastAsia" w:ascii="宋体" w:hAnsi="宋体" w:eastAsia="宋体" w:cs="仿宋_GB2312"/>
                <w:kern w:val="0"/>
                <w:sz w:val="21"/>
                <w:szCs w:val="21"/>
              </w:rPr>
            </w:pPr>
            <w:r>
              <w:rPr>
                <w:rFonts w:hint="eastAsia" w:ascii="宋体" w:hAnsi="宋体" w:eastAsia="宋体" w:cs="仿宋_GB2312"/>
                <w:kern w:val="0"/>
                <w:sz w:val="21"/>
                <w:szCs w:val="21"/>
              </w:rPr>
              <w:t>是否按招标文件要求签署、盖章</w:t>
            </w:r>
          </w:p>
        </w:tc>
      </w:tr>
      <w:tr w14:paraId="67B39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exact"/>
        </w:trPr>
        <w:tc>
          <w:tcPr>
            <w:tcW w:w="609" w:type="dxa"/>
            <w:noWrap w:val="0"/>
            <w:vAlign w:val="center"/>
          </w:tcPr>
          <w:p w14:paraId="29ABA20B">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cs="仿宋_GB2312"/>
                <w:kern w:val="0"/>
                <w:sz w:val="21"/>
                <w:szCs w:val="21"/>
                <w:lang w:val="en-US" w:eastAsia="zh-CN"/>
              </w:rPr>
              <w:t>2</w:t>
            </w:r>
          </w:p>
        </w:tc>
        <w:tc>
          <w:tcPr>
            <w:tcW w:w="2235" w:type="dxa"/>
            <w:shd w:val="clear" w:color="auto" w:fill="auto"/>
            <w:noWrap w:val="0"/>
            <w:vAlign w:val="center"/>
          </w:tcPr>
          <w:p w14:paraId="23C11FE2">
            <w:pPr>
              <w:pStyle w:val="102"/>
              <w:numPr>
                <w:ilvl w:val="0"/>
                <w:numId w:val="0"/>
              </w:numPr>
              <w:snapToGrid w:val="0"/>
              <w:spacing w:line="480" w:lineRule="exact"/>
              <w:ind w:leftChars="0"/>
              <w:jc w:val="both"/>
              <w:outlineLvl w:val="9"/>
              <w:rPr>
                <w:rFonts w:hint="eastAsia" w:ascii="华文中宋" w:hAnsi="华文中宋" w:eastAsia="华文中宋" w:cs="Times New Roman"/>
                <w:color w:val="auto"/>
                <w:kern w:val="0"/>
                <w:sz w:val="22"/>
                <w:szCs w:val="22"/>
                <w:highlight w:val="none"/>
                <w:lang w:val="en-US" w:eastAsia="zh-CN" w:bidi="ar-SA"/>
              </w:rPr>
            </w:pPr>
            <w:r>
              <w:rPr>
                <w:rFonts w:hint="eastAsia" w:ascii="华文中宋" w:hAnsi="华文中宋" w:eastAsia="华文中宋"/>
                <w:color w:val="auto"/>
                <w:sz w:val="22"/>
                <w:szCs w:val="22"/>
                <w:highlight w:val="none"/>
                <w:lang w:eastAsia="zh-CN"/>
              </w:rPr>
              <w:t>投标函、商务响应表、技术响应表</w:t>
            </w:r>
          </w:p>
        </w:tc>
        <w:tc>
          <w:tcPr>
            <w:tcW w:w="6084" w:type="dxa"/>
            <w:shd w:val="clear" w:color="auto" w:fill="auto"/>
            <w:noWrap w:val="0"/>
            <w:vAlign w:val="center"/>
          </w:tcPr>
          <w:p w14:paraId="559C9141">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是否提供（如有一项不提供视为无效投标），是否按招标文件要求填写，如未按招标文件要求填写视为无效投标。</w:t>
            </w:r>
          </w:p>
        </w:tc>
      </w:tr>
      <w:tr w14:paraId="0F19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2" w:hRule="atLeast"/>
        </w:trPr>
        <w:tc>
          <w:tcPr>
            <w:tcW w:w="609" w:type="dxa"/>
            <w:noWrap w:val="0"/>
            <w:vAlign w:val="center"/>
          </w:tcPr>
          <w:p w14:paraId="45EB6D20">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en-US" w:eastAsia="zh-CN"/>
              </w:rPr>
              <w:t>3</w:t>
            </w:r>
          </w:p>
        </w:tc>
        <w:tc>
          <w:tcPr>
            <w:tcW w:w="2235" w:type="dxa"/>
            <w:noWrap w:val="0"/>
            <w:vAlign w:val="center"/>
          </w:tcPr>
          <w:p w14:paraId="680C916F">
            <w:pPr>
              <w:pStyle w:val="102"/>
              <w:numPr>
                <w:ilvl w:val="0"/>
                <w:numId w:val="0"/>
              </w:numPr>
              <w:snapToGrid w:val="0"/>
              <w:spacing w:line="480" w:lineRule="exact"/>
              <w:ind w:leftChars="0"/>
              <w:jc w:val="both"/>
              <w:outlineLvl w:val="9"/>
              <w:rPr>
                <w:rFonts w:hint="eastAsia" w:ascii="宋体" w:hAnsi="宋体" w:cs="仿宋_GB2312"/>
                <w:kern w:val="0"/>
                <w:sz w:val="21"/>
                <w:szCs w:val="21"/>
              </w:rPr>
            </w:pPr>
            <w:r>
              <w:rPr>
                <w:rFonts w:hint="eastAsia" w:ascii="华文中宋" w:hAnsi="华文中宋" w:eastAsia="华文中宋"/>
                <w:b w:val="0"/>
                <w:bCs w:val="0"/>
                <w:color w:val="auto"/>
                <w:sz w:val="22"/>
                <w:szCs w:val="22"/>
                <w:highlight w:val="none"/>
              </w:rPr>
              <w:t>招标文件规定的实质性条款</w:t>
            </w:r>
          </w:p>
        </w:tc>
        <w:tc>
          <w:tcPr>
            <w:tcW w:w="6084" w:type="dxa"/>
            <w:noWrap w:val="0"/>
            <w:vAlign w:val="center"/>
          </w:tcPr>
          <w:p w14:paraId="47C01042">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加注“●”号条款（除国家相关强制性标准外）</w:t>
            </w:r>
          </w:p>
          <w:p w14:paraId="3ECFC2ED">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是否实质性响应招标文件（注：如果招标文件没有设置加注“●”号的条款，则视为本项目无实质性条款，评标专家对本项不进行评审。）</w:t>
            </w:r>
          </w:p>
        </w:tc>
      </w:tr>
      <w:tr w14:paraId="31D7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trPr>
        <w:tc>
          <w:tcPr>
            <w:tcW w:w="609" w:type="dxa"/>
            <w:noWrap w:val="0"/>
            <w:vAlign w:val="center"/>
          </w:tcPr>
          <w:p w14:paraId="0F4A564D">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en-US" w:eastAsia="zh-CN"/>
              </w:rPr>
              <w:t>4</w:t>
            </w:r>
          </w:p>
        </w:tc>
        <w:tc>
          <w:tcPr>
            <w:tcW w:w="2235" w:type="dxa"/>
            <w:shd w:val="clear" w:color="auto" w:fill="auto"/>
            <w:noWrap w:val="0"/>
            <w:vAlign w:val="center"/>
          </w:tcPr>
          <w:p w14:paraId="2943BE27">
            <w:pPr>
              <w:pStyle w:val="102"/>
              <w:numPr>
                <w:ilvl w:val="0"/>
                <w:numId w:val="0"/>
              </w:numPr>
              <w:snapToGrid w:val="0"/>
              <w:spacing w:line="480" w:lineRule="exact"/>
              <w:ind w:leftChars="0"/>
              <w:jc w:val="both"/>
              <w:outlineLvl w:val="9"/>
              <w:rPr>
                <w:rFonts w:hint="eastAsia" w:ascii="华文中宋" w:hAnsi="华文中宋" w:eastAsia="华文中宋" w:cs="Times New Roman"/>
                <w:b w:val="0"/>
                <w:bCs w:val="0"/>
                <w:color w:val="auto"/>
                <w:kern w:val="0"/>
                <w:sz w:val="22"/>
                <w:szCs w:val="22"/>
                <w:highlight w:val="none"/>
                <w:lang w:val="en-US" w:eastAsia="zh-CN" w:bidi="ar-SA"/>
              </w:rPr>
            </w:pPr>
            <w:r>
              <w:rPr>
                <w:rFonts w:hint="eastAsia" w:ascii="华文中宋" w:hAnsi="华文中宋" w:eastAsia="华文中宋"/>
                <w:b w:val="0"/>
                <w:bCs w:val="0"/>
                <w:color w:val="auto"/>
                <w:sz w:val="22"/>
                <w:szCs w:val="22"/>
                <w:highlight w:val="none"/>
                <w:lang w:eastAsia="zh-CN"/>
              </w:rPr>
              <w:t>国家</w:t>
            </w:r>
            <w:r>
              <w:rPr>
                <w:rFonts w:hint="eastAsia" w:ascii="华文中宋" w:hAnsi="华文中宋" w:eastAsia="华文中宋"/>
                <w:b w:val="0"/>
                <w:bCs w:val="0"/>
                <w:color w:val="auto"/>
                <w:sz w:val="22"/>
                <w:szCs w:val="22"/>
                <w:highlight w:val="none"/>
              </w:rPr>
              <w:t>相关强制性</w:t>
            </w:r>
            <w:r>
              <w:rPr>
                <w:rFonts w:hint="eastAsia" w:ascii="华文中宋" w:hAnsi="华文中宋" w:eastAsia="华文中宋"/>
                <w:b w:val="0"/>
                <w:bCs w:val="0"/>
                <w:color w:val="auto"/>
                <w:sz w:val="22"/>
                <w:szCs w:val="22"/>
                <w:highlight w:val="none"/>
                <w:lang w:eastAsia="zh-CN"/>
              </w:rPr>
              <w:t>标准</w:t>
            </w:r>
          </w:p>
        </w:tc>
        <w:tc>
          <w:tcPr>
            <w:tcW w:w="6084" w:type="dxa"/>
            <w:shd w:val="clear" w:color="auto" w:fill="auto"/>
            <w:noWrap w:val="0"/>
            <w:vAlign w:val="center"/>
          </w:tcPr>
          <w:p w14:paraId="38801E0A">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投标内容是否符合国家相关强制性标准</w:t>
            </w:r>
          </w:p>
          <w:p w14:paraId="5305F2FE">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（注：如果本项目所采购标的物没有国家相关强制性标准，评标专家对本项不进行评审。）</w:t>
            </w:r>
          </w:p>
        </w:tc>
      </w:tr>
      <w:tr w14:paraId="0E26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609" w:type="dxa"/>
            <w:noWrap w:val="0"/>
            <w:vAlign w:val="center"/>
          </w:tcPr>
          <w:p w14:paraId="45C11BCD">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en-US" w:eastAsia="zh-CN"/>
              </w:rPr>
              <w:t>5</w:t>
            </w:r>
          </w:p>
        </w:tc>
        <w:tc>
          <w:tcPr>
            <w:tcW w:w="2235" w:type="dxa"/>
            <w:noWrap w:val="0"/>
            <w:vAlign w:val="top"/>
          </w:tcPr>
          <w:p w14:paraId="42476E51">
            <w:pPr>
              <w:pStyle w:val="102"/>
              <w:numPr>
                <w:ilvl w:val="0"/>
                <w:numId w:val="0"/>
              </w:numPr>
              <w:snapToGrid w:val="0"/>
              <w:spacing w:line="480" w:lineRule="exact"/>
              <w:ind w:leftChars="0"/>
              <w:jc w:val="both"/>
              <w:outlineLvl w:val="9"/>
              <w:rPr>
                <w:rFonts w:hint="eastAsia" w:ascii="宋体" w:hAnsi="宋体" w:cs="仿宋_GB2312"/>
                <w:kern w:val="0"/>
                <w:sz w:val="21"/>
                <w:szCs w:val="21"/>
              </w:rPr>
            </w:pPr>
            <w:r>
              <w:rPr>
                <w:rFonts w:hint="eastAsia" w:ascii="华文中宋" w:hAnsi="华文中宋" w:eastAsia="华文中宋"/>
                <w:b w:val="0"/>
                <w:bCs w:val="0"/>
                <w:color w:val="auto"/>
                <w:sz w:val="22"/>
                <w:szCs w:val="22"/>
                <w:highlight w:val="none"/>
              </w:rPr>
              <w:t>采购预算或最高限价</w:t>
            </w:r>
          </w:p>
        </w:tc>
        <w:tc>
          <w:tcPr>
            <w:tcW w:w="6084" w:type="dxa"/>
            <w:noWrap w:val="0"/>
            <w:vAlign w:val="top"/>
          </w:tcPr>
          <w:p w14:paraId="550663A5">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报价是否超过招标文件中规定的预算金额或者最高限价的</w:t>
            </w:r>
          </w:p>
        </w:tc>
      </w:tr>
      <w:tr w14:paraId="2022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exact"/>
        </w:trPr>
        <w:tc>
          <w:tcPr>
            <w:tcW w:w="609" w:type="dxa"/>
            <w:noWrap w:val="0"/>
            <w:vAlign w:val="center"/>
          </w:tcPr>
          <w:p w14:paraId="01F2BCB6">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en-US" w:eastAsia="zh-CN"/>
              </w:rPr>
              <w:t>6</w:t>
            </w:r>
          </w:p>
        </w:tc>
        <w:tc>
          <w:tcPr>
            <w:tcW w:w="2235" w:type="dxa"/>
            <w:noWrap w:val="0"/>
            <w:vAlign w:val="top"/>
          </w:tcPr>
          <w:p w14:paraId="558FE225">
            <w:pPr>
              <w:pStyle w:val="102"/>
              <w:numPr>
                <w:ilvl w:val="0"/>
                <w:numId w:val="0"/>
              </w:numPr>
              <w:snapToGrid w:val="0"/>
              <w:spacing w:line="480" w:lineRule="exact"/>
              <w:ind w:leftChars="0"/>
              <w:jc w:val="both"/>
              <w:outlineLvl w:val="9"/>
              <w:rPr>
                <w:rFonts w:hint="eastAsia" w:ascii="宋体" w:hAnsi="宋体" w:cs="仿宋_GB2312"/>
                <w:kern w:val="0"/>
                <w:sz w:val="21"/>
                <w:szCs w:val="21"/>
              </w:rPr>
            </w:pPr>
            <w:r>
              <w:rPr>
                <w:rFonts w:hint="eastAsia"/>
                <w:b w:val="0"/>
                <w:bCs w:val="0"/>
                <w:color w:val="auto"/>
                <w:sz w:val="22"/>
                <w:szCs w:val="22"/>
                <w:highlight w:val="none"/>
              </w:rPr>
              <w:t>采购人不能接受的附加条件</w:t>
            </w:r>
          </w:p>
        </w:tc>
        <w:tc>
          <w:tcPr>
            <w:tcW w:w="6084" w:type="dxa"/>
            <w:noWrap w:val="0"/>
            <w:vAlign w:val="top"/>
          </w:tcPr>
          <w:p w14:paraId="7E2FD31D">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电子投标文件是否含有采购人不能接受的附加条件的</w:t>
            </w:r>
          </w:p>
        </w:tc>
      </w:tr>
      <w:tr w14:paraId="7C0E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09" w:type="dxa"/>
            <w:noWrap w:val="0"/>
            <w:vAlign w:val="center"/>
          </w:tcPr>
          <w:p w14:paraId="682B63C4">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en-US" w:eastAsia="zh-CN"/>
              </w:rPr>
              <w:t>7</w:t>
            </w:r>
          </w:p>
        </w:tc>
        <w:tc>
          <w:tcPr>
            <w:tcW w:w="2235" w:type="dxa"/>
            <w:noWrap w:val="0"/>
            <w:vAlign w:val="center"/>
          </w:tcPr>
          <w:p w14:paraId="61740FC7">
            <w:pPr>
              <w:spacing w:line="280" w:lineRule="exact"/>
              <w:outlineLvl w:val="9"/>
              <w:rPr>
                <w:rFonts w:hint="eastAsia" w:ascii="宋体" w:hAnsi="宋体" w:cs="仿宋_GB2312"/>
                <w:kern w:val="0"/>
                <w:sz w:val="21"/>
                <w:szCs w:val="21"/>
              </w:rPr>
            </w:pPr>
            <w:r>
              <w:rPr>
                <w:rFonts w:hint="eastAsia" w:ascii="宋体" w:hAnsi="宋体" w:cs="仿宋_GB2312"/>
                <w:kern w:val="0"/>
                <w:sz w:val="21"/>
                <w:szCs w:val="21"/>
              </w:rPr>
              <w:t>投标有效期</w:t>
            </w:r>
          </w:p>
        </w:tc>
        <w:tc>
          <w:tcPr>
            <w:tcW w:w="6084" w:type="dxa"/>
            <w:noWrap w:val="0"/>
            <w:vAlign w:val="center"/>
          </w:tcPr>
          <w:p w14:paraId="35CB9DAF">
            <w:pPr>
              <w:spacing w:line="280" w:lineRule="exact"/>
              <w:jc w:val="left"/>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符合 “供应商须知”60日历天的规定。</w:t>
            </w:r>
          </w:p>
        </w:tc>
      </w:tr>
      <w:tr w14:paraId="284A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9" w:hRule="exact"/>
        </w:trPr>
        <w:tc>
          <w:tcPr>
            <w:tcW w:w="609" w:type="dxa"/>
            <w:noWrap w:val="0"/>
            <w:vAlign w:val="center"/>
          </w:tcPr>
          <w:p w14:paraId="7B798D72">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en-US" w:eastAsia="zh-CN"/>
              </w:rPr>
              <w:t>8</w:t>
            </w:r>
          </w:p>
        </w:tc>
        <w:tc>
          <w:tcPr>
            <w:tcW w:w="2235" w:type="dxa"/>
            <w:noWrap w:val="0"/>
            <w:vAlign w:val="center"/>
          </w:tcPr>
          <w:p w14:paraId="7B276A46">
            <w:pPr>
              <w:pStyle w:val="102"/>
              <w:numPr>
                <w:ilvl w:val="0"/>
                <w:numId w:val="0"/>
              </w:numPr>
              <w:snapToGrid w:val="0"/>
              <w:spacing w:line="480" w:lineRule="exact"/>
              <w:ind w:leftChars="0"/>
              <w:jc w:val="both"/>
              <w:outlineLvl w:val="9"/>
              <w:rPr>
                <w:rFonts w:hint="eastAsia" w:ascii="宋体" w:hAnsi="宋体" w:cs="仿宋_GB2312"/>
                <w:kern w:val="0"/>
                <w:sz w:val="21"/>
                <w:szCs w:val="21"/>
              </w:rPr>
            </w:pPr>
            <w:r>
              <w:rPr>
                <w:rFonts w:hint="eastAsia"/>
                <w:b w:val="0"/>
                <w:bCs w:val="0"/>
                <w:color w:val="auto"/>
                <w:sz w:val="22"/>
                <w:szCs w:val="22"/>
                <w:highlight w:val="none"/>
              </w:rPr>
              <w:t>法律、法规和招标文件规定的其他无效情形</w:t>
            </w:r>
          </w:p>
        </w:tc>
        <w:tc>
          <w:tcPr>
            <w:tcW w:w="6084" w:type="dxa"/>
            <w:noWrap w:val="0"/>
            <w:vAlign w:val="top"/>
          </w:tcPr>
          <w:p w14:paraId="4D439C7A">
            <w:pPr>
              <w:pStyle w:val="162"/>
              <w:keepNext w:val="0"/>
              <w:keepLines w:val="0"/>
              <w:pageBreakBefore w:val="0"/>
              <w:widowControl w:val="0"/>
              <w:kinsoku/>
              <w:wordWrap/>
              <w:overflowPunct/>
              <w:topLinePunct w:val="0"/>
              <w:autoSpaceDE/>
              <w:autoSpaceDN/>
              <w:bidi w:val="0"/>
              <w:spacing w:line="360" w:lineRule="auto"/>
              <w:ind w:firstLine="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1.不同投标人的电子投标文件是否由同一单位或者个人编制； </w:t>
            </w:r>
          </w:p>
          <w:p w14:paraId="0948BA67">
            <w:pPr>
              <w:pStyle w:val="162"/>
              <w:keepNext w:val="0"/>
              <w:keepLines w:val="0"/>
              <w:pageBreakBefore w:val="0"/>
              <w:widowControl w:val="0"/>
              <w:kinsoku/>
              <w:wordWrap/>
              <w:overflowPunct/>
              <w:topLinePunct w:val="0"/>
              <w:autoSpaceDE/>
              <w:autoSpaceDN/>
              <w:bidi w:val="0"/>
              <w:spacing w:line="360" w:lineRule="auto"/>
              <w:ind w:firstLine="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2.不同投标人是否委托同一单位或者个人办理投标事宜； </w:t>
            </w:r>
          </w:p>
          <w:p w14:paraId="63934F5E">
            <w:pPr>
              <w:pStyle w:val="162"/>
              <w:keepNext w:val="0"/>
              <w:keepLines w:val="0"/>
              <w:pageBreakBefore w:val="0"/>
              <w:widowControl w:val="0"/>
              <w:kinsoku/>
              <w:wordWrap/>
              <w:overflowPunct/>
              <w:topLinePunct w:val="0"/>
              <w:autoSpaceDE/>
              <w:autoSpaceDN/>
              <w:bidi w:val="0"/>
              <w:spacing w:line="360" w:lineRule="auto"/>
              <w:ind w:firstLine="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3.不同投标人的电子投标文件载明的项目管理成员或者联系人员是否为同一人； </w:t>
            </w:r>
          </w:p>
          <w:p w14:paraId="2D8386FC">
            <w:pPr>
              <w:pStyle w:val="162"/>
              <w:keepNext w:val="0"/>
              <w:keepLines w:val="0"/>
              <w:pageBreakBefore w:val="0"/>
              <w:widowControl w:val="0"/>
              <w:kinsoku/>
              <w:wordWrap/>
              <w:overflowPunct/>
              <w:topLinePunct w:val="0"/>
              <w:autoSpaceDE/>
              <w:autoSpaceDN/>
              <w:bidi w:val="0"/>
              <w:spacing w:line="360" w:lineRule="auto"/>
              <w:ind w:firstLine="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4.不同投标人的电子投标文件是否异常一致或者投标报价是否呈规律性差异； </w:t>
            </w:r>
          </w:p>
          <w:p w14:paraId="698FC5EA">
            <w:pPr>
              <w:pStyle w:val="162"/>
              <w:keepNext w:val="0"/>
              <w:keepLines w:val="0"/>
              <w:pageBreakBefore w:val="0"/>
              <w:widowControl w:val="0"/>
              <w:kinsoku/>
              <w:wordWrap/>
              <w:overflowPunct/>
              <w:topLinePunct w:val="0"/>
              <w:autoSpaceDE/>
              <w:autoSpaceDN/>
              <w:bidi w:val="0"/>
              <w:spacing w:line="360" w:lineRule="auto"/>
              <w:ind w:firstLine="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 xml:space="preserve">5.不同投标人的电子投标文件是否相互混装； </w:t>
            </w:r>
          </w:p>
          <w:p w14:paraId="55CA1A0A">
            <w:pPr>
              <w:pStyle w:val="102"/>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6.其它无效情形。</w:t>
            </w:r>
          </w:p>
        </w:tc>
      </w:tr>
      <w:tr w14:paraId="5F90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exact"/>
        </w:trPr>
        <w:tc>
          <w:tcPr>
            <w:tcW w:w="609" w:type="dxa"/>
            <w:noWrap w:val="0"/>
            <w:vAlign w:val="center"/>
          </w:tcPr>
          <w:p w14:paraId="628AF49C">
            <w:pPr>
              <w:spacing w:line="280" w:lineRule="exact"/>
              <w:jc w:val="both"/>
              <w:outlineLvl w:val="9"/>
              <w:rPr>
                <w:rFonts w:hint="eastAsia" w:ascii="宋体" w:hAnsi="宋体" w:eastAsia="宋体" w:cs="仿宋_GB2312"/>
                <w:kern w:val="0"/>
                <w:sz w:val="21"/>
                <w:szCs w:val="21"/>
                <w:lang w:val="en-US" w:eastAsia="zh-CN"/>
              </w:rPr>
            </w:pPr>
            <w:r>
              <w:rPr>
                <w:rFonts w:hint="eastAsia" w:ascii="宋体" w:hAnsi="宋体" w:eastAsia="宋体" w:cs="仿宋_GB2312"/>
                <w:kern w:val="0"/>
                <w:sz w:val="21"/>
                <w:szCs w:val="21"/>
                <w:lang w:val="en-US" w:eastAsia="zh-CN"/>
              </w:rPr>
              <w:t>9</w:t>
            </w:r>
          </w:p>
        </w:tc>
        <w:tc>
          <w:tcPr>
            <w:tcW w:w="2235" w:type="dxa"/>
            <w:noWrap w:val="0"/>
            <w:vAlign w:val="center"/>
          </w:tcPr>
          <w:p w14:paraId="543CDC46">
            <w:pPr>
              <w:spacing w:line="280" w:lineRule="exact"/>
              <w:outlineLvl w:val="9"/>
              <w:rPr>
                <w:rFonts w:hint="eastAsia" w:ascii="宋体" w:hAnsi="宋体" w:cs="仿宋_GB2312"/>
                <w:kern w:val="0"/>
                <w:sz w:val="21"/>
                <w:szCs w:val="21"/>
              </w:rPr>
            </w:pPr>
            <w:r>
              <w:rPr>
                <w:rFonts w:hint="eastAsia" w:ascii="宋体" w:hAnsi="宋体" w:cs="仿宋_GB2312"/>
                <w:kern w:val="0"/>
                <w:sz w:val="21"/>
                <w:szCs w:val="21"/>
              </w:rPr>
              <w:t>其它要求</w:t>
            </w:r>
          </w:p>
        </w:tc>
        <w:tc>
          <w:tcPr>
            <w:tcW w:w="6084" w:type="dxa"/>
            <w:noWrap w:val="0"/>
            <w:vAlign w:val="center"/>
          </w:tcPr>
          <w:p w14:paraId="1DC40787">
            <w:pPr>
              <w:spacing w:line="280" w:lineRule="exact"/>
              <w:jc w:val="left"/>
              <w:outlineLvl w:val="9"/>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符合“招标文件”其它规定要求。</w:t>
            </w:r>
          </w:p>
        </w:tc>
      </w:tr>
    </w:tbl>
    <w:p w14:paraId="5433F099">
      <w:pPr>
        <w:pStyle w:val="24"/>
        <w:numPr>
          <w:ilvl w:val="0"/>
          <w:numId w:val="0"/>
        </w:numPr>
        <w:adjustRightInd w:val="0"/>
        <w:snapToGrid w:val="0"/>
        <w:spacing w:before="120" w:beforeLines="50" w:line="360" w:lineRule="auto"/>
        <w:ind w:leftChars="0"/>
        <w:jc w:val="left"/>
        <w:outlineLvl w:val="9"/>
        <w:rPr>
          <w:rFonts w:hint="default" w:hAnsi="宋体" w:eastAsia="宋体"/>
          <w:b/>
          <w:sz w:val="22"/>
          <w:szCs w:val="22"/>
          <w:lang w:val="en-US" w:eastAsia="zh-CN"/>
        </w:rPr>
      </w:pPr>
      <w:r>
        <w:rPr>
          <w:rFonts w:hint="eastAsia" w:hAnsi="宋体"/>
          <w:b/>
          <w:sz w:val="22"/>
          <w:szCs w:val="22"/>
          <w:lang w:val="en-US" w:eastAsia="zh-CN"/>
        </w:rPr>
        <w:t>3.综合评分：</w:t>
      </w:r>
    </w:p>
    <w:p w14:paraId="2E94FCA1">
      <w:pPr>
        <w:pStyle w:val="24"/>
        <w:adjustRightInd w:val="0"/>
        <w:snapToGrid w:val="0"/>
        <w:spacing w:before="120" w:beforeLines="50" w:line="360" w:lineRule="auto"/>
        <w:jc w:val="left"/>
        <w:outlineLvl w:val="9"/>
        <w:rPr>
          <w:rFonts w:hint="eastAsia" w:hAnsi="宋体" w:cs="Tahoma"/>
          <w:b/>
          <w:sz w:val="22"/>
          <w:szCs w:val="28"/>
        </w:rPr>
      </w:pPr>
      <w:r>
        <w:rPr>
          <w:rFonts w:hint="eastAsia" w:hAnsi="宋体" w:cs="Tahoma"/>
          <w:b/>
          <w:sz w:val="22"/>
          <w:szCs w:val="28"/>
        </w:rPr>
        <w:t>评标标准：综合评分明细表：满分100分。</w:t>
      </w:r>
    </w:p>
    <w:p w14:paraId="1E137DB2">
      <w:pPr>
        <w:jc w:val="center"/>
        <w:outlineLvl w:val="9"/>
        <w:rPr>
          <w:rFonts w:hint="eastAsia" w:ascii="宋体" w:hAnsi="宋体" w:eastAsia="宋体" w:cs="Times New Roman"/>
          <w:kern w:val="2"/>
          <w:sz w:val="22"/>
          <w:szCs w:val="22"/>
          <w:lang w:val="en-US" w:eastAsia="zh-CN" w:bidi="ar-SA"/>
        </w:rPr>
      </w:pPr>
      <w:r>
        <w:rPr>
          <w:rFonts w:hint="eastAsia" w:ascii="宋体" w:hAnsi="宋体"/>
          <w:b/>
          <w:sz w:val="30"/>
          <w:szCs w:val="30"/>
        </w:rPr>
        <w:t>评分细则</w:t>
      </w:r>
      <w:r>
        <w:rPr>
          <w:rFonts w:hint="eastAsia" w:ascii="宋体" w:hAnsi="宋体" w:cs="Tahoma"/>
          <w:b/>
          <w:sz w:val="28"/>
          <w:szCs w:val="36"/>
        </w:rPr>
        <w:t>具体为：</w:t>
      </w:r>
    </w:p>
    <w:p w14:paraId="1280C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本项目评标办法采用综合评分法</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满分100分</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本项目采用固定价格采购，其</w:t>
      </w:r>
      <w:r>
        <w:rPr>
          <w:rFonts w:hint="eastAsia" w:ascii="仿宋_GB2312" w:eastAsia="仿宋_GB2312" w:cs="Times New Roman"/>
          <w:sz w:val="32"/>
          <w:szCs w:val="32"/>
          <w:highlight w:val="none"/>
          <w:lang w:eastAsia="zh-CN"/>
        </w:rPr>
        <w:t>价格不列为评审因素。</w:t>
      </w:r>
      <w:r>
        <w:rPr>
          <w:rFonts w:hint="eastAsia" w:ascii="仿宋_GB2312" w:eastAsia="仿宋_GB2312" w:cs="Times New Roman"/>
          <w:sz w:val="32"/>
          <w:szCs w:val="32"/>
          <w:highlight w:val="none"/>
          <w:lang w:val="en-US" w:eastAsia="zh-CN"/>
        </w:rPr>
        <w:t>其中商务部分5分，技术部分95分。</w:t>
      </w:r>
    </w:p>
    <w:tbl>
      <w:tblPr>
        <w:tblStyle w:val="46"/>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98"/>
        <w:gridCol w:w="1410"/>
        <w:gridCol w:w="5889"/>
        <w:gridCol w:w="885"/>
      </w:tblGrid>
      <w:tr w14:paraId="4A9A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42" w:type="dxa"/>
            <w:tcBorders>
              <w:tl2br w:val="nil"/>
              <w:tr2bl w:val="nil"/>
            </w:tcBorders>
            <w:noWrap w:val="0"/>
            <w:vAlign w:val="center"/>
          </w:tcPr>
          <w:p w14:paraId="24E4421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en-US" w:bidi="en-US"/>
              </w:rPr>
            </w:pPr>
            <w:r>
              <w:rPr>
                <w:rFonts w:hint="eastAsia" w:ascii="宋体" w:hAnsi="宋体" w:eastAsia="宋体" w:cs="宋体"/>
                <w:b/>
                <w:color w:val="auto"/>
                <w:spacing w:val="0"/>
                <w:w w:val="100"/>
                <w:kern w:val="0"/>
                <w:position w:val="0"/>
                <w:sz w:val="24"/>
                <w:szCs w:val="24"/>
                <w:shd w:val="clear" w:color="auto" w:fill="auto"/>
                <w:lang w:eastAsia="en-US" w:bidi="en-US"/>
              </w:rPr>
              <w:t>序号</w:t>
            </w:r>
          </w:p>
        </w:tc>
        <w:tc>
          <w:tcPr>
            <w:tcW w:w="998" w:type="dxa"/>
            <w:tcBorders>
              <w:tl2br w:val="nil"/>
              <w:tr2bl w:val="nil"/>
            </w:tcBorders>
            <w:noWrap w:val="0"/>
            <w:vAlign w:val="center"/>
          </w:tcPr>
          <w:p w14:paraId="0E12522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en-US" w:bidi="en-US"/>
              </w:rPr>
            </w:pPr>
            <w:r>
              <w:rPr>
                <w:rFonts w:hint="eastAsia" w:ascii="宋体" w:hAnsi="宋体" w:eastAsia="宋体" w:cs="宋体"/>
                <w:b/>
                <w:color w:val="auto"/>
                <w:spacing w:val="0"/>
                <w:w w:val="100"/>
                <w:kern w:val="0"/>
                <w:position w:val="0"/>
                <w:sz w:val="24"/>
                <w:szCs w:val="24"/>
                <w:shd w:val="clear" w:color="auto" w:fill="auto"/>
                <w:lang w:eastAsia="en-US" w:bidi="en-US"/>
              </w:rPr>
              <w:t>评分</w:t>
            </w:r>
          </w:p>
          <w:p w14:paraId="43A1411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en-US" w:bidi="en-US"/>
              </w:rPr>
            </w:pPr>
            <w:r>
              <w:rPr>
                <w:rFonts w:hint="eastAsia" w:ascii="宋体" w:hAnsi="宋体" w:eastAsia="宋体" w:cs="宋体"/>
                <w:b/>
                <w:color w:val="auto"/>
                <w:spacing w:val="0"/>
                <w:w w:val="100"/>
                <w:kern w:val="0"/>
                <w:position w:val="0"/>
                <w:sz w:val="24"/>
                <w:szCs w:val="24"/>
                <w:shd w:val="clear" w:color="auto" w:fill="auto"/>
                <w:lang w:eastAsia="en-US" w:bidi="en-US"/>
              </w:rPr>
              <w:t>项目</w:t>
            </w:r>
          </w:p>
          <w:p w14:paraId="3E3AD1D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en-US" w:bidi="en-US"/>
              </w:rPr>
            </w:pPr>
            <w:r>
              <w:rPr>
                <w:rFonts w:hint="eastAsia" w:ascii="宋体" w:hAnsi="宋体" w:eastAsia="宋体" w:cs="宋体"/>
                <w:b/>
                <w:color w:val="auto"/>
                <w:spacing w:val="0"/>
                <w:w w:val="100"/>
                <w:kern w:val="0"/>
                <w:position w:val="0"/>
                <w:sz w:val="24"/>
                <w:szCs w:val="24"/>
                <w:shd w:val="clear" w:color="auto" w:fill="auto"/>
                <w:lang w:eastAsia="en-US" w:bidi="en-US"/>
              </w:rPr>
              <w:t>及权重</w:t>
            </w:r>
          </w:p>
        </w:tc>
        <w:tc>
          <w:tcPr>
            <w:tcW w:w="1410" w:type="dxa"/>
            <w:tcBorders>
              <w:tl2br w:val="nil"/>
              <w:tr2bl w:val="nil"/>
            </w:tcBorders>
            <w:noWrap w:val="0"/>
            <w:vAlign w:val="center"/>
          </w:tcPr>
          <w:p w14:paraId="03743C9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en-US" w:bidi="en-US"/>
              </w:rPr>
            </w:pPr>
            <w:r>
              <w:rPr>
                <w:rFonts w:hint="eastAsia" w:ascii="宋体" w:hAnsi="宋体" w:eastAsia="宋体" w:cs="宋体"/>
                <w:b/>
                <w:color w:val="auto"/>
                <w:spacing w:val="0"/>
                <w:w w:val="100"/>
                <w:kern w:val="0"/>
                <w:position w:val="0"/>
                <w:sz w:val="24"/>
                <w:szCs w:val="24"/>
                <w:shd w:val="clear" w:color="auto" w:fill="auto"/>
                <w:lang w:eastAsia="en-US" w:bidi="en-US"/>
              </w:rPr>
              <w:t>满分</w:t>
            </w:r>
          </w:p>
          <w:p w14:paraId="62C9618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en-US" w:bidi="en-US"/>
              </w:rPr>
            </w:pPr>
            <w:r>
              <w:rPr>
                <w:rFonts w:hint="eastAsia" w:ascii="宋体" w:hAnsi="宋体" w:eastAsia="宋体" w:cs="宋体"/>
                <w:b/>
                <w:color w:val="auto"/>
                <w:spacing w:val="0"/>
                <w:w w:val="100"/>
                <w:kern w:val="0"/>
                <w:position w:val="0"/>
                <w:sz w:val="24"/>
                <w:szCs w:val="24"/>
                <w:shd w:val="clear" w:color="auto" w:fill="auto"/>
                <w:lang w:eastAsia="en-US" w:bidi="en-US"/>
              </w:rPr>
              <w:t>分值</w:t>
            </w:r>
          </w:p>
        </w:tc>
        <w:tc>
          <w:tcPr>
            <w:tcW w:w="5889" w:type="dxa"/>
            <w:tcBorders>
              <w:tl2br w:val="nil"/>
              <w:tr2bl w:val="nil"/>
            </w:tcBorders>
            <w:noWrap w:val="0"/>
            <w:vAlign w:val="center"/>
          </w:tcPr>
          <w:p w14:paraId="4B23D11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en-US" w:bidi="en-US"/>
              </w:rPr>
            </w:pPr>
            <w:r>
              <w:rPr>
                <w:rFonts w:hint="eastAsia" w:ascii="宋体" w:hAnsi="宋体" w:eastAsia="宋体" w:cs="宋体"/>
                <w:b/>
                <w:color w:val="auto"/>
                <w:spacing w:val="0"/>
                <w:w w:val="100"/>
                <w:kern w:val="0"/>
                <w:position w:val="0"/>
                <w:sz w:val="24"/>
                <w:szCs w:val="24"/>
                <w:shd w:val="clear" w:color="auto" w:fill="auto"/>
                <w:lang w:eastAsia="en-US" w:bidi="en-US"/>
              </w:rPr>
              <w:t>评分标准</w:t>
            </w:r>
          </w:p>
        </w:tc>
        <w:tc>
          <w:tcPr>
            <w:tcW w:w="885" w:type="dxa"/>
            <w:tcBorders>
              <w:tl2br w:val="nil"/>
              <w:tr2bl w:val="nil"/>
            </w:tcBorders>
            <w:noWrap w:val="0"/>
            <w:vAlign w:val="center"/>
          </w:tcPr>
          <w:p w14:paraId="7E6CD88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宋体" w:hAnsi="宋体" w:eastAsia="宋体" w:cs="宋体"/>
                <w:b/>
                <w:color w:val="auto"/>
                <w:spacing w:val="0"/>
                <w:w w:val="100"/>
                <w:kern w:val="0"/>
                <w:position w:val="0"/>
                <w:sz w:val="24"/>
                <w:szCs w:val="24"/>
                <w:shd w:val="clear" w:color="auto" w:fill="auto"/>
                <w:lang w:eastAsia="zh-CN" w:bidi="en-US"/>
              </w:rPr>
            </w:pPr>
            <w:r>
              <w:rPr>
                <w:rFonts w:hint="eastAsia" w:ascii="宋体" w:hAnsi="宋体" w:eastAsia="宋体" w:cs="宋体"/>
                <w:b/>
                <w:color w:val="auto"/>
                <w:spacing w:val="0"/>
                <w:w w:val="100"/>
                <w:kern w:val="0"/>
                <w:position w:val="0"/>
                <w:sz w:val="24"/>
                <w:szCs w:val="24"/>
                <w:shd w:val="clear" w:color="auto" w:fill="auto"/>
                <w:lang w:val="en-US" w:eastAsia="zh-CN" w:bidi="en-US"/>
              </w:rPr>
              <w:t>备注</w:t>
            </w:r>
          </w:p>
        </w:tc>
      </w:tr>
      <w:tr w14:paraId="3ED3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42" w:type="dxa"/>
            <w:tcBorders>
              <w:tl2br w:val="nil"/>
              <w:tr2bl w:val="nil"/>
            </w:tcBorders>
            <w:noWrap w:val="0"/>
            <w:vAlign w:val="center"/>
          </w:tcPr>
          <w:p w14:paraId="09989FAF">
            <w:pPr>
              <w:keepNext w:val="0"/>
              <w:keepLines w:val="0"/>
              <w:suppressLineNumbers w:val="0"/>
              <w:shd w:val="clear" w:color="auto" w:fill="auto"/>
              <w:bidi w:val="0"/>
              <w:spacing w:before="0" w:beforeAutospacing="0" w:after="0" w:afterAutospacing="0" w:line="300" w:lineRule="exact"/>
              <w:ind w:left="0" w:right="0" w:firstLine="0"/>
              <w:jc w:val="center"/>
              <w:rPr>
                <w:rFonts w:hint="eastAsia" w:ascii="宋体" w:hAnsi="宋体" w:eastAsia="宋体" w:cs="宋体"/>
                <w:color w:val="auto"/>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一</w:t>
            </w:r>
          </w:p>
        </w:tc>
        <w:tc>
          <w:tcPr>
            <w:tcW w:w="998" w:type="dxa"/>
            <w:tcBorders>
              <w:tl2br w:val="nil"/>
              <w:tr2bl w:val="nil"/>
            </w:tcBorders>
            <w:noWrap w:val="0"/>
            <w:vAlign w:val="center"/>
          </w:tcPr>
          <w:p w14:paraId="781EBB01">
            <w:pPr>
              <w:keepNext w:val="0"/>
              <w:keepLines w:val="0"/>
              <w:suppressLineNumbers w:val="0"/>
              <w:shd w:val="clear" w:color="auto" w:fill="auto"/>
              <w:bidi w:val="0"/>
              <w:spacing w:before="0" w:beforeAutospacing="0" w:after="0" w:afterAutospacing="0" w:line="300" w:lineRule="exact"/>
              <w:ind w:left="0" w:right="0" w:firstLine="0"/>
              <w:jc w:val="center"/>
              <w:rPr>
                <w:rFonts w:hint="eastAsia" w:ascii="宋体" w:hAnsi="宋体" w:eastAsia="宋体" w:cs="宋体"/>
                <w:color w:val="auto"/>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商务</w:t>
            </w:r>
          </w:p>
          <w:p w14:paraId="7F5D3596">
            <w:pPr>
              <w:keepNext w:val="0"/>
              <w:keepLines w:val="0"/>
              <w:suppressLineNumbers w:val="0"/>
              <w:shd w:val="clear" w:color="auto" w:fill="auto"/>
              <w:bidi w:val="0"/>
              <w:spacing w:before="0" w:beforeAutospacing="0" w:after="0" w:afterAutospacing="0" w:line="300" w:lineRule="exact"/>
              <w:ind w:left="0" w:right="0" w:firstLine="0"/>
              <w:jc w:val="center"/>
              <w:rPr>
                <w:rFonts w:hint="eastAsia" w:ascii="宋体" w:hAnsi="宋体" w:eastAsia="宋体" w:cs="宋体"/>
                <w:color w:val="auto"/>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部分</w:t>
            </w:r>
          </w:p>
          <w:p w14:paraId="460D8D20">
            <w:pPr>
              <w:keepNext w:val="0"/>
              <w:keepLines w:val="0"/>
              <w:suppressLineNumbers w:val="0"/>
              <w:shd w:val="clear" w:color="auto" w:fill="auto"/>
              <w:bidi w:val="0"/>
              <w:spacing w:before="0" w:beforeAutospacing="0" w:after="0" w:afterAutospacing="0" w:line="300" w:lineRule="exact"/>
              <w:ind w:left="0" w:right="0" w:firstLine="0"/>
              <w:jc w:val="center"/>
              <w:rPr>
                <w:rFonts w:hint="eastAsia" w:ascii="宋体" w:hAnsi="宋体" w:eastAsia="宋体" w:cs="宋体"/>
                <w:color w:val="auto"/>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eastAsia="en-US" w:bidi="en-US"/>
              </w:rPr>
              <w:t>（</w:t>
            </w:r>
            <w:r>
              <w:rPr>
                <w:rFonts w:hint="eastAsia" w:ascii="宋体" w:hAnsi="宋体" w:eastAsia="宋体" w:cs="宋体"/>
                <w:color w:val="auto"/>
                <w:spacing w:val="0"/>
                <w:w w:val="100"/>
                <w:kern w:val="0"/>
                <w:position w:val="0"/>
                <w:sz w:val="24"/>
                <w:szCs w:val="24"/>
                <w:shd w:val="clear" w:color="auto" w:fill="auto"/>
                <w:lang w:val="en-US" w:eastAsia="zh-CN" w:bidi="en-US"/>
              </w:rPr>
              <w:t>5%</w:t>
            </w:r>
            <w:r>
              <w:rPr>
                <w:rFonts w:hint="eastAsia" w:ascii="宋体" w:hAnsi="宋体" w:eastAsia="宋体" w:cs="宋体"/>
                <w:color w:val="auto"/>
                <w:spacing w:val="0"/>
                <w:w w:val="100"/>
                <w:kern w:val="0"/>
                <w:position w:val="0"/>
                <w:sz w:val="24"/>
                <w:szCs w:val="24"/>
                <w:shd w:val="clear" w:color="auto" w:fill="auto"/>
                <w:lang w:eastAsia="en-US" w:bidi="en-US"/>
              </w:rPr>
              <w:t>）</w:t>
            </w:r>
          </w:p>
        </w:tc>
        <w:tc>
          <w:tcPr>
            <w:tcW w:w="1410" w:type="dxa"/>
            <w:tcBorders>
              <w:tl2br w:val="nil"/>
              <w:tr2bl w:val="nil"/>
            </w:tcBorders>
            <w:noWrap w:val="0"/>
            <w:vAlign w:val="center"/>
          </w:tcPr>
          <w:p w14:paraId="2346280E">
            <w:pPr>
              <w:keepNext w:val="0"/>
              <w:keepLines w:val="0"/>
              <w:shd w:val="clear" w:color="auto" w:fill="auto"/>
              <w:bidi w:val="0"/>
              <w:spacing w:before="0" w:after="0" w:line="300" w:lineRule="exact"/>
              <w:ind w:left="0" w:right="0" w:firstLine="0"/>
              <w:jc w:val="center"/>
              <w:rPr>
                <w:rFonts w:hint="eastAsia" w:ascii="宋体" w:hAnsi="宋体" w:eastAsia="宋体" w:cs="宋体"/>
                <w:color w:val="auto"/>
                <w:spacing w:val="0"/>
                <w:w w:val="100"/>
                <w:kern w:val="0"/>
                <w:position w:val="0"/>
                <w:sz w:val="24"/>
                <w:szCs w:val="24"/>
                <w:highlight w:val="none"/>
                <w:shd w:val="clear" w:color="auto" w:fill="auto"/>
                <w:lang w:eastAsia="zh-CN" w:bidi="en-US"/>
              </w:rPr>
            </w:pPr>
            <w:r>
              <w:rPr>
                <w:rFonts w:hint="eastAsia" w:ascii="宋体" w:hAnsi="宋体" w:eastAsia="宋体" w:cs="宋体"/>
                <w:color w:val="auto"/>
                <w:spacing w:val="0"/>
                <w:w w:val="100"/>
                <w:kern w:val="0"/>
                <w:position w:val="0"/>
                <w:sz w:val="24"/>
                <w:szCs w:val="24"/>
                <w:highlight w:val="none"/>
                <w:shd w:val="clear" w:color="auto" w:fill="auto"/>
                <w:lang w:eastAsia="zh-CN" w:bidi="en-US"/>
              </w:rPr>
              <w:t>履约能力</w:t>
            </w:r>
          </w:p>
          <w:p w14:paraId="12F7B398">
            <w:pPr>
              <w:keepNext w:val="0"/>
              <w:keepLines w:val="0"/>
              <w:shd w:val="clear" w:color="auto" w:fill="auto"/>
              <w:bidi w:val="0"/>
              <w:spacing w:before="0" w:after="0" w:line="300" w:lineRule="exact"/>
              <w:ind w:left="0" w:right="0" w:firstLine="0"/>
              <w:jc w:val="center"/>
              <w:rPr>
                <w:rFonts w:hint="eastAsia" w:ascii="宋体" w:hAnsi="宋体" w:eastAsia="宋体" w:cs="宋体"/>
                <w:color w:val="auto"/>
                <w:spacing w:val="0"/>
                <w:w w:val="100"/>
                <w:kern w:val="0"/>
                <w:position w:val="0"/>
                <w:sz w:val="24"/>
                <w:szCs w:val="24"/>
                <w:highlight w:val="none"/>
                <w:shd w:val="clear" w:color="auto" w:fill="auto"/>
                <w:lang w:eastAsia="zh-CN" w:bidi="en-US"/>
              </w:rPr>
            </w:pPr>
            <w:r>
              <w:rPr>
                <w:rFonts w:hint="eastAsia" w:ascii="宋体" w:hAnsi="宋体" w:eastAsia="宋体" w:cs="宋体"/>
                <w:color w:val="auto"/>
                <w:spacing w:val="0"/>
                <w:w w:val="100"/>
                <w:kern w:val="0"/>
                <w:position w:val="0"/>
                <w:sz w:val="24"/>
                <w:szCs w:val="24"/>
                <w:highlight w:val="none"/>
                <w:shd w:val="clear" w:color="auto" w:fill="auto"/>
                <w:lang w:eastAsia="en-US" w:bidi="en-US"/>
              </w:rPr>
              <w:t>（</w:t>
            </w:r>
            <w:r>
              <w:rPr>
                <w:rFonts w:hint="eastAsia" w:ascii="宋体" w:hAnsi="宋体" w:eastAsia="宋体" w:cs="宋体"/>
                <w:color w:val="auto"/>
                <w:spacing w:val="0"/>
                <w:w w:val="100"/>
                <w:kern w:val="0"/>
                <w:position w:val="0"/>
                <w:sz w:val="24"/>
                <w:szCs w:val="24"/>
                <w:highlight w:val="none"/>
                <w:shd w:val="clear" w:color="auto" w:fill="auto"/>
                <w:lang w:eastAsia="zh-CN" w:bidi="en-US"/>
              </w:rPr>
              <w:t>满分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5</w:t>
            </w:r>
            <w:r>
              <w:rPr>
                <w:rFonts w:hint="eastAsia" w:ascii="宋体" w:hAnsi="宋体" w:eastAsia="宋体" w:cs="宋体"/>
                <w:color w:val="auto"/>
                <w:spacing w:val="0"/>
                <w:w w:val="100"/>
                <w:kern w:val="0"/>
                <w:position w:val="0"/>
                <w:sz w:val="24"/>
                <w:szCs w:val="24"/>
                <w:highlight w:val="none"/>
                <w:shd w:val="clear" w:color="auto" w:fill="auto"/>
                <w:lang w:eastAsia="en-US" w:bidi="en-US"/>
              </w:rPr>
              <w:t>分）</w:t>
            </w:r>
          </w:p>
        </w:tc>
        <w:tc>
          <w:tcPr>
            <w:tcW w:w="5889" w:type="dxa"/>
            <w:tcBorders>
              <w:tl2br w:val="nil"/>
              <w:tr2bl w:val="nil"/>
            </w:tcBorders>
            <w:noWrap w:val="0"/>
            <w:vAlign w:val="center"/>
          </w:tcPr>
          <w:p w14:paraId="1AA13764">
            <w:pPr>
              <w:keepNext w:val="0"/>
              <w:keepLines w:val="0"/>
              <w:suppressLineNumbers w:val="0"/>
              <w:shd w:val="clear" w:color="auto" w:fill="auto"/>
              <w:bidi w:val="0"/>
              <w:spacing w:before="0" w:beforeAutospacing="0" w:after="0" w:afterAutospacing="0" w:line="300" w:lineRule="exact"/>
              <w:ind w:left="0" w:leftChars="0" w:right="0" w:rightChars="0" w:firstLine="0"/>
              <w:jc w:val="left"/>
              <w:rPr>
                <w:rFonts w:hint="eastAsia" w:ascii="宋体" w:hAnsi="宋体" w:eastAsia="宋体" w:cs="宋体"/>
                <w:color w:val="auto"/>
                <w:spacing w:val="0"/>
                <w:w w:val="100"/>
                <w:kern w:val="0"/>
                <w:position w:val="0"/>
                <w:sz w:val="24"/>
                <w:szCs w:val="24"/>
                <w:highlight w:val="none"/>
                <w:shd w:val="clear" w:color="auto" w:fill="auto"/>
                <w:lang w:eastAsia="en-US" w:bidi="en-US"/>
              </w:rPr>
            </w:pPr>
            <w:r>
              <w:rPr>
                <w:rFonts w:hint="eastAsia" w:ascii="宋体" w:hAnsi="宋体" w:eastAsia="宋体" w:cs="宋体"/>
                <w:color w:val="auto"/>
                <w:spacing w:val="0"/>
                <w:w w:val="100"/>
                <w:kern w:val="0"/>
                <w:position w:val="0"/>
                <w:sz w:val="24"/>
                <w:szCs w:val="24"/>
                <w:highlight w:val="none"/>
                <w:shd w:val="clear" w:color="auto" w:fill="auto"/>
                <w:lang w:eastAsia="en-US" w:bidi="en-US"/>
              </w:rPr>
              <w:t>根据投标人提供近年的同类项目业绩评定。（满分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5</w:t>
            </w:r>
            <w:r>
              <w:rPr>
                <w:rFonts w:hint="eastAsia" w:ascii="宋体" w:hAnsi="宋体" w:eastAsia="宋体" w:cs="宋体"/>
                <w:color w:val="auto"/>
                <w:spacing w:val="0"/>
                <w:w w:val="100"/>
                <w:kern w:val="0"/>
                <w:position w:val="0"/>
                <w:sz w:val="24"/>
                <w:szCs w:val="24"/>
                <w:highlight w:val="none"/>
                <w:shd w:val="clear" w:color="auto" w:fill="auto"/>
                <w:lang w:eastAsia="en-US" w:bidi="en-US"/>
              </w:rPr>
              <w:t>分）</w:t>
            </w:r>
          </w:p>
          <w:p w14:paraId="5849EE62">
            <w:pPr>
              <w:keepNext w:val="0"/>
              <w:keepLines w:val="0"/>
              <w:suppressLineNumbers w:val="0"/>
              <w:shd w:val="clear" w:color="auto" w:fill="auto"/>
              <w:bidi w:val="0"/>
              <w:spacing w:before="0" w:beforeAutospacing="0" w:after="0" w:afterAutospacing="0" w:line="300" w:lineRule="exact"/>
              <w:ind w:left="0" w:leftChars="0" w:right="0" w:rightChars="0" w:firstLine="0"/>
              <w:jc w:val="left"/>
              <w:rPr>
                <w:rFonts w:hint="eastAsia" w:ascii="宋体" w:hAnsi="宋体" w:eastAsia="宋体" w:cs="宋体"/>
                <w:color w:val="auto"/>
                <w:spacing w:val="0"/>
                <w:w w:val="100"/>
                <w:kern w:val="0"/>
                <w:position w:val="0"/>
                <w:sz w:val="24"/>
                <w:szCs w:val="24"/>
                <w:highlight w:val="none"/>
                <w:shd w:val="clear" w:color="auto" w:fill="auto"/>
                <w:lang w:val="zh-CN" w:eastAsia="en-US" w:bidi="en-US"/>
              </w:rPr>
            </w:pPr>
            <w:r>
              <w:rPr>
                <w:rFonts w:hint="eastAsia" w:ascii="宋体" w:hAnsi="宋体" w:eastAsia="宋体" w:cs="宋体"/>
                <w:color w:val="auto"/>
                <w:spacing w:val="0"/>
                <w:w w:val="100"/>
                <w:kern w:val="0"/>
                <w:position w:val="0"/>
                <w:sz w:val="24"/>
                <w:szCs w:val="24"/>
                <w:highlight w:val="none"/>
                <w:shd w:val="clear" w:color="auto" w:fill="auto"/>
                <w:lang w:eastAsia="en-US" w:bidi="en-US"/>
              </w:rPr>
              <w:t>投标人每提供1份近年同类项目业绩证明的得</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2.5</w:t>
            </w:r>
            <w:r>
              <w:rPr>
                <w:rFonts w:hint="eastAsia" w:ascii="宋体" w:hAnsi="宋体" w:eastAsia="宋体" w:cs="宋体"/>
                <w:color w:val="auto"/>
                <w:spacing w:val="0"/>
                <w:w w:val="100"/>
                <w:kern w:val="0"/>
                <w:position w:val="0"/>
                <w:sz w:val="24"/>
                <w:szCs w:val="24"/>
                <w:highlight w:val="none"/>
                <w:shd w:val="clear" w:color="auto" w:fill="auto"/>
                <w:lang w:eastAsia="en-US" w:bidi="en-US"/>
              </w:rPr>
              <w:t>分，最高得</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5</w:t>
            </w:r>
            <w:r>
              <w:rPr>
                <w:rFonts w:hint="eastAsia" w:ascii="宋体" w:hAnsi="宋体" w:eastAsia="宋体" w:cs="宋体"/>
                <w:color w:val="auto"/>
                <w:spacing w:val="0"/>
                <w:w w:val="100"/>
                <w:kern w:val="0"/>
                <w:position w:val="0"/>
                <w:sz w:val="24"/>
                <w:szCs w:val="24"/>
                <w:highlight w:val="none"/>
                <w:shd w:val="clear" w:color="auto" w:fill="auto"/>
                <w:lang w:eastAsia="en-US" w:bidi="en-US"/>
              </w:rPr>
              <w:t>分。</w:t>
            </w:r>
            <w:r>
              <w:rPr>
                <w:rFonts w:hint="eastAsia" w:ascii="宋体" w:hAnsi="宋体" w:eastAsia="宋体" w:cs="宋体"/>
                <w:color w:val="auto"/>
                <w:spacing w:val="0"/>
                <w:w w:val="100"/>
                <w:kern w:val="0"/>
                <w:position w:val="0"/>
                <w:sz w:val="24"/>
                <w:szCs w:val="24"/>
                <w:highlight w:val="none"/>
                <w:shd w:val="clear" w:color="auto" w:fill="auto"/>
                <w:lang w:eastAsia="zh-CN" w:bidi="en-US"/>
              </w:rPr>
              <w:t>（</w:t>
            </w:r>
            <w:r>
              <w:rPr>
                <w:rFonts w:hint="eastAsia" w:ascii="宋体" w:hAnsi="宋体" w:eastAsia="宋体" w:cs="宋体"/>
                <w:b/>
                <w:bCs/>
                <w:color w:val="auto"/>
                <w:spacing w:val="0"/>
                <w:w w:val="100"/>
                <w:kern w:val="0"/>
                <w:position w:val="0"/>
                <w:sz w:val="24"/>
                <w:szCs w:val="24"/>
                <w:highlight w:val="none"/>
                <w:shd w:val="clear" w:color="auto" w:fill="auto"/>
                <w:lang w:val="en-US" w:eastAsia="zh-CN" w:bidi="en-US"/>
              </w:rPr>
              <w:t>要求提供中标通知书或合同原件的扫描件加盖公章于投标文件中，</w:t>
            </w:r>
            <w:r>
              <w:rPr>
                <w:rFonts w:hint="eastAsia" w:ascii="宋体" w:hAnsi="宋体" w:eastAsia="宋体" w:cs="宋体"/>
                <w:b/>
                <w:bCs/>
                <w:color w:val="auto"/>
                <w:spacing w:val="0"/>
                <w:w w:val="100"/>
                <w:kern w:val="0"/>
                <w:position w:val="0"/>
                <w:sz w:val="24"/>
                <w:szCs w:val="24"/>
                <w:highlight w:val="none"/>
                <w:shd w:val="clear" w:color="auto" w:fill="auto"/>
                <w:lang w:val="zh-CN" w:eastAsia="zh-CN" w:bidi="en-US"/>
              </w:rPr>
              <w:t>不提供不得分。</w:t>
            </w:r>
            <w:r>
              <w:rPr>
                <w:rFonts w:hint="eastAsia" w:ascii="宋体" w:hAnsi="宋体" w:eastAsia="宋体" w:cs="宋体"/>
                <w:color w:val="auto"/>
                <w:spacing w:val="0"/>
                <w:w w:val="100"/>
                <w:kern w:val="0"/>
                <w:position w:val="0"/>
                <w:sz w:val="24"/>
                <w:szCs w:val="24"/>
                <w:highlight w:val="none"/>
                <w:shd w:val="clear" w:color="auto" w:fill="auto"/>
                <w:lang w:eastAsia="zh-CN" w:bidi="en-US"/>
              </w:rPr>
              <w:t>）</w:t>
            </w:r>
          </w:p>
        </w:tc>
        <w:tc>
          <w:tcPr>
            <w:tcW w:w="885" w:type="dxa"/>
            <w:tcBorders>
              <w:tl2br w:val="nil"/>
              <w:tr2bl w:val="nil"/>
            </w:tcBorders>
            <w:noWrap w:val="0"/>
            <w:vAlign w:val="center"/>
          </w:tcPr>
          <w:p w14:paraId="673B66A6">
            <w:pPr>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eastAsia" w:ascii="宋体" w:hAnsi="宋体" w:eastAsia="宋体" w:cs="宋体"/>
                <w:b/>
                <w:bCs/>
                <w:color w:val="auto"/>
                <w:spacing w:val="0"/>
                <w:w w:val="100"/>
                <w:kern w:val="0"/>
                <w:position w:val="0"/>
                <w:sz w:val="21"/>
                <w:szCs w:val="21"/>
                <w:highlight w:val="none"/>
                <w:shd w:val="clear" w:color="auto" w:fill="auto"/>
                <w:lang w:val="en-US" w:eastAsia="zh-CN" w:bidi="en-US"/>
              </w:rPr>
            </w:pPr>
          </w:p>
        </w:tc>
      </w:tr>
      <w:tr w14:paraId="139D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42" w:type="dxa"/>
            <w:vMerge w:val="restart"/>
            <w:tcBorders>
              <w:tl2br w:val="nil"/>
              <w:tr2bl w:val="nil"/>
            </w:tcBorders>
            <w:noWrap w:val="0"/>
            <w:vAlign w:val="center"/>
          </w:tcPr>
          <w:p w14:paraId="2850D696">
            <w:pPr>
              <w:keepNext w:val="0"/>
              <w:keepLines w:val="0"/>
              <w:suppressLineNumbers w:val="0"/>
              <w:shd w:val="clear" w:color="auto" w:fill="auto"/>
              <w:bidi w:val="0"/>
              <w:spacing w:before="0" w:beforeAutospacing="0" w:after="0" w:afterAutospacing="0" w:line="300" w:lineRule="exact"/>
              <w:ind w:left="0" w:right="0" w:firstLine="0"/>
              <w:jc w:val="both"/>
              <w:rPr>
                <w:rFonts w:hint="eastAsia" w:ascii="宋体" w:hAnsi="宋体" w:eastAsia="宋体" w:cs="宋体"/>
                <w:color w:val="auto"/>
                <w:spacing w:val="0"/>
                <w:w w:val="100"/>
                <w:kern w:val="0"/>
                <w:position w:val="0"/>
                <w:sz w:val="24"/>
                <w:szCs w:val="24"/>
                <w:shd w:val="clear" w:color="auto" w:fill="auto"/>
                <w:lang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二</w:t>
            </w:r>
          </w:p>
        </w:tc>
        <w:tc>
          <w:tcPr>
            <w:tcW w:w="998" w:type="dxa"/>
            <w:vMerge w:val="restart"/>
            <w:tcBorders>
              <w:tl2br w:val="nil"/>
              <w:tr2bl w:val="nil"/>
            </w:tcBorders>
            <w:noWrap w:val="0"/>
            <w:vAlign w:val="center"/>
          </w:tcPr>
          <w:p w14:paraId="0717E7DE">
            <w:pPr>
              <w:keepNext w:val="0"/>
              <w:keepLines w:val="0"/>
              <w:suppressLineNumbers w:val="0"/>
              <w:shd w:val="clear" w:color="auto" w:fill="auto"/>
              <w:bidi w:val="0"/>
              <w:spacing w:before="0" w:beforeAutospacing="0" w:after="0" w:afterAutospacing="0" w:line="300" w:lineRule="exact"/>
              <w:ind w:left="0" w:right="0" w:firstLine="0"/>
              <w:jc w:val="center"/>
              <w:rPr>
                <w:rFonts w:hint="eastAsia" w:ascii="宋体" w:hAnsi="宋体" w:eastAsia="宋体" w:cs="宋体"/>
                <w:color w:val="auto"/>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技术</w:t>
            </w:r>
          </w:p>
          <w:p w14:paraId="0B2837C8">
            <w:pPr>
              <w:keepNext w:val="0"/>
              <w:keepLines w:val="0"/>
              <w:suppressLineNumbers w:val="0"/>
              <w:shd w:val="clear" w:color="auto" w:fill="auto"/>
              <w:bidi w:val="0"/>
              <w:spacing w:before="0" w:beforeAutospacing="0" w:after="0" w:afterAutospacing="0" w:line="300" w:lineRule="exact"/>
              <w:ind w:left="0" w:right="0" w:firstLine="0"/>
              <w:jc w:val="center"/>
              <w:rPr>
                <w:rFonts w:hint="eastAsia" w:ascii="宋体" w:hAnsi="宋体" w:eastAsia="宋体" w:cs="宋体"/>
                <w:color w:val="auto"/>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部分（95%）</w:t>
            </w:r>
          </w:p>
        </w:tc>
        <w:tc>
          <w:tcPr>
            <w:tcW w:w="1410" w:type="dxa"/>
            <w:tcBorders>
              <w:tl2br w:val="nil"/>
              <w:tr2bl w:val="nil"/>
            </w:tcBorders>
            <w:noWrap w:val="0"/>
            <w:vAlign w:val="center"/>
          </w:tcPr>
          <w:p w14:paraId="27D9975B">
            <w:pPr>
              <w:keepNext w:val="0"/>
              <w:keepLines w:val="0"/>
              <w:shd w:val="clear" w:color="auto" w:fill="auto"/>
              <w:bidi w:val="0"/>
              <w:spacing w:before="0" w:after="0" w:line="300" w:lineRule="exact"/>
              <w:ind w:left="0" w:right="0" w:firstLine="0"/>
              <w:jc w:val="center"/>
              <w:rPr>
                <w:rFonts w:hint="eastAsia" w:ascii="宋体" w:hAnsi="宋体" w:eastAsia="宋体" w:cs="宋体"/>
                <w:color w:val="auto"/>
                <w:spacing w:val="0"/>
                <w:w w:val="100"/>
                <w:kern w:val="2"/>
                <w:position w:val="0"/>
                <w:sz w:val="24"/>
                <w:szCs w:val="24"/>
                <w:shd w:val="clear" w:color="auto" w:fill="auto"/>
                <w:lang w:val="en-US" w:eastAsia="zh-CN" w:bidi="ar-SA"/>
              </w:rPr>
            </w:pPr>
            <w:r>
              <w:rPr>
                <w:rFonts w:hint="eastAsia" w:ascii="宋体" w:hAnsi="宋体" w:eastAsia="宋体" w:cs="宋体"/>
                <w:color w:val="auto"/>
                <w:sz w:val="24"/>
                <w:szCs w:val="24"/>
                <w:lang w:val="en-US" w:eastAsia="zh-CN"/>
              </w:rPr>
              <w:t>服务需求及要求</w:t>
            </w:r>
            <w:r>
              <w:rPr>
                <w:rFonts w:hint="eastAsia" w:ascii="宋体" w:hAnsi="宋体" w:eastAsia="宋体" w:cs="宋体"/>
                <w:color w:val="auto"/>
                <w:sz w:val="24"/>
                <w:szCs w:val="24"/>
              </w:rPr>
              <w:t>响应情况（</w:t>
            </w:r>
            <w:r>
              <w:rPr>
                <w:rFonts w:hint="eastAsia" w:ascii="宋体" w:hAnsi="宋体" w:eastAsia="宋体" w:cs="宋体"/>
                <w:color w:val="auto"/>
                <w:sz w:val="24"/>
                <w:szCs w:val="24"/>
                <w:highlight w:val="none"/>
                <w:lang w:val="en-US" w:eastAsia="zh-CN"/>
              </w:rPr>
              <w:t>满分20分）</w:t>
            </w:r>
          </w:p>
        </w:tc>
        <w:tc>
          <w:tcPr>
            <w:tcW w:w="5889" w:type="dxa"/>
            <w:tcBorders>
              <w:tl2br w:val="nil"/>
              <w:tr2bl w:val="nil"/>
            </w:tcBorders>
            <w:noWrap w:val="0"/>
            <w:vAlign w:val="center"/>
          </w:tcPr>
          <w:p w14:paraId="0B70C618">
            <w:pPr>
              <w:keepNext w:val="0"/>
              <w:keepLines w:val="0"/>
              <w:shd w:val="clear" w:color="auto" w:fill="auto"/>
              <w:bidi w:val="0"/>
              <w:spacing w:before="0" w:after="0" w:line="300" w:lineRule="exact"/>
              <w:ind w:left="0" w:right="0" w:firstLine="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供应商所递交的投标文件满足招标文件采购需求及要求的得满分20分。</w:t>
            </w:r>
          </w:p>
          <w:p w14:paraId="7F0A13A2">
            <w:pPr>
              <w:keepNext w:val="0"/>
              <w:keepLines w:val="0"/>
              <w:numPr>
                <w:ilvl w:val="0"/>
                <w:numId w:val="8"/>
              </w:numPr>
              <w:shd w:val="clear" w:color="auto" w:fill="auto"/>
              <w:bidi w:val="0"/>
              <w:spacing w:before="0" w:after="0" w:line="300" w:lineRule="exact"/>
              <w:ind w:left="0" w:right="0" w:firstLine="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达不到招标文件采购需求及要求中一般性服务要求的,每负偏离一条扣1分，扣完为止。</w:t>
            </w:r>
          </w:p>
          <w:p w14:paraId="21B29256">
            <w:pPr>
              <w:keepNext w:val="0"/>
              <w:keepLines w:val="0"/>
              <w:numPr>
                <w:ilvl w:val="0"/>
                <w:numId w:val="8"/>
              </w:numPr>
              <w:shd w:val="clear" w:color="auto" w:fill="auto"/>
              <w:bidi w:val="0"/>
              <w:spacing w:before="0" w:after="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val="en-US" w:eastAsia="zh-CN" w:bidi="en-US"/>
              </w:rPr>
            </w:pPr>
            <w:r>
              <w:rPr>
                <w:rFonts w:hint="eastAsia" w:ascii="宋体" w:hAnsi="宋体" w:eastAsia="宋体" w:cs="宋体"/>
                <w:color w:val="auto"/>
                <w:sz w:val="24"/>
                <w:szCs w:val="24"/>
                <w:lang w:val="en-US" w:eastAsia="zh-CN"/>
              </w:rPr>
              <w:t>达不到招标文件采购需求及要求中“素质要求”重要参数的，每有一项负偏离的扣2分，扣完为止。</w:t>
            </w:r>
          </w:p>
        </w:tc>
        <w:tc>
          <w:tcPr>
            <w:tcW w:w="885" w:type="dxa"/>
            <w:tcBorders>
              <w:tl2br w:val="nil"/>
              <w:tr2bl w:val="nil"/>
            </w:tcBorders>
            <w:noWrap w:val="0"/>
            <w:vAlign w:val="center"/>
          </w:tcPr>
          <w:p w14:paraId="498EE432">
            <w:pPr>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eastAsia" w:ascii="宋体" w:hAnsi="宋体" w:eastAsia="宋体" w:cs="宋体"/>
                <w:b/>
                <w:bCs/>
                <w:color w:val="auto"/>
                <w:spacing w:val="0"/>
                <w:w w:val="100"/>
                <w:kern w:val="0"/>
                <w:position w:val="0"/>
                <w:sz w:val="22"/>
                <w:szCs w:val="22"/>
                <w:highlight w:val="none"/>
                <w:shd w:val="clear" w:color="auto" w:fill="auto"/>
                <w:lang w:val="en-US" w:eastAsia="zh-CN" w:bidi="en-US"/>
              </w:rPr>
            </w:pPr>
          </w:p>
        </w:tc>
      </w:tr>
      <w:tr w14:paraId="27AA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442" w:type="dxa"/>
            <w:vMerge w:val="continue"/>
            <w:tcBorders>
              <w:tl2br w:val="nil"/>
              <w:tr2bl w:val="nil"/>
            </w:tcBorders>
            <w:noWrap w:val="0"/>
            <w:vAlign w:val="center"/>
          </w:tcPr>
          <w:p w14:paraId="2F025BBD">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998" w:type="dxa"/>
            <w:vMerge w:val="continue"/>
            <w:tcBorders>
              <w:tl2br w:val="nil"/>
              <w:tr2bl w:val="nil"/>
            </w:tcBorders>
            <w:noWrap w:val="0"/>
            <w:vAlign w:val="center"/>
          </w:tcPr>
          <w:p w14:paraId="465DC020">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1410" w:type="dxa"/>
            <w:tcBorders>
              <w:tl2br w:val="nil"/>
              <w:tr2bl w:val="nil"/>
            </w:tcBorders>
            <w:shd w:val="clear" w:color="auto" w:fill="auto"/>
            <w:noWrap w:val="0"/>
            <w:vAlign w:val="center"/>
          </w:tcPr>
          <w:p w14:paraId="45F2D112">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eastAsia" w:ascii="宋体" w:hAnsi="宋体" w:eastAsia="宋体" w:cs="宋体"/>
                <w:color w:val="000000"/>
                <w:spacing w:val="0"/>
                <w:w w:val="100"/>
                <w:kern w:val="2"/>
                <w:position w:val="0"/>
                <w:sz w:val="32"/>
                <w:szCs w:val="32"/>
                <w:shd w:val="clear" w:color="auto" w:fill="auto"/>
                <w:vertAlign w:val="baseline"/>
                <w:lang w:val="zh-CN" w:eastAsia="zh-CN" w:bidi="ar-SA"/>
              </w:rPr>
            </w:pPr>
            <w:r>
              <w:rPr>
                <w:rFonts w:hint="eastAsia" w:ascii="宋体" w:hAnsi="宋体" w:eastAsia="宋体" w:cs="宋体"/>
                <w:color w:val="auto"/>
                <w:spacing w:val="0"/>
                <w:w w:val="100"/>
                <w:kern w:val="0"/>
                <w:position w:val="0"/>
                <w:sz w:val="24"/>
                <w:szCs w:val="24"/>
                <w:highlight w:val="none"/>
                <w:shd w:val="clear" w:color="auto" w:fill="auto"/>
                <w:lang w:eastAsia="zh-CN" w:bidi="en-US"/>
              </w:rPr>
              <w:t>项目整体服务</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方案</w:t>
            </w:r>
            <w:r>
              <w:rPr>
                <w:rFonts w:hint="eastAsia" w:ascii="宋体" w:hAnsi="宋体" w:eastAsia="宋体" w:cs="宋体"/>
                <w:color w:val="auto"/>
                <w:spacing w:val="0"/>
                <w:w w:val="100"/>
                <w:kern w:val="0"/>
                <w:position w:val="0"/>
                <w:sz w:val="24"/>
                <w:szCs w:val="24"/>
                <w:highlight w:val="none"/>
                <w:shd w:val="clear" w:color="auto" w:fill="auto"/>
                <w:lang w:eastAsia="zh-CN" w:bidi="en-US"/>
              </w:rPr>
              <w:t>（</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满分15</w:t>
            </w:r>
            <w:r>
              <w:rPr>
                <w:rFonts w:hint="eastAsia" w:ascii="宋体" w:hAnsi="宋体" w:eastAsia="宋体" w:cs="宋体"/>
                <w:color w:val="auto"/>
                <w:spacing w:val="0"/>
                <w:w w:val="100"/>
                <w:kern w:val="0"/>
                <w:position w:val="0"/>
                <w:sz w:val="24"/>
                <w:szCs w:val="24"/>
                <w:highlight w:val="none"/>
                <w:shd w:val="clear" w:color="auto" w:fill="auto"/>
                <w:lang w:eastAsia="zh-CN" w:bidi="en-US"/>
              </w:rPr>
              <w:t>分）</w:t>
            </w:r>
          </w:p>
        </w:tc>
        <w:tc>
          <w:tcPr>
            <w:tcW w:w="5889" w:type="dxa"/>
            <w:tcBorders>
              <w:tl2br w:val="nil"/>
              <w:tr2bl w:val="nil"/>
            </w:tcBorders>
            <w:noWrap w:val="0"/>
            <w:vAlign w:val="center"/>
          </w:tcPr>
          <w:p w14:paraId="70CCA84E">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000000"/>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根据项目实施特点及要求，投标人针对本项目提供有完善的项目实施方案(包括但不限于项目实施、人员派遣、项目管理、服务保障、责任义务、工作职能、管理措施等)，以上方案不缺项且方案全面详细、完全能高效满足项目建设需求的得15分，方案不缺项或方案缺项，但能基本满足项目建设要求的得10分，方案不缺项或方案缺项，但可行性差，不能满足项目建设要求得5分，不提供方案的不得分。</w:t>
            </w:r>
          </w:p>
        </w:tc>
        <w:tc>
          <w:tcPr>
            <w:tcW w:w="885" w:type="dxa"/>
            <w:tcBorders>
              <w:tl2br w:val="nil"/>
              <w:tr2bl w:val="nil"/>
            </w:tcBorders>
            <w:noWrap w:val="0"/>
            <w:vAlign w:val="center"/>
          </w:tcPr>
          <w:p w14:paraId="5652999F">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val="en-US" w:eastAsia="zh-CN" w:bidi="ar"/>
              </w:rPr>
            </w:pPr>
          </w:p>
        </w:tc>
      </w:tr>
      <w:tr w14:paraId="498D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442" w:type="dxa"/>
            <w:vMerge w:val="continue"/>
            <w:tcBorders>
              <w:tl2br w:val="nil"/>
              <w:tr2bl w:val="nil"/>
            </w:tcBorders>
            <w:noWrap w:val="0"/>
            <w:vAlign w:val="center"/>
          </w:tcPr>
          <w:p w14:paraId="6B67079A">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998" w:type="dxa"/>
            <w:vMerge w:val="continue"/>
            <w:tcBorders>
              <w:tl2br w:val="nil"/>
              <w:tr2bl w:val="nil"/>
            </w:tcBorders>
            <w:noWrap w:val="0"/>
            <w:vAlign w:val="center"/>
          </w:tcPr>
          <w:p w14:paraId="2FC2CA1E">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1410" w:type="dxa"/>
            <w:tcBorders>
              <w:tl2br w:val="nil"/>
              <w:tr2bl w:val="nil"/>
            </w:tcBorders>
            <w:shd w:val="clear" w:color="auto" w:fill="auto"/>
            <w:noWrap w:val="0"/>
            <w:vAlign w:val="center"/>
          </w:tcPr>
          <w:p w14:paraId="12668895">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color w:val="000000"/>
                <w:spacing w:val="0"/>
                <w:w w:val="100"/>
                <w:kern w:val="2"/>
                <w:position w:val="0"/>
                <w:sz w:val="32"/>
                <w:szCs w:val="32"/>
                <w:shd w:val="clear" w:color="auto" w:fill="auto"/>
                <w:vertAlign w:val="baseline"/>
                <w:lang w:val="zh-CN" w:eastAsia="zh-CN" w:bidi="ar-SA"/>
              </w:rPr>
            </w:pPr>
            <w:r>
              <w:rPr>
                <w:rFonts w:hint="eastAsia" w:ascii="宋体" w:hAnsi="宋体" w:eastAsia="宋体" w:cs="宋体"/>
                <w:color w:val="auto"/>
                <w:spacing w:val="0"/>
                <w:w w:val="100"/>
                <w:kern w:val="0"/>
                <w:position w:val="0"/>
                <w:sz w:val="24"/>
                <w:szCs w:val="24"/>
                <w:highlight w:val="none"/>
                <w:shd w:val="clear" w:color="auto" w:fill="auto"/>
                <w:lang w:eastAsia="zh-CN" w:bidi="en-US"/>
              </w:rPr>
              <w:t>项目派遣方案（</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满分20</w:t>
            </w:r>
            <w:r>
              <w:rPr>
                <w:rFonts w:hint="eastAsia" w:ascii="宋体" w:hAnsi="宋体" w:eastAsia="宋体" w:cs="宋体"/>
                <w:color w:val="auto"/>
                <w:spacing w:val="0"/>
                <w:w w:val="100"/>
                <w:kern w:val="0"/>
                <w:position w:val="0"/>
                <w:sz w:val="24"/>
                <w:szCs w:val="24"/>
                <w:highlight w:val="none"/>
                <w:shd w:val="clear" w:color="auto" w:fill="auto"/>
                <w:lang w:eastAsia="zh-CN" w:bidi="en-US"/>
              </w:rPr>
              <w:t>分</w:t>
            </w:r>
          </w:p>
        </w:tc>
        <w:tc>
          <w:tcPr>
            <w:tcW w:w="5889" w:type="dxa"/>
            <w:tcBorders>
              <w:tl2br w:val="nil"/>
              <w:tr2bl w:val="nil"/>
            </w:tcBorders>
            <w:noWrap w:val="0"/>
            <w:vAlign w:val="center"/>
          </w:tcPr>
          <w:p w14:paraId="63FE3EDB">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000000"/>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根据项目实施特点及要求，投标人能提供该项目的派遣方案（</w:t>
            </w:r>
            <w:r>
              <w:rPr>
                <w:rFonts w:hint="eastAsia" w:ascii="宋体" w:hAnsi="宋体" w:eastAsia="宋体" w:cs="宋体"/>
                <w:color w:val="000000"/>
                <w:spacing w:val="0"/>
                <w:w w:val="100"/>
                <w:kern w:val="0"/>
                <w:position w:val="0"/>
                <w:sz w:val="24"/>
                <w:szCs w:val="24"/>
                <w:shd w:val="clear" w:color="auto" w:fill="auto"/>
                <w:lang w:val="en-US" w:eastAsia="zh-CN" w:bidi="en-US"/>
              </w:rPr>
              <w:t>包括但不限于派遣计划、服务流程、人员配备</w:t>
            </w:r>
            <w:r>
              <w:rPr>
                <w:rFonts w:hint="eastAsia" w:ascii="宋体" w:hAnsi="宋体" w:eastAsia="宋体" w:cs="宋体"/>
                <w:color w:val="auto"/>
                <w:spacing w:val="0"/>
                <w:w w:val="100"/>
                <w:kern w:val="0"/>
                <w:position w:val="0"/>
                <w:sz w:val="24"/>
                <w:szCs w:val="24"/>
                <w:shd w:val="clear" w:color="auto" w:fill="auto"/>
                <w:lang w:val="en-US" w:eastAsia="zh-CN" w:bidi="en-US"/>
              </w:rPr>
              <w:t>），方案描述完整、可行性高</w:t>
            </w:r>
            <w:r>
              <w:rPr>
                <w:rFonts w:hint="eastAsia" w:ascii="宋体" w:hAnsi="宋体" w:eastAsia="宋体" w:cs="宋体"/>
                <w:color w:val="000000"/>
                <w:spacing w:val="0"/>
                <w:w w:val="100"/>
                <w:kern w:val="0"/>
                <w:position w:val="0"/>
                <w:sz w:val="24"/>
                <w:szCs w:val="24"/>
                <w:shd w:val="clear" w:color="auto" w:fill="auto"/>
                <w:lang w:val="en-US" w:eastAsia="zh-CN" w:bidi="en-US"/>
              </w:rPr>
              <w:t>，能全面详尽派遣计划，确保合理、灵活及与项目需求契合，有明确的完整服务流程，在人员配备上能达到素质要求，人员调配及时、准确，派遣人员的专业背景、经验及与项目具有较高匹配度，得20分；</w:t>
            </w:r>
            <w:r>
              <w:rPr>
                <w:rFonts w:hint="eastAsia" w:ascii="宋体" w:hAnsi="宋体" w:eastAsia="宋体" w:cs="宋体"/>
                <w:color w:val="auto"/>
                <w:spacing w:val="0"/>
                <w:w w:val="100"/>
                <w:kern w:val="0"/>
                <w:position w:val="0"/>
                <w:sz w:val="24"/>
                <w:szCs w:val="24"/>
                <w:shd w:val="clear" w:color="auto" w:fill="auto"/>
                <w:lang w:val="en-US" w:eastAsia="zh-CN" w:bidi="en-US"/>
              </w:rPr>
              <w:t>方案描述欠缺但基本可行的，得15分；提供的方案不完全合理的，得10分；不提供的不得分。</w:t>
            </w:r>
          </w:p>
        </w:tc>
        <w:tc>
          <w:tcPr>
            <w:tcW w:w="885" w:type="dxa"/>
            <w:tcBorders>
              <w:tl2br w:val="nil"/>
              <w:tr2bl w:val="nil"/>
            </w:tcBorders>
            <w:noWrap w:val="0"/>
            <w:vAlign w:val="center"/>
          </w:tcPr>
          <w:p w14:paraId="3448405B">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val="en-US" w:eastAsia="zh-CN" w:bidi="ar"/>
              </w:rPr>
            </w:pPr>
          </w:p>
        </w:tc>
      </w:tr>
      <w:tr w14:paraId="1818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442" w:type="dxa"/>
            <w:vMerge w:val="continue"/>
          </w:tcPr>
          <w:p w14:paraId="6223A3DA">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998" w:type="dxa"/>
            <w:vMerge w:val="continue"/>
          </w:tcPr>
          <w:p w14:paraId="5FEF5806">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shd w:val="clear" w:color="auto" w:fill="auto"/>
            <w:vAlign w:val="center"/>
          </w:tcPr>
          <w:p w14:paraId="2E07DDE4">
            <w:pPr>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eastAsia" w:ascii="宋体" w:hAnsi="宋体" w:eastAsia="宋体" w:cs="宋体"/>
                <w:color w:val="000000"/>
                <w:spacing w:val="0"/>
                <w:w w:val="100"/>
                <w:kern w:val="2"/>
                <w:position w:val="0"/>
                <w:sz w:val="32"/>
                <w:szCs w:val="32"/>
                <w:shd w:val="clear" w:color="auto" w:fill="auto"/>
                <w:vertAlign w:val="baseline"/>
                <w:lang w:val="zh-CN" w:eastAsia="zh-CN" w:bidi="ar-SA"/>
              </w:rPr>
            </w:pPr>
            <w:r>
              <w:rPr>
                <w:rFonts w:hint="eastAsia" w:ascii="宋体" w:hAnsi="宋体" w:eastAsia="宋体" w:cs="宋体"/>
                <w:color w:val="auto"/>
                <w:spacing w:val="0"/>
                <w:w w:val="100"/>
                <w:kern w:val="0"/>
                <w:position w:val="0"/>
                <w:sz w:val="24"/>
                <w:szCs w:val="24"/>
                <w:highlight w:val="none"/>
                <w:shd w:val="clear" w:color="auto" w:fill="auto"/>
                <w:lang w:eastAsia="zh-CN" w:bidi="en-US"/>
              </w:rPr>
              <w:t>项目管理制度（</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满分15</w:t>
            </w:r>
            <w:r>
              <w:rPr>
                <w:rFonts w:hint="eastAsia" w:ascii="宋体" w:hAnsi="宋体" w:eastAsia="宋体" w:cs="宋体"/>
                <w:color w:val="auto"/>
                <w:spacing w:val="0"/>
                <w:w w:val="100"/>
                <w:kern w:val="0"/>
                <w:position w:val="0"/>
                <w:sz w:val="24"/>
                <w:szCs w:val="24"/>
                <w:highlight w:val="none"/>
                <w:shd w:val="clear" w:color="auto" w:fill="auto"/>
                <w:lang w:eastAsia="zh-CN" w:bidi="en-US"/>
              </w:rPr>
              <w:t>分）</w:t>
            </w:r>
          </w:p>
        </w:tc>
        <w:tc>
          <w:tcPr>
            <w:tcW w:w="0" w:type="auto"/>
          </w:tcPr>
          <w:p w14:paraId="236838D6">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000000"/>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根据项目实施特点及要求，投标人能提供该项目的相关制度，</w:t>
            </w:r>
            <w:r>
              <w:rPr>
                <w:rFonts w:hint="eastAsia" w:ascii="宋体" w:hAnsi="宋体" w:eastAsia="宋体" w:cs="宋体"/>
                <w:color w:val="000000"/>
                <w:spacing w:val="0"/>
                <w:w w:val="100"/>
                <w:kern w:val="0"/>
                <w:position w:val="0"/>
                <w:sz w:val="24"/>
                <w:szCs w:val="24"/>
                <w:shd w:val="clear" w:color="auto" w:fill="auto"/>
                <w:lang w:val="en-US" w:eastAsia="zh-CN" w:bidi="en-US"/>
              </w:rPr>
              <w:t>方案中有完善项目管理制度的程度，能涵盖项目管理的各个方面。具有制度的可执行性，能有效确保项目的顺利进行，具有项目管理的监督与反馈机制，能及时发现并解决问题，得15分；管理制度基本健全，能基本满足项目运行，得10分；覆盖面面不足或不具备可执行性，得5分；未建立不得分。</w:t>
            </w:r>
          </w:p>
        </w:tc>
        <w:tc>
          <w:tcPr>
            <w:tcW w:w="0" w:type="auto"/>
          </w:tcPr>
          <w:p w14:paraId="675C9F24">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val="en-US" w:eastAsia="zh-CN" w:bidi="ar"/>
              </w:rPr>
            </w:pPr>
          </w:p>
        </w:tc>
      </w:tr>
      <w:tr w14:paraId="23C5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442" w:type="dxa"/>
            <w:vMerge w:val="continue"/>
          </w:tcPr>
          <w:p w14:paraId="6024C572">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998" w:type="dxa"/>
            <w:vMerge w:val="continue"/>
          </w:tcPr>
          <w:p w14:paraId="352D2FCB">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shd w:val="clear" w:color="auto" w:fill="auto"/>
            <w:vAlign w:val="center"/>
          </w:tcPr>
          <w:p w14:paraId="11511AE1">
            <w:pPr>
              <w:keepNext w:val="0"/>
              <w:keepLines w:val="0"/>
              <w:pageBreakBefore w:val="0"/>
              <w:widowControl w:val="0"/>
              <w:shd w:val="clear" w:color="auto" w:fill="auto"/>
              <w:kinsoku/>
              <w:wordWrap/>
              <w:overflowPunct/>
              <w:topLinePunct w:val="0"/>
              <w:autoSpaceDE/>
              <w:autoSpaceDN/>
              <w:bidi w:val="0"/>
              <w:adjustRightInd/>
              <w:snapToGrid/>
              <w:spacing w:before="0" w:after="0" w:line="380" w:lineRule="exact"/>
              <w:ind w:left="0" w:right="0" w:firstLine="0"/>
              <w:jc w:val="center"/>
              <w:textAlignment w:val="auto"/>
              <w:rPr>
                <w:rFonts w:hint="eastAsia" w:ascii="宋体" w:hAnsi="宋体" w:eastAsia="宋体" w:cs="宋体"/>
                <w:color w:val="000000"/>
                <w:spacing w:val="0"/>
                <w:w w:val="100"/>
                <w:kern w:val="2"/>
                <w:position w:val="0"/>
                <w:sz w:val="32"/>
                <w:szCs w:val="32"/>
                <w:shd w:val="clear" w:color="auto" w:fill="auto"/>
                <w:vertAlign w:val="baseline"/>
                <w:lang w:val="zh-CN" w:eastAsia="zh-CN" w:bidi="ar-SA"/>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项目</w:t>
            </w:r>
            <w:r>
              <w:rPr>
                <w:rFonts w:hint="eastAsia" w:ascii="宋体" w:hAnsi="宋体" w:eastAsia="宋体" w:cs="宋体"/>
                <w:color w:val="auto"/>
                <w:spacing w:val="0"/>
                <w:w w:val="100"/>
                <w:kern w:val="0"/>
                <w:position w:val="0"/>
                <w:sz w:val="24"/>
                <w:szCs w:val="24"/>
                <w:highlight w:val="none"/>
                <w:shd w:val="clear" w:color="auto" w:fill="auto"/>
                <w:lang w:eastAsia="zh-CN" w:bidi="en-US"/>
              </w:rPr>
              <w:t>服务质量保障承诺及投诉处理方案（</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满分2</w:t>
            </w:r>
            <w:r>
              <w:rPr>
                <w:rFonts w:hint="eastAsia" w:ascii="宋体" w:hAnsi="宋体" w:eastAsia="宋体" w:cs="宋体"/>
                <w:color w:val="auto"/>
                <w:spacing w:val="0"/>
                <w:w w:val="100"/>
                <w:kern w:val="0"/>
                <w:position w:val="0"/>
                <w:sz w:val="24"/>
                <w:szCs w:val="24"/>
                <w:highlight w:val="none"/>
                <w:shd w:val="clear" w:color="auto" w:fill="auto"/>
                <w:lang w:eastAsia="zh-CN" w:bidi="en-US"/>
              </w:rPr>
              <w:t>0分）</w:t>
            </w:r>
          </w:p>
        </w:tc>
        <w:tc>
          <w:tcPr>
            <w:tcW w:w="0" w:type="auto"/>
          </w:tcPr>
          <w:p w14:paraId="6F6EE9B1">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000000"/>
                <w:spacing w:val="0"/>
                <w:w w:val="100"/>
                <w:kern w:val="0"/>
                <w:position w:val="0"/>
                <w:sz w:val="24"/>
                <w:szCs w:val="24"/>
                <w:shd w:val="clear" w:color="auto" w:fill="auto"/>
                <w:lang w:val="en-US" w:eastAsia="zh-CN" w:bidi="en-US"/>
              </w:rPr>
            </w:pPr>
            <w:r>
              <w:rPr>
                <w:rFonts w:hint="eastAsia" w:ascii="宋体" w:hAnsi="宋体" w:eastAsia="宋体" w:cs="宋体"/>
                <w:color w:val="auto"/>
                <w:spacing w:val="0"/>
                <w:w w:val="100"/>
                <w:kern w:val="0"/>
                <w:position w:val="0"/>
                <w:sz w:val="24"/>
                <w:szCs w:val="24"/>
                <w:shd w:val="clear" w:color="auto" w:fill="auto"/>
                <w:lang w:val="en-US" w:eastAsia="zh-CN" w:bidi="en-US"/>
              </w:rPr>
              <w:t>根据项目实施特点及要求，投标人能提供该项目的服务质量保障及投诉处理方案，具有详尽可靠的</w:t>
            </w:r>
            <w:r>
              <w:rPr>
                <w:rFonts w:hint="eastAsia" w:ascii="宋体" w:hAnsi="宋体" w:eastAsia="宋体" w:cs="宋体"/>
                <w:color w:val="000000"/>
                <w:spacing w:val="0"/>
                <w:w w:val="100"/>
                <w:kern w:val="0"/>
                <w:position w:val="0"/>
                <w:sz w:val="24"/>
                <w:szCs w:val="24"/>
                <w:shd w:val="clear" w:color="auto" w:fill="auto"/>
                <w:lang w:val="en-US" w:eastAsia="zh-CN" w:bidi="en-US"/>
              </w:rPr>
              <w:t>质量控制措施，能确保服务质量的稳定提升，有改进机制能不断优化服务流程和质量，投标方的服务承诺明确、具体，有高效投诉处理，建立合理的投诉处理流程，得20分；有服务质量保障承诺，基本满足项目运行，得15分；服务质量可控性不高的，措施不明确的，得10分，无服务质量保障承诺的，不得分。</w:t>
            </w:r>
          </w:p>
        </w:tc>
        <w:tc>
          <w:tcPr>
            <w:tcW w:w="0" w:type="auto"/>
          </w:tcPr>
          <w:p w14:paraId="566C526D">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val="en-US" w:eastAsia="zh-CN" w:bidi="ar"/>
              </w:rPr>
            </w:pPr>
          </w:p>
        </w:tc>
      </w:tr>
      <w:tr w14:paraId="08E5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42" w:type="dxa"/>
            <w:vMerge w:val="continue"/>
          </w:tcPr>
          <w:p w14:paraId="6BDD929F">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998" w:type="dxa"/>
            <w:vMerge w:val="continue"/>
          </w:tcPr>
          <w:p w14:paraId="30885A28">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eastAsia="en-US" w:bidi="en-US"/>
              </w:rPr>
            </w:pPr>
          </w:p>
        </w:tc>
        <w:tc>
          <w:tcPr>
            <w:tcW w:w="0" w:type="auto"/>
            <w:shd w:val="clear" w:color="auto" w:fill="auto"/>
            <w:vAlign w:val="center"/>
          </w:tcPr>
          <w:p w14:paraId="4768BF89">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000000"/>
                <w:spacing w:val="0"/>
                <w:w w:val="100"/>
                <w:kern w:val="0"/>
                <w:position w:val="0"/>
                <w:sz w:val="24"/>
                <w:szCs w:val="24"/>
                <w:shd w:val="clear" w:color="auto" w:fill="auto"/>
                <w:lang w:eastAsia="zh-CN" w:bidi="en-US"/>
              </w:rPr>
            </w:pPr>
            <w:r>
              <w:rPr>
                <w:rFonts w:hint="eastAsia" w:ascii="宋体" w:hAnsi="宋体" w:eastAsia="宋体" w:cs="宋体"/>
                <w:color w:val="000000"/>
                <w:spacing w:val="0"/>
                <w:w w:val="100"/>
                <w:kern w:val="0"/>
                <w:position w:val="0"/>
                <w:sz w:val="24"/>
                <w:szCs w:val="24"/>
                <w:shd w:val="clear" w:color="auto" w:fill="auto"/>
                <w:lang w:eastAsia="zh-CN" w:bidi="en-US"/>
              </w:rPr>
              <w:t>应急预案</w:t>
            </w:r>
          </w:p>
          <w:p w14:paraId="7A6D3EC3">
            <w:pPr>
              <w:keepNext w:val="0"/>
              <w:keepLines w:val="0"/>
              <w:suppressLineNumbers w:val="0"/>
              <w:shd w:val="clear" w:color="auto" w:fill="auto"/>
              <w:bidi w:val="0"/>
              <w:spacing w:before="0" w:beforeAutospacing="0" w:after="0" w:afterAutospacing="0" w:line="300" w:lineRule="exact"/>
              <w:ind w:left="0" w:leftChars="0" w:right="0" w:rightChars="0" w:firstLine="0" w:firstLineChars="0"/>
              <w:jc w:val="left"/>
              <w:rPr>
                <w:rFonts w:hint="eastAsia" w:ascii="宋体" w:hAnsi="宋体" w:eastAsia="宋体" w:cs="宋体"/>
                <w:color w:val="000000"/>
                <w:spacing w:val="0"/>
                <w:w w:val="100"/>
                <w:kern w:val="0"/>
                <w:position w:val="0"/>
                <w:sz w:val="24"/>
                <w:szCs w:val="24"/>
                <w:shd w:val="clear" w:color="auto" w:fill="auto"/>
                <w:lang w:val="en-US" w:eastAsia="zh-CN" w:bidi="en-US"/>
              </w:rPr>
            </w:pPr>
            <w:r>
              <w:rPr>
                <w:rFonts w:hint="eastAsia" w:ascii="宋体" w:hAnsi="宋体" w:eastAsia="宋体" w:cs="宋体"/>
                <w:color w:val="000000"/>
                <w:spacing w:val="0"/>
                <w:w w:val="100"/>
                <w:kern w:val="0"/>
                <w:position w:val="0"/>
                <w:sz w:val="24"/>
                <w:szCs w:val="24"/>
                <w:shd w:val="clear" w:color="auto" w:fill="auto"/>
                <w:lang w:val="zh-CN" w:eastAsia="zh-CN" w:bidi="en-US"/>
              </w:rPr>
              <w:t>（满分</w:t>
            </w:r>
            <w:r>
              <w:rPr>
                <w:rFonts w:hint="eastAsia" w:ascii="宋体" w:hAnsi="宋体" w:eastAsia="宋体" w:cs="宋体"/>
                <w:color w:val="000000"/>
                <w:spacing w:val="0"/>
                <w:w w:val="100"/>
                <w:kern w:val="0"/>
                <w:position w:val="0"/>
                <w:sz w:val="24"/>
                <w:szCs w:val="24"/>
                <w:shd w:val="clear" w:color="auto" w:fill="auto"/>
                <w:lang w:val="en-US" w:eastAsia="zh-CN" w:bidi="en-US"/>
              </w:rPr>
              <w:t>5</w:t>
            </w:r>
            <w:r>
              <w:rPr>
                <w:rFonts w:hint="eastAsia" w:ascii="宋体" w:hAnsi="宋体" w:eastAsia="宋体" w:cs="宋体"/>
                <w:color w:val="000000"/>
                <w:spacing w:val="0"/>
                <w:w w:val="100"/>
                <w:kern w:val="0"/>
                <w:position w:val="0"/>
                <w:sz w:val="24"/>
                <w:szCs w:val="24"/>
                <w:shd w:val="clear" w:color="auto" w:fill="auto"/>
                <w:lang w:val="zh-CN" w:eastAsia="zh-CN" w:bidi="en-US"/>
              </w:rPr>
              <w:t>分）</w:t>
            </w:r>
          </w:p>
        </w:tc>
        <w:tc>
          <w:tcPr>
            <w:tcW w:w="0" w:type="auto"/>
            <w:shd w:val="clear" w:color="auto" w:fill="auto"/>
            <w:vAlign w:val="center"/>
          </w:tcPr>
          <w:p w14:paraId="4668F52B">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000000"/>
                <w:spacing w:val="0"/>
                <w:w w:val="100"/>
                <w:kern w:val="0"/>
                <w:position w:val="0"/>
                <w:sz w:val="24"/>
                <w:szCs w:val="24"/>
                <w:shd w:val="clear" w:color="auto" w:fill="auto"/>
                <w:lang w:val="en-US" w:eastAsia="zh-CN" w:bidi="en-US"/>
              </w:rPr>
            </w:pPr>
            <w:r>
              <w:rPr>
                <w:rFonts w:hint="eastAsia" w:ascii="宋体" w:hAnsi="宋体" w:eastAsia="宋体" w:cs="宋体"/>
                <w:color w:val="000000"/>
                <w:spacing w:val="0"/>
                <w:w w:val="100"/>
                <w:kern w:val="0"/>
                <w:position w:val="0"/>
                <w:sz w:val="24"/>
                <w:szCs w:val="24"/>
                <w:shd w:val="clear" w:color="auto" w:fill="auto"/>
                <w:lang w:val="en-US" w:eastAsia="zh-CN" w:bidi="en-US"/>
              </w:rPr>
              <w:t>根据投标人针对本项目提供的应急预案进行评定，投标人提供的方案内容全面详细、科学合理，能最大程度的避免风险事物的发生，方案最优的得5分；内容相较完善、科学合理，方案较优的得3分；基本满足项目需求的，得分为1分。</w:t>
            </w:r>
          </w:p>
        </w:tc>
        <w:tc>
          <w:tcPr>
            <w:tcW w:w="0" w:type="auto"/>
          </w:tcPr>
          <w:p w14:paraId="1CC6EF41">
            <w:pPr>
              <w:keepNext w:val="0"/>
              <w:keepLines w:val="0"/>
              <w:suppressLineNumbers w:val="0"/>
              <w:shd w:val="clear" w:color="auto" w:fill="auto"/>
              <w:bidi w:val="0"/>
              <w:spacing w:before="0" w:beforeAutospacing="0" w:after="0" w:afterAutospacing="0" w:line="300" w:lineRule="exact"/>
              <w:ind w:left="0" w:right="0" w:firstLine="0"/>
              <w:jc w:val="left"/>
              <w:rPr>
                <w:rFonts w:hint="eastAsia" w:ascii="宋体" w:hAnsi="宋体" w:eastAsia="宋体" w:cs="宋体"/>
                <w:color w:val="auto"/>
                <w:spacing w:val="0"/>
                <w:w w:val="100"/>
                <w:kern w:val="0"/>
                <w:position w:val="0"/>
                <w:sz w:val="24"/>
                <w:szCs w:val="24"/>
                <w:shd w:val="clear" w:color="auto" w:fill="auto"/>
                <w:lang w:val="en-US" w:eastAsia="zh-CN" w:bidi="ar"/>
              </w:rPr>
            </w:pPr>
          </w:p>
        </w:tc>
      </w:tr>
    </w:tbl>
    <w:p w14:paraId="16C62E4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60" w:firstLineChars="200"/>
        <w:jc w:val="both"/>
        <w:textAlignment w:val="auto"/>
        <w:rPr>
          <w:rFonts w:hint="eastAsia" w:ascii="仿宋_GB2312" w:hAnsi="仿宋_GB2312" w:eastAsia="仿宋_GB2312" w:cs="仿宋_GB2312"/>
          <w:color w:val="000000"/>
          <w:spacing w:val="0"/>
          <w:w w:val="100"/>
          <w:kern w:val="2"/>
          <w:position w:val="0"/>
          <w:sz w:val="28"/>
          <w:szCs w:val="28"/>
          <w:shd w:val="clear" w:color="auto" w:fill="auto"/>
          <w:lang w:eastAsia="zh-CN" w:bidi="ar-SA"/>
        </w:rPr>
      </w:pPr>
      <w:r>
        <w:rPr>
          <w:rFonts w:hint="eastAsia" w:ascii="仿宋_GB2312" w:hAnsi="仿宋_GB2312" w:eastAsia="仿宋_GB2312" w:cs="仿宋_GB2312"/>
          <w:color w:val="000000"/>
          <w:spacing w:val="0"/>
          <w:w w:val="100"/>
          <w:kern w:val="2"/>
          <w:position w:val="0"/>
          <w:sz w:val="28"/>
          <w:szCs w:val="28"/>
          <w:shd w:val="clear" w:color="auto" w:fill="auto"/>
          <w:lang w:eastAsia="zh-CN" w:bidi="ar-SA"/>
        </w:rPr>
        <w:t>总评说明：</w:t>
      </w:r>
    </w:p>
    <w:p w14:paraId="4397491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60" w:firstLineChars="200"/>
        <w:jc w:val="both"/>
        <w:textAlignment w:val="auto"/>
        <w:rPr>
          <w:rFonts w:eastAsia="Times New Roman"/>
          <w:color w:val="000000"/>
          <w:spacing w:val="0"/>
          <w:w w:val="100"/>
          <w:kern w:val="0"/>
          <w:position w:val="0"/>
          <w:sz w:val="24"/>
          <w:shd w:val="clear" w:color="auto" w:fill="auto"/>
          <w:lang w:eastAsia="en-US" w:bidi="en-US"/>
        </w:rPr>
      </w:pPr>
      <w:r>
        <w:rPr>
          <w:rFonts w:hint="eastAsia" w:ascii="仿宋_GB2312" w:hAnsi="仿宋_GB2312" w:eastAsia="仿宋_GB2312" w:cs="仿宋_GB2312"/>
          <w:color w:val="000000"/>
          <w:spacing w:val="0"/>
          <w:w w:val="100"/>
          <w:kern w:val="2"/>
          <w:position w:val="0"/>
          <w:sz w:val="28"/>
          <w:szCs w:val="28"/>
          <w:shd w:val="clear" w:color="auto" w:fill="auto"/>
          <w:lang w:eastAsia="zh-CN" w:bidi="ar-SA"/>
        </w:rPr>
        <w:t>本评分标准旨在全面、客观地评估各投标方在政务服务综合窗口工作人员服务方面的综合能力与水平。评委将根据各投标方提供的</w:t>
      </w:r>
      <w:r>
        <w:rPr>
          <w:rFonts w:hint="eastAsia" w:ascii="仿宋_GB2312" w:hAnsi="仿宋_GB2312" w:eastAsia="仿宋_GB2312" w:cs="仿宋_GB2312"/>
          <w:color w:val="000000"/>
          <w:spacing w:val="0"/>
          <w:w w:val="100"/>
          <w:kern w:val="2"/>
          <w:position w:val="0"/>
          <w:sz w:val="28"/>
          <w:szCs w:val="28"/>
          <w:shd w:val="clear" w:color="auto" w:fill="auto"/>
          <w:lang w:val="en-US" w:eastAsia="zh-CN" w:bidi="ar-SA"/>
        </w:rPr>
        <w:t>证明</w:t>
      </w:r>
      <w:r>
        <w:rPr>
          <w:rFonts w:hint="eastAsia" w:ascii="仿宋_GB2312" w:hAnsi="仿宋_GB2312" w:eastAsia="仿宋_GB2312" w:cs="仿宋_GB2312"/>
          <w:color w:val="000000"/>
          <w:spacing w:val="0"/>
          <w:w w:val="100"/>
          <w:kern w:val="2"/>
          <w:position w:val="0"/>
          <w:sz w:val="28"/>
          <w:szCs w:val="28"/>
          <w:shd w:val="clear" w:color="auto" w:fill="auto"/>
          <w:lang w:eastAsia="zh-CN" w:bidi="ar-SA"/>
        </w:rPr>
        <w:t>材料进行</w:t>
      </w:r>
      <w:r>
        <w:rPr>
          <w:rFonts w:hint="eastAsia" w:ascii="仿宋_GB2312" w:hAnsi="仿宋_GB2312" w:eastAsia="仿宋_GB2312" w:cs="仿宋_GB2312"/>
          <w:color w:val="000000"/>
          <w:spacing w:val="0"/>
          <w:w w:val="100"/>
          <w:kern w:val="2"/>
          <w:position w:val="0"/>
          <w:sz w:val="28"/>
          <w:szCs w:val="28"/>
          <w:shd w:val="clear" w:color="auto" w:fill="auto"/>
          <w:lang w:val="en-US" w:eastAsia="zh-CN" w:bidi="ar-SA"/>
        </w:rPr>
        <w:t>综合</w:t>
      </w:r>
      <w:r>
        <w:rPr>
          <w:rFonts w:hint="eastAsia" w:ascii="仿宋_GB2312" w:hAnsi="仿宋_GB2312" w:eastAsia="仿宋_GB2312" w:cs="仿宋_GB2312"/>
          <w:color w:val="000000"/>
          <w:spacing w:val="0"/>
          <w:w w:val="100"/>
          <w:kern w:val="2"/>
          <w:position w:val="0"/>
          <w:sz w:val="28"/>
          <w:szCs w:val="28"/>
          <w:shd w:val="clear" w:color="auto" w:fill="auto"/>
          <w:lang w:eastAsia="zh-CN" w:bidi="ar-SA"/>
        </w:rPr>
        <w:t>打分</w:t>
      </w:r>
      <w:r>
        <w:rPr>
          <w:rFonts w:hint="eastAsia" w:ascii="仿宋_GB2312" w:hAnsi="仿宋_GB2312" w:eastAsia="仿宋_GB2312" w:cs="仿宋_GB2312"/>
          <w:color w:val="000000"/>
          <w:spacing w:val="0"/>
          <w:w w:val="100"/>
          <w:kern w:val="2"/>
          <w:position w:val="0"/>
          <w:sz w:val="32"/>
          <w:szCs w:val="32"/>
          <w:shd w:val="clear" w:color="auto" w:fill="auto"/>
          <w:lang w:eastAsia="zh-CN" w:bidi="ar-SA"/>
        </w:rPr>
        <w:t>。</w:t>
      </w:r>
    </w:p>
    <w:p w14:paraId="7D96722E">
      <w:pPr>
        <w:rPr>
          <w:rFonts w:hint="eastAsia"/>
          <w:b/>
          <w:bCs/>
          <w:color w:val="FF0000"/>
          <w:lang w:val="en-US" w:eastAsia="zh-CN"/>
        </w:rPr>
      </w:pPr>
    </w:p>
    <w:p w14:paraId="361B4D05">
      <w:pPr>
        <w:rPr>
          <w:b/>
          <w:bCs/>
          <w:color w:val="auto"/>
        </w:rPr>
      </w:pPr>
      <w:r>
        <w:rPr>
          <w:rFonts w:hint="eastAsia"/>
          <w:b/>
          <w:bCs/>
          <w:color w:val="FF0000"/>
          <w:lang w:val="en-US" w:eastAsia="zh-CN"/>
        </w:rPr>
        <w:t>注：提供以上所需证明文件须真实有效，否则按废标处理。</w:t>
      </w:r>
    </w:p>
    <w:p w14:paraId="385CF97B">
      <w:pPr>
        <w:spacing w:line="360" w:lineRule="auto"/>
        <w:ind w:firstLine="495"/>
        <w:rPr>
          <w:rFonts w:hAnsi="宋体"/>
          <w:color w:val="auto"/>
          <w:sz w:val="24"/>
          <w:szCs w:val="24"/>
          <w:highlight w:val="none"/>
        </w:rPr>
      </w:pPr>
      <w:r>
        <w:rPr>
          <w:rFonts w:hint="eastAsia" w:hAnsi="宋体"/>
          <w:color w:val="auto"/>
          <w:sz w:val="24"/>
          <w:szCs w:val="24"/>
          <w:highlight w:val="none"/>
          <w:lang w:val="en-US" w:eastAsia="zh-CN"/>
        </w:rPr>
        <w:t>4</w:t>
      </w:r>
      <w:r>
        <w:rPr>
          <w:rFonts w:hint="eastAsia" w:hAnsi="宋体"/>
          <w:color w:val="auto"/>
          <w:sz w:val="24"/>
          <w:szCs w:val="24"/>
          <w:highlight w:val="none"/>
        </w:rPr>
        <w:t>.推荐中标候选人名单；</w:t>
      </w:r>
    </w:p>
    <w:p w14:paraId="7B6FE61A">
      <w:pPr>
        <w:spacing w:line="360" w:lineRule="auto"/>
        <w:ind w:firstLine="495"/>
        <w:rPr>
          <w:rFonts w:hAnsi="宋体"/>
          <w:color w:val="auto"/>
          <w:sz w:val="24"/>
          <w:szCs w:val="24"/>
          <w:highlight w:val="none"/>
        </w:rPr>
      </w:pPr>
      <w:r>
        <w:rPr>
          <w:rFonts w:hint="eastAsia" w:hAnsi="宋体"/>
          <w:color w:val="auto"/>
          <w:sz w:val="24"/>
          <w:szCs w:val="24"/>
          <w:highlight w:val="none"/>
          <w:lang w:val="en-US" w:eastAsia="zh-CN"/>
        </w:rPr>
        <w:t>5</w:t>
      </w:r>
      <w:r>
        <w:rPr>
          <w:rFonts w:hint="eastAsia" w:hAnsi="宋体"/>
          <w:color w:val="auto"/>
          <w:sz w:val="24"/>
          <w:szCs w:val="24"/>
          <w:highlight w:val="none"/>
        </w:rPr>
        <w:t>.编写评标报告。</w:t>
      </w:r>
    </w:p>
    <w:p w14:paraId="7F02D94A">
      <w:pPr>
        <w:spacing w:before="0" w:beforeLines="0" w:after="0" w:afterLines="0" w:line="360" w:lineRule="auto"/>
        <w:ind w:firstLine="480" w:firstLineChars="200"/>
        <w:jc w:val="left"/>
        <w:outlineLvl w:val="9"/>
        <w:rPr>
          <w:rFonts w:ascii="宋体" w:hAnsi="宋体" w:eastAsia="宋体"/>
          <w:bCs/>
          <w:color w:val="auto"/>
          <w:sz w:val="24"/>
          <w:szCs w:val="24"/>
          <w:highlight w:val="none"/>
        </w:rPr>
      </w:pPr>
      <w:bookmarkStart w:id="181" w:name="_Toc217446105"/>
      <w:bookmarkStart w:id="182" w:name="_Toc183582297"/>
      <w:bookmarkStart w:id="183" w:name="_Toc208849022"/>
      <w:bookmarkStart w:id="184" w:name="_Toc183682432"/>
      <w:bookmarkStart w:id="185" w:name="_Toc3937"/>
      <w:bookmarkStart w:id="186" w:name="_Toc22260"/>
      <w:bookmarkStart w:id="187" w:name="_Toc24797"/>
      <w:r>
        <w:rPr>
          <w:rFonts w:hint="eastAsia" w:ascii="宋体" w:hAnsi="宋体" w:eastAsia="宋体"/>
          <w:bCs/>
          <w:color w:val="auto"/>
          <w:sz w:val="24"/>
          <w:szCs w:val="24"/>
          <w:highlight w:val="none"/>
        </w:rPr>
        <w:t xml:space="preserve">三. </w:t>
      </w:r>
      <w:bookmarkEnd w:id="181"/>
      <w:bookmarkEnd w:id="182"/>
      <w:bookmarkEnd w:id="183"/>
      <w:bookmarkEnd w:id="184"/>
      <w:r>
        <w:rPr>
          <w:rFonts w:hint="eastAsia" w:ascii="宋体" w:hAnsi="宋体" w:eastAsia="宋体"/>
          <w:color w:val="auto"/>
          <w:sz w:val="24"/>
          <w:szCs w:val="24"/>
          <w:highlight w:val="none"/>
        </w:rPr>
        <w:t>评标专家在政府采购活动中承担以下义务：</w:t>
      </w:r>
      <w:bookmarkEnd w:id="185"/>
      <w:bookmarkEnd w:id="186"/>
      <w:bookmarkEnd w:id="187"/>
    </w:p>
    <w:p w14:paraId="03773A57">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1. 遵纪守法，客观、公正、廉洁地履行职责。</w:t>
      </w:r>
    </w:p>
    <w:p w14:paraId="6E7EA166">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2. 按照政府采购法律法规和采购文件的规定要求对供应商提供的产品价格、技术、服务等方面严格进行评判，</w:t>
      </w:r>
      <w:r>
        <w:rPr>
          <w:rFonts w:hAnsi="宋体"/>
          <w:color w:val="auto"/>
          <w:sz w:val="24"/>
          <w:szCs w:val="24"/>
          <w:highlight w:val="none"/>
        </w:rPr>
        <w:t>提供</w:t>
      </w:r>
      <w:r>
        <w:rPr>
          <w:rFonts w:hint="eastAsia" w:hAnsi="宋体"/>
          <w:color w:val="auto"/>
          <w:sz w:val="24"/>
          <w:szCs w:val="24"/>
          <w:highlight w:val="none"/>
        </w:rPr>
        <w:t>科学合理、公平公正</w:t>
      </w:r>
      <w:r>
        <w:rPr>
          <w:rFonts w:hAnsi="宋体"/>
          <w:color w:val="auto"/>
          <w:sz w:val="24"/>
          <w:szCs w:val="24"/>
          <w:highlight w:val="none"/>
        </w:rPr>
        <w:t>的评审意见</w:t>
      </w:r>
      <w:r>
        <w:rPr>
          <w:rFonts w:hint="eastAsia" w:hAnsi="宋体"/>
          <w:color w:val="auto"/>
          <w:sz w:val="24"/>
          <w:szCs w:val="24"/>
          <w:highlight w:val="none"/>
        </w:rPr>
        <w:t>，起草评审报告，并予签字确认。</w:t>
      </w:r>
    </w:p>
    <w:p w14:paraId="04EA0026">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3. 保守秘密。不得透露采购文件咨询情况，不得泄漏供应商的电子投标文件及知悉的商业秘密，不得向供应商透露评审情况。</w:t>
      </w:r>
    </w:p>
    <w:p w14:paraId="31934C6F">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 xml:space="preserve">4. </w:t>
      </w:r>
      <w:r>
        <w:rPr>
          <w:rFonts w:hAnsi="宋体"/>
          <w:color w:val="auto"/>
          <w:sz w:val="24"/>
          <w:szCs w:val="24"/>
          <w:highlight w:val="none"/>
        </w:rPr>
        <w:t>发现供应商在政府采购活动中有不正当竞争或恶意串通等违规行为，及时向政府采购评审工作的组织者或</w:t>
      </w:r>
      <w:r>
        <w:rPr>
          <w:rFonts w:hint="eastAsia" w:hAnsi="宋体"/>
          <w:color w:val="auto"/>
          <w:sz w:val="24"/>
          <w:szCs w:val="24"/>
          <w:highlight w:val="none"/>
        </w:rPr>
        <w:t>行政监管</w:t>
      </w:r>
      <w:r>
        <w:rPr>
          <w:rFonts w:hAnsi="宋体"/>
          <w:color w:val="auto"/>
          <w:sz w:val="24"/>
          <w:szCs w:val="24"/>
          <w:highlight w:val="none"/>
        </w:rPr>
        <w:t>部门报告并加以制止</w:t>
      </w:r>
      <w:r>
        <w:rPr>
          <w:rFonts w:hint="eastAsia" w:hAnsi="宋体"/>
          <w:color w:val="auto"/>
          <w:sz w:val="24"/>
          <w:szCs w:val="24"/>
          <w:highlight w:val="none"/>
        </w:rPr>
        <w:t>。</w:t>
      </w:r>
    </w:p>
    <w:p w14:paraId="19BB506A">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发现采购人、集采机构及其工作人员在政府采购活动中有干预评审、发表倾向性和歧视性言论、受贿或者接受供应商的其他好处及其他违法违规行为，及时向行政监管部门报告。</w:t>
      </w:r>
    </w:p>
    <w:p w14:paraId="0E67406E">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 xml:space="preserve">5. </w:t>
      </w:r>
      <w:r>
        <w:rPr>
          <w:rFonts w:hAnsi="宋体"/>
          <w:color w:val="auto"/>
          <w:sz w:val="24"/>
          <w:szCs w:val="24"/>
          <w:highlight w:val="none"/>
        </w:rPr>
        <w:t>解答有关方面对政府采购评审工作中有关问题的</w:t>
      </w:r>
      <w:r>
        <w:rPr>
          <w:rFonts w:hint="eastAsia" w:hAnsi="宋体"/>
          <w:color w:val="auto"/>
          <w:sz w:val="24"/>
          <w:szCs w:val="24"/>
          <w:highlight w:val="none"/>
        </w:rPr>
        <w:t>询问，配合采购人或者集采机构答复供应商质疑，配合行政监管部门的投诉处理工作等事宜。</w:t>
      </w:r>
    </w:p>
    <w:p w14:paraId="25267ABB">
      <w:pPr>
        <w:keepNext w:val="0"/>
        <w:keepLines w:val="0"/>
        <w:pageBreakBefore w:val="0"/>
        <w:widowControl/>
        <w:kinsoku/>
        <w:wordWrap/>
        <w:overflowPunct/>
        <w:topLinePunct w:val="0"/>
        <w:autoSpaceDE w:val="0"/>
        <w:autoSpaceDN w:val="0"/>
        <w:bidi w:val="0"/>
        <w:adjustRightInd/>
        <w:snapToGrid/>
        <w:spacing w:line="360" w:lineRule="auto"/>
        <w:ind w:right="0"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法律、法规和规章规定的其他义务。</w:t>
      </w:r>
    </w:p>
    <w:p w14:paraId="176B0BD7">
      <w:pPr>
        <w:keepNext w:val="0"/>
        <w:keepLines w:val="0"/>
        <w:pageBreakBefore w:val="0"/>
        <w:widowControl/>
        <w:kinsoku/>
        <w:wordWrap/>
        <w:overflowPunct/>
        <w:topLinePunct w:val="0"/>
        <w:autoSpaceDE w:val="0"/>
        <w:autoSpaceDN w:val="0"/>
        <w:bidi w:val="0"/>
        <w:adjustRightInd/>
        <w:snapToGrid/>
        <w:spacing w:line="360" w:lineRule="auto"/>
        <w:ind w:right="51" w:firstLine="482" w:firstLineChars="200"/>
        <w:textAlignment w:val="bottom"/>
        <w:outlineLvl w:val="9"/>
        <w:rPr>
          <w:rFonts w:hAnsi="宋体"/>
          <w:b/>
          <w:color w:val="auto"/>
          <w:sz w:val="24"/>
          <w:szCs w:val="24"/>
          <w:highlight w:val="none"/>
        </w:rPr>
      </w:pPr>
      <w:bookmarkStart w:id="188" w:name="_Toc1309"/>
      <w:bookmarkStart w:id="189" w:name="_Toc19321"/>
      <w:bookmarkStart w:id="190" w:name="_Toc25883"/>
      <w:r>
        <w:rPr>
          <w:rFonts w:hint="eastAsia" w:hAnsi="宋体"/>
          <w:b/>
          <w:color w:val="auto"/>
          <w:sz w:val="24"/>
          <w:szCs w:val="24"/>
          <w:highlight w:val="none"/>
        </w:rPr>
        <w:t>四.评审专家在政府采购活动中应当遵守以下工作纪律：</w:t>
      </w:r>
      <w:bookmarkEnd w:id="188"/>
      <w:bookmarkEnd w:id="189"/>
      <w:bookmarkEnd w:id="190"/>
    </w:p>
    <w:p w14:paraId="650E42D2">
      <w:pPr>
        <w:keepNext w:val="0"/>
        <w:keepLines w:val="0"/>
        <w:pageBreakBefore w:val="0"/>
        <w:widowControl/>
        <w:kinsoku/>
        <w:wordWrap/>
        <w:overflowPunct/>
        <w:topLinePunct w:val="0"/>
        <w:autoSpaceDE w:val="0"/>
        <w:autoSpaceDN w:val="0"/>
        <w:bidi w:val="0"/>
        <w:adjustRightInd/>
        <w:snapToGrid/>
        <w:spacing w:line="360" w:lineRule="auto"/>
        <w:ind w:right="51"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1. 应邀按时参加评审和咨询活动。遇特殊情况不能出席或途中遇阻不能按时参加评审或咨询的，应及时告知采购人或者集采机构，不得私自转托他人。</w:t>
      </w:r>
    </w:p>
    <w:p w14:paraId="1098E710">
      <w:pPr>
        <w:keepNext w:val="0"/>
        <w:keepLines w:val="0"/>
        <w:pageBreakBefore w:val="0"/>
        <w:widowControl/>
        <w:kinsoku/>
        <w:wordWrap/>
        <w:overflowPunct/>
        <w:topLinePunct w:val="0"/>
        <w:autoSpaceDE w:val="0"/>
        <w:autoSpaceDN w:val="0"/>
        <w:bidi w:val="0"/>
        <w:adjustRightInd/>
        <w:snapToGrid/>
        <w:spacing w:line="360" w:lineRule="auto"/>
        <w:ind w:right="51"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不得参加与自己有利害关系的政府采购项目的评审活动。对与自己有利害关系的评审项目，如受到邀请，应主动提出回避。</w:t>
      </w:r>
      <w:r>
        <w:rPr>
          <w:rFonts w:hint="eastAsia" w:hAnsi="宋体"/>
          <w:color w:val="auto"/>
          <w:sz w:val="24"/>
          <w:szCs w:val="24"/>
          <w:highlight w:val="none"/>
        </w:rPr>
        <w:t>行政监管部门</w:t>
      </w:r>
      <w:r>
        <w:rPr>
          <w:rFonts w:hAnsi="宋体"/>
          <w:color w:val="auto"/>
          <w:sz w:val="24"/>
          <w:szCs w:val="24"/>
          <w:highlight w:val="none"/>
        </w:rPr>
        <w:t>、采购人或集采机构也可要求该评审专家回避。</w:t>
      </w:r>
    </w:p>
    <w:p w14:paraId="0C914165">
      <w:pPr>
        <w:keepNext w:val="0"/>
        <w:keepLines w:val="0"/>
        <w:pageBreakBefore w:val="0"/>
        <w:widowControl/>
        <w:kinsoku/>
        <w:wordWrap/>
        <w:overflowPunct/>
        <w:topLinePunct w:val="0"/>
        <w:autoSpaceDE w:val="0"/>
        <w:autoSpaceDN w:val="0"/>
        <w:bidi w:val="0"/>
        <w:adjustRightInd/>
        <w:snapToGrid/>
        <w:spacing w:line="360" w:lineRule="auto"/>
        <w:ind w:right="51" w:firstLine="480" w:firstLineChars="200"/>
        <w:textAlignment w:val="bottom"/>
        <w:outlineLvl w:val="9"/>
        <w:rPr>
          <w:rFonts w:hAnsi="宋体"/>
          <w:color w:val="auto"/>
          <w:sz w:val="24"/>
          <w:szCs w:val="24"/>
          <w:highlight w:val="none"/>
        </w:rPr>
      </w:pPr>
      <w:r>
        <w:rPr>
          <w:rFonts w:hAnsi="宋体"/>
          <w:color w:val="auto"/>
          <w:sz w:val="24"/>
          <w:szCs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w:t>
      </w:r>
      <w:r>
        <w:rPr>
          <w:rFonts w:hint="eastAsia" w:hAnsi="宋体"/>
          <w:color w:val="auto"/>
          <w:sz w:val="24"/>
          <w:szCs w:val="24"/>
          <w:highlight w:val="none"/>
        </w:rPr>
        <w:t>审</w:t>
      </w:r>
      <w:r>
        <w:rPr>
          <w:rFonts w:hAnsi="宋体"/>
          <w:color w:val="auto"/>
          <w:sz w:val="24"/>
          <w:szCs w:val="24"/>
          <w:highlight w:val="none"/>
        </w:rPr>
        <w:t>的情况。</w:t>
      </w:r>
    </w:p>
    <w:p w14:paraId="1E9B913C">
      <w:pPr>
        <w:keepNext w:val="0"/>
        <w:keepLines w:val="0"/>
        <w:pageBreakBefore w:val="0"/>
        <w:widowControl/>
        <w:kinsoku/>
        <w:wordWrap/>
        <w:overflowPunct/>
        <w:topLinePunct w:val="0"/>
        <w:autoSpaceDE w:val="0"/>
        <w:autoSpaceDN w:val="0"/>
        <w:bidi w:val="0"/>
        <w:adjustRightInd/>
        <w:snapToGrid/>
        <w:spacing w:line="360" w:lineRule="auto"/>
        <w:ind w:right="51"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3. 评审或咨询过程中关闭通讯设备，不得与外界联系。因发生不可预见情况，确实需要与外界联系的，应当有在场工作人员陪同。</w:t>
      </w:r>
    </w:p>
    <w:p w14:paraId="1571461C">
      <w:pPr>
        <w:keepNext w:val="0"/>
        <w:keepLines w:val="0"/>
        <w:pageBreakBefore w:val="0"/>
        <w:widowControl/>
        <w:kinsoku/>
        <w:wordWrap/>
        <w:overflowPunct/>
        <w:topLinePunct w:val="0"/>
        <w:autoSpaceDE w:val="0"/>
        <w:autoSpaceDN w:val="0"/>
        <w:bidi w:val="0"/>
        <w:adjustRightInd/>
        <w:snapToGrid/>
        <w:spacing w:line="360" w:lineRule="auto"/>
        <w:ind w:right="51"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4.评审过程中，不得发表影响评审公正的倾向性、歧视性言论；不得征询或者接受采购人的倾向性意见；不得以任何明示或暗示的方式要求参加该采购项目的供应商以澄清、说明或补正为借口，表达与其原电子投标文件原意不同的新意见；不得以采购文件没有规定的方法和标准作为评审的依据；不得违反规定的评审格式评分和撰写评审意见；不得拒绝对自己的评审意见签字确认。</w:t>
      </w:r>
    </w:p>
    <w:p w14:paraId="507FA470">
      <w:pPr>
        <w:keepNext w:val="0"/>
        <w:keepLines w:val="0"/>
        <w:pageBreakBefore w:val="0"/>
        <w:widowControl/>
        <w:kinsoku/>
        <w:wordWrap/>
        <w:overflowPunct/>
        <w:topLinePunct w:val="0"/>
        <w:autoSpaceDE w:val="0"/>
        <w:autoSpaceDN w:val="0"/>
        <w:bidi w:val="0"/>
        <w:adjustRightInd/>
        <w:snapToGrid/>
        <w:spacing w:line="360" w:lineRule="auto"/>
        <w:ind w:right="51" w:firstLine="480" w:firstLineChars="200"/>
        <w:textAlignment w:val="bottom"/>
        <w:outlineLvl w:val="9"/>
        <w:rPr>
          <w:rFonts w:hAnsi="宋体"/>
          <w:color w:val="auto"/>
          <w:sz w:val="24"/>
          <w:szCs w:val="24"/>
          <w:highlight w:val="none"/>
        </w:rPr>
      </w:pPr>
      <w:r>
        <w:rPr>
          <w:rFonts w:hint="eastAsia" w:hAnsi="宋体"/>
          <w:color w:val="auto"/>
          <w:sz w:val="24"/>
          <w:szCs w:val="24"/>
          <w:highlight w:val="none"/>
        </w:rPr>
        <w:t>5. 有关部门（机构）制定的其他评审工作纪律。</w:t>
      </w:r>
    </w:p>
    <w:p w14:paraId="378D15EC">
      <w:pPr>
        <w:rPr>
          <w:rFonts w:hint="eastAsia" w:ascii="宋体" w:hAnsi="宋体" w:cs="宋体"/>
          <w:sz w:val="22"/>
          <w:szCs w:val="28"/>
        </w:rPr>
      </w:pPr>
    </w:p>
    <w:p w14:paraId="5C86C251">
      <w:pPr>
        <w:pStyle w:val="44"/>
        <w:spacing w:line="360" w:lineRule="auto"/>
        <w:ind w:firstLine="0" w:firstLineChars="0"/>
        <w:rPr>
          <w:rFonts w:hint="eastAsia" w:ascii="宋体" w:hAnsi="宋体" w:eastAsia="宋体"/>
          <w:sz w:val="22"/>
          <w:szCs w:val="22"/>
        </w:rPr>
      </w:pPr>
    </w:p>
    <w:bookmarkEnd w:id="162"/>
    <w:bookmarkEnd w:id="163"/>
    <w:p w14:paraId="00CBE44E">
      <w:pPr>
        <w:pageBreakBefore/>
        <w:numPr>
          <w:ilvl w:val="0"/>
          <w:numId w:val="6"/>
        </w:numPr>
        <w:spacing w:line="640" w:lineRule="exact"/>
        <w:jc w:val="center"/>
        <w:outlineLvl w:val="0"/>
        <w:rPr>
          <w:rFonts w:hint="eastAsia" w:ascii="宋体" w:hAnsi="宋体" w:cs="宋体"/>
          <w:b/>
          <w:bCs/>
          <w:kern w:val="0"/>
          <w:sz w:val="36"/>
          <w:szCs w:val="36"/>
        </w:rPr>
      </w:pPr>
      <w:bookmarkStart w:id="191" w:name="_Toc13880"/>
      <w:bookmarkStart w:id="192" w:name="_Toc22751"/>
      <w:bookmarkStart w:id="193" w:name="_Toc28390"/>
      <w:bookmarkStart w:id="194" w:name="_Toc27432"/>
      <w:bookmarkStart w:id="195" w:name="_Toc241"/>
      <w:bookmarkStart w:id="196" w:name="_Toc14506"/>
      <w:bookmarkStart w:id="197" w:name="_Toc32557"/>
      <w:bookmarkStart w:id="198" w:name="_Toc21186"/>
      <w:bookmarkStart w:id="199" w:name="_Toc1439"/>
      <w:bookmarkStart w:id="200" w:name="_Toc229198098"/>
      <w:bookmarkStart w:id="201" w:name="_Toc274816744"/>
      <w:r>
        <w:rPr>
          <w:rFonts w:hint="eastAsia" w:ascii="宋体" w:hAnsi="宋体" w:cs="宋体"/>
          <w:b/>
          <w:bCs/>
          <w:kern w:val="0"/>
          <w:sz w:val="36"/>
          <w:szCs w:val="36"/>
        </w:rPr>
        <w:t>投标文件格式</w:t>
      </w:r>
      <w:bookmarkEnd w:id="191"/>
      <w:bookmarkEnd w:id="192"/>
      <w:bookmarkEnd w:id="193"/>
      <w:bookmarkEnd w:id="194"/>
      <w:bookmarkEnd w:id="195"/>
      <w:bookmarkEnd w:id="196"/>
      <w:bookmarkEnd w:id="197"/>
      <w:bookmarkEnd w:id="198"/>
      <w:bookmarkEnd w:id="199"/>
      <w:bookmarkStart w:id="202" w:name="_Toc10061"/>
    </w:p>
    <w:bookmarkEnd w:id="202"/>
    <w:p w14:paraId="602E2E33">
      <w:pPr>
        <w:keepNext/>
        <w:keepLines/>
        <w:widowControl w:val="0"/>
        <w:spacing w:before="0" w:beforeLines="0" w:after="0" w:afterLines="0" w:line="360" w:lineRule="auto"/>
        <w:jc w:val="center"/>
        <w:outlineLvl w:val="1"/>
        <w:rPr>
          <w:rFonts w:ascii="宋体" w:hAnsi="宋体" w:eastAsia="宋体" w:cs="Times New Roman"/>
          <w:b/>
          <w:color w:val="auto"/>
          <w:kern w:val="2"/>
          <w:sz w:val="24"/>
          <w:szCs w:val="24"/>
          <w:highlight w:val="none"/>
          <w:lang w:val="en-US" w:eastAsia="zh-CN"/>
        </w:rPr>
      </w:pPr>
      <w:bookmarkStart w:id="203" w:name="_Toc18099"/>
      <w:bookmarkStart w:id="204" w:name="_Toc3288"/>
      <w:bookmarkStart w:id="205" w:name="_Toc23850"/>
      <w:bookmarkStart w:id="206" w:name="_Toc6168"/>
      <w:bookmarkStart w:id="207" w:name="_Toc18291"/>
      <w:bookmarkStart w:id="208" w:name="_Toc387653043"/>
      <w:bookmarkStart w:id="209" w:name="_Toc383155944"/>
      <w:bookmarkStart w:id="210" w:name="_Toc380742995"/>
      <w:bookmarkStart w:id="211" w:name="_Toc9989"/>
      <w:r>
        <w:rPr>
          <w:rFonts w:hint="eastAsia" w:ascii="宋体" w:hAnsi="宋体" w:eastAsia="宋体" w:cs="Times New Roman"/>
          <w:b/>
          <w:color w:val="auto"/>
          <w:kern w:val="2"/>
          <w:sz w:val="24"/>
          <w:szCs w:val="24"/>
          <w:highlight w:val="none"/>
          <w:lang w:val="en-US" w:eastAsia="zh-CN"/>
        </w:rPr>
        <w:t>一、封面格式</w:t>
      </w:r>
      <w:bookmarkEnd w:id="203"/>
      <w:bookmarkEnd w:id="204"/>
      <w:bookmarkEnd w:id="205"/>
      <w:bookmarkEnd w:id="206"/>
    </w:p>
    <w:p w14:paraId="3873688C">
      <w:pPr>
        <w:keepNext/>
        <w:keepLines/>
        <w:widowControl w:val="0"/>
        <w:spacing w:before="0" w:beforeLines="0" w:after="0" w:afterLines="0" w:line="360" w:lineRule="auto"/>
        <w:jc w:val="center"/>
        <w:outlineLvl w:val="9"/>
        <w:rPr>
          <w:rFonts w:ascii="黑体" w:hAnsi="黑体" w:eastAsia="黑体" w:cs="黑体"/>
          <w:b/>
          <w:color w:val="auto"/>
          <w:kern w:val="2"/>
          <w:sz w:val="72"/>
          <w:szCs w:val="72"/>
          <w:highlight w:val="none"/>
          <w:lang w:val="en-US" w:eastAsia="zh-CN"/>
        </w:rPr>
      </w:pPr>
    </w:p>
    <w:p w14:paraId="1C593166">
      <w:pPr>
        <w:keepNext/>
        <w:keepLines/>
        <w:widowControl w:val="0"/>
        <w:spacing w:before="0" w:beforeLines="0" w:after="0" w:afterLines="0" w:line="360" w:lineRule="auto"/>
        <w:jc w:val="center"/>
        <w:outlineLvl w:val="9"/>
        <w:rPr>
          <w:rFonts w:ascii="黑体" w:hAnsi="黑体" w:eastAsia="黑体" w:cs="黑体"/>
          <w:b/>
          <w:color w:val="auto"/>
          <w:kern w:val="2"/>
          <w:sz w:val="72"/>
          <w:szCs w:val="72"/>
          <w:highlight w:val="none"/>
          <w:lang w:val="en-US" w:eastAsia="zh-CN"/>
        </w:rPr>
      </w:pPr>
      <w:r>
        <w:rPr>
          <w:rFonts w:hint="eastAsia" w:ascii="黑体" w:hAnsi="黑体" w:eastAsia="黑体" w:cs="黑体"/>
          <w:b/>
          <w:color w:val="auto"/>
          <w:kern w:val="2"/>
          <w:sz w:val="72"/>
          <w:szCs w:val="72"/>
          <w:highlight w:val="none"/>
          <w:lang w:val="en-US" w:eastAsia="zh-CN"/>
        </w:rPr>
        <w:t>（项目名称）项目</w:t>
      </w:r>
    </w:p>
    <w:p w14:paraId="11E1CC18">
      <w:pPr>
        <w:keepNext/>
        <w:keepLines/>
        <w:widowControl w:val="0"/>
        <w:spacing w:before="0" w:beforeLines="0" w:after="0" w:afterLines="0" w:line="360" w:lineRule="auto"/>
        <w:jc w:val="both"/>
        <w:outlineLvl w:val="9"/>
        <w:rPr>
          <w:rFonts w:ascii="宋体" w:hAnsi="宋体" w:eastAsia="宋体" w:cs="Times New Roman"/>
          <w:b/>
          <w:color w:val="auto"/>
          <w:kern w:val="2"/>
          <w:sz w:val="21"/>
          <w:szCs w:val="21"/>
          <w:highlight w:val="none"/>
          <w:lang w:val="en-US" w:eastAsia="zh-CN"/>
        </w:rPr>
      </w:pPr>
    </w:p>
    <w:p w14:paraId="0D9A846F">
      <w:pPr>
        <w:keepNext/>
        <w:keepLines/>
        <w:widowControl w:val="0"/>
        <w:spacing w:before="0" w:beforeLines="0" w:after="0" w:afterLines="0" w:line="360" w:lineRule="auto"/>
        <w:jc w:val="both"/>
        <w:outlineLvl w:val="9"/>
        <w:rPr>
          <w:rFonts w:hint="eastAsia" w:ascii="宋体" w:hAnsi="宋体" w:eastAsia="宋体" w:cs="Times New Roman"/>
          <w:b/>
          <w:color w:val="auto"/>
          <w:kern w:val="2"/>
          <w:sz w:val="44"/>
          <w:szCs w:val="44"/>
          <w:highlight w:val="none"/>
          <w:lang w:val="en-US" w:eastAsia="zh-CN"/>
        </w:rPr>
      </w:pPr>
      <w:r>
        <w:rPr>
          <w:rFonts w:hint="eastAsia" w:ascii="宋体" w:hAnsi="宋体" w:eastAsia="宋体" w:cs="Times New Roman"/>
          <w:b/>
          <w:color w:val="auto"/>
          <w:kern w:val="2"/>
          <w:sz w:val="44"/>
          <w:szCs w:val="44"/>
          <w:highlight w:val="none"/>
          <w:lang w:val="en-US" w:eastAsia="zh-CN"/>
        </w:rPr>
        <w:t xml:space="preserve">      </w:t>
      </w:r>
    </w:p>
    <w:p w14:paraId="53A93C55">
      <w:pPr>
        <w:keepNext/>
        <w:keepLines/>
        <w:widowControl w:val="0"/>
        <w:spacing w:before="0" w:beforeLines="0" w:after="0" w:afterLines="0" w:line="360" w:lineRule="auto"/>
        <w:jc w:val="both"/>
        <w:outlineLvl w:val="9"/>
        <w:rPr>
          <w:rFonts w:hint="eastAsia" w:ascii="宋体" w:hAnsi="Times New Roman" w:eastAsia="宋体" w:cs="Times New Roman"/>
          <w:b/>
          <w:color w:val="auto"/>
          <w:kern w:val="0"/>
          <w:sz w:val="34"/>
          <w:szCs w:val="34"/>
          <w:highlight w:val="none"/>
          <w:lang w:val="en-US" w:eastAsia="zh-CN" w:bidi="ar-SA"/>
        </w:rPr>
      </w:pPr>
    </w:p>
    <w:p w14:paraId="244A02E3">
      <w:pPr>
        <w:keepNext/>
        <w:keepLines/>
        <w:widowControl w:val="0"/>
        <w:spacing w:before="0" w:beforeLines="0" w:after="0" w:afterLines="0" w:line="360" w:lineRule="auto"/>
        <w:jc w:val="both"/>
        <w:outlineLvl w:val="9"/>
        <w:rPr>
          <w:rFonts w:hint="eastAsia" w:ascii="宋体" w:hAnsi="Times New Roman" w:eastAsia="宋体" w:cs="Times New Roman"/>
          <w:b/>
          <w:color w:val="auto"/>
          <w:kern w:val="0"/>
          <w:sz w:val="34"/>
          <w:szCs w:val="34"/>
          <w:highlight w:val="none"/>
          <w:lang w:val="en-US" w:eastAsia="zh-CN" w:bidi="ar-SA"/>
        </w:rPr>
      </w:pPr>
      <w:r>
        <w:rPr>
          <w:rFonts w:hint="eastAsia" w:ascii="宋体" w:hAnsi="Times New Roman" w:eastAsia="宋体" w:cs="Times New Roman"/>
          <w:b/>
          <w:color w:val="auto"/>
          <w:kern w:val="0"/>
          <w:sz w:val="34"/>
          <w:szCs w:val="34"/>
          <w:highlight w:val="none"/>
          <w:lang w:val="en-US" w:eastAsia="zh-CN" w:bidi="ar-SA"/>
        </w:rPr>
        <w:t xml:space="preserve">       招标文件编号：</w:t>
      </w:r>
    </w:p>
    <w:p w14:paraId="5ADA3F51">
      <w:pPr>
        <w:keepNext/>
        <w:keepLines/>
        <w:widowControl w:val="0"/>
        <w:spacing w:before="0" w:beforeLines="0" w:after="0" w:afterLines="0" w:line="360" w:lineRule="auto"/>
        <w:jc w:val="both"/>
        <w:outlineLvl w:val="9"/>
        <w:rPr>
          <w:rFonts w:hint="eastAsia" w:ascii="宋体" w:hAnsi="Times New Roman" w:eastAsia="宋体" w:cs="Times New Roman"/>
          <w:b/>
          <w:color w:val="auto"/>
          <w:kern w:val="0"/>
          <w:sz w:val="34"/>
          <w:szCs w:val="34"/>
          <w:highlight w:val="none"/>
          <w:lang w:val="en-US" w:eastAsia="zh-CN" w:bidi="ar-SA"/>
        </w:rPr>
      </w:pPr>
      <w:r>
        <w:rPr>
          <w:rFonts w:hint="eastAsia" w:ascii="宋体" w:hAnsi="Times New Roman" w:eastAsia="宋体" w:cs="Times New Roman"/>
          <w:b/>
          <w:color w:val="auto"/>
          <w:kern w:val="0"/>
          <w:sz w:val="34"/>
          <w:szCs w:val="34"/>
          <w:highlight w:val="none"/>
          <w:lang w:val="en-US" w:eastAsia="zh-CN" w:bidi="ar-SA"/>
        </w:rPr>
        <w:t xml:space="preserve">       包  号：</w:t>
      </w:r>
    </w:p>
    <w:p w14:paraId="16E39F56">
      <w:pPr>
        <w:keepNext/>
        <w:keepLines/>
        <w:widowControl w:val="0"/>
        <w:spacing w:before="0" w:beforeLines="0" w:after="0" w:afterLines="0" w:line="360" w:lineRule="auto"/>
        <w:jc w:val="both"/>
        <w:outlineLvl w:val="9"/>
        <w:rPr>
          <w:rFonts w:hint="eastAsia" w:ascii="宋体" w:hAnsi="Times New Roman" w:eastAsia="宋体" w:cs="Times New Roman"/>
          <w:b/>
          <w:color w:val="auto"/>
          <w:kern w:val="0"/>
          <w:sz w:val="34"/>
          <w:szCs w:val="34"/>
          <w:highlight w:val="none"/>
          <w:lang w:val="en-US" w:eastAsia="zh-CN" w:bidi="ar-SA"/>
        </w:rPr>
      </w:pPr>
      <w:r>
        <w:rPr>
          <w:rFonts w:hint="eastAsia" w:ascii="宋体" w:hAnsi="Times New Roman" w:eastAsia="宋体" w:cs="Times New Roman"/>
          <w:b/>
          <w:color w:val="auto"/>
          <w:kern w:val="0"/>
          <w:sz w:val="34"/>
          <w:szCs w:val="34"/>
          <w:highlight w:val="none"/>
          <w:lang w:val="en-US" w:eastAsia="zh-CN" w:bidi="ar-SA"/>
        </w:rPr>
        <w:t xml:space="preserve">       采购人：</w:t>
      </w:r>
    </w:p>
    <w:p w14:paraId="6F9532B1">
      <w:pPr>
        <w:keepNext/>
        <w:keepLines/>
        <w:widowControl w:val="0"/>
        <w:spacing w:before="0" w:beforeLines="0" w:after="0" w:afterLines="0" w:line="360" w:lineRule="auto"/>
        <w:jc w:val="both"/>
        <w:outlineLvl w:val="9"/>
        <w:rPr>
          <w:rFonts w:hint="eastAsia" w:ascii="宋体" w:hAnsi="Times New Roman" w:eastAsia="宋体" w:cs="Times New Roman"/>
          <w:b/>
          <w:color w:val="auto"/>
          <w:kern w:val="0"/>
          <w:sz w:val="34"/>
          <w:szCs w:val="34"/>
          <w:highlight w:val="none"/>
          <w:lang w:val="en-US" w:eastAsia="zh-CN" w:bidi="ar-SA"/>
        </w:rPr>
      </w:pPr>
      <w:r>
        <w:rPr>
          <w:rFonts w:hint="eastAsia" w:ascii="宋体" w:hAnsi="Times New Roman" w:eastAsia="宋体" w:cs="Times New Roman"/>
          <w:b/>
          <w:color w:val="auto"/>
          <w:kern w:val="0"/>
          <w:sz w:val="34"/>
          <w:szCs w:val="34"/>
          <w:highlight w:val="none"/>
          <w:lang w:val="en-US" w:eastAsia="zh-CN" w:bidi="ar-SA"/>
        </w:rPr>
        <w:t xml:space="preserve">       集采机构：</w:t>
      </w:r>
      <w:r>
        <w:rPr>
          <w:rFonts w:hint="eastAsia" w:ascii="宋体" w:cs="Times New Roman"/>
          <w:b/>
          <w:color w:val="auto"/>
          <w:kern w:val="0"/>
          <w:sz w:val="34"/>
          <w:szCs w:val="34"/>
          <w:highlight w:val="none"/>
          <w:lang w:val="en-US" w:eastAsia="zh-CN" w:bidi="ar-SA"/>
        </w:rPr>
        <w:t>陇南市</w:t>
      </w:r>
      <w:r>
        <w:rPr>
          <w:rFonts w:hint="eastAsia" w:ascii="宋体" w:hAnsi="Times New Roman" w:eastAsia="宋体" w:cs="Times New Roman"/>
          <w:b/>
          <w:color w:val="auto"/>
          <w:kern w:val="0"/>
          <w:sz w:val="34"/>
          <w:szCs w:val="34"/>
          <w:highlight w:val="none"/>
          <w:lang w:val="en-US" w:eastAsia="zh-CN" w:bidi="ar-SA"/>
        </w:rPr>
        <w:t>公共资源交易中心</w:t>
      </w:r>
    </w:p>
    <w:p w14:paraId="1269EF72">
      <w:pPr>
        <w:spacing w:beforeLines="30" w:afterLines="70" w:line="540" w:lineRule="exact"/>
        <w:ind w:left="630" w:leftChars="300"/>
        <w:outlineLvl w:val="9"/>
        <w:rPr>
          <w:rFonts w:hint="eastAsia" w:ascii="宋体"/>
          <w:b/>
          <w:color w:val="auto"/>
          <w:kern w:val="0"/>
          <w:sz w:val="34"/>
          <w:szCs w:val="34"/>
          <w:highlight w:val="none"/>
        </w:rPr>
      </w:pPr>
      <w:r>
        <w:rPr>
          <w:rFonts w:hint="eastAsia" w:ascii="宋体"/>
          <w:b/>
          <w:color w:val="auto"/>
          <w:kern w:val="0"/>
          <w:sz w:val="34"/>
          <w:szCs w:val="34"/>
          <w:highlight w:val="none"/>
        </w:rPr>
        <w:t xml:space="preserve"> </w:t>
      </w:r>
    </w:p>
    <w:p w14:paraId="7A035DD9">
      <w:pPr>
        <w:spacing w:beforeLines="30" w:afterLines="70" w:line="540" w:lineRule="exact"/>
        <w:ind w:left="630" w:leftChars="300"/>
        <w:outlineLvl w:val="9"/>
        <w:rPr>
          <w:rFonts w:ascii="黑体" w:hAnsi="黑体" w:eastAsia="黑体" w:cs="黑体"/>
          <w:b/>
          <w:color w:val="auto"/>
          <w:kern w:val="2"/>
          <w:sz w:val="48"/>
          <w:szCs w:val="48"/>
          <w:highlight w:val="none"/>
        </w:rPr>
      </w:pPr>
      <w:r>
        <w:rPr>
          <w:rFonts w:hint="eastAsia" w:ascii="宋体"/>
          <w:b/>
          <w:color w:val="auto"/>
          <w:kern w:val="0"/>
          <w:sz w:val="34"/>
          <w:szCs w:val="34"/>
          <w:highlight w:val="none"/>
          <w:lang w:val="en-US" w:eastAsia="zh-CN"/>
        </w:rPr>
        <w:t xml:space="preserve">   </w:t>
      </w:r>
      <w:r>
        <w:rPr>
          <w:rFonts w:hint="eastAsia" w:ascii="宋体"/>
          <w:b/>
          <w:color w:val="auto"/>
          <w:kern w:val="0"/>
          <w:sz w:val="34"/>
          <w:szCs w:val="34"/>
          <w:highlight w:val="none"/>
        </w:rPr>
        <w:t>投标人名称：（加盖公章）</w:t>
      </w:r>
    </w:p>
    <w:p w14:paraId="2093A85A">
      <w:pPr>
        <w:spacing w:beforeLines="30" w:afterLines="70" w:line="540" w:lineRule="exact"/>
        <w:outlineLvl w:val="9"/>
        <w:rPr>
          <w:rFonts w:ascii="宋体"/>
          <w:b/>
          <w:color w:val="auto"/>
          <w:kern w:val="0"/>
          <w:sz w:val="34"/>
          <w:szCs w:val="34"/>
          <w:highlight w:val="none"/>
        </w:rPr>
      </w:pPr>
      <w:r>
        <w:rPr>
          <w:rFonts w:hint="eastAsia" w:ascii="宋体"/>
          <w:b/>
          <w:color w:val="auto"/>
          <w:kern w:val="0"/>
          <w:sz w:val="34"/>
          <w:szCs w:val="34"/>
          <w:highlight w:val="none"/>
        </w:rPr>
        <w:t xml:space="preserve">       投标人详细地址：</w:t>
      </w:r>
    </w:p>
    <w:p w14:paraId="703D1F15">
      <w:pPr>
        <w:spacing w:beforeLines="30" w:afterLines="70" w:line="540" w:lineRule="exact"/>
        <w:ind w:left="630" w:leftChars="300"/>
        <w:outlineLvl w:val="9"/>
        <w:rPr>
          <w:rFonts w:ascii="宋体"/>
          <w:b/>
          <w:color w:val="auto"/>
          <w:kern w:val="0"/>
          <w:sz w:val="34"/>
          <w:szCs w:val="34"/>
          <w:highlight w:val="none"/>
        </w:rPr>
      </w:pPr>
      <w:r>
        <w:rPr>
          <w:rFonts w:hint="eastAsia" w:ascii="宋体"/>
          <w:b/>
          <w:color w:val="auto"/>
          <w:kern w:val="0"/>
          <w:sz w:val="34"/>
          <w:szCs w:val="34"/>
          <w:highlight w:val="none"/>
        </w:rPr>
        <w:t xml:space="preserve"> </w:t>
      </w:r>
      <w:r>
        <w:rPr>
          <w:rFonts w:hint="eastAsia" w:ascii="宋体"/>
          <w:b/>
          <w:color w:val="auto"/>
          <w:kern w:val="0"/>
          <w:sz w:val="34"/>
          <w:szCs w:val="34"/>
          <w:highlight w:val="none"/>
          <w:lang w:val="en-US" w:eastAsia="zh-CN"/>
        </w:rPr>
        <w:t xml:space="preserve">  </w:t>
      </w:r>
      <w:r>
        <w:rPr>
          <w:rFonts w:hint="eastAsia" w:ascii="宋体"/>
          <w:b/>
          <w:color w:val="auto"/>
          <w:kern w:val="0"/>
          <w:sz w:val="34"/>
          <w:szCs w:val="34"/>
          <w:highlight w:val="none"/>
        </w:rPr>
        <w:t>投标人联系电话：</w:t>
      </w:r>
    </w:p>
    <w:p w14:paraId="42F59762">
      <w:pPr>
        <w:spacing w:beforeLines="30" w:afterLines="70" w:line="540" w:lineRule="exact"/>
        <w:ind w:left="630" w:leftChars="300"/>
        <w:outlineLvl w:val="9"/>
        <w:rPr>
          <w:rFonts w:ascii="宋体"/>
          <w:b/>
          <w:color w:val="auto"/>
          <w:kern w:val="0"/>
          <w:sz w:val="34"/>
          <w:szCs w:val="34"/>
          <w:highlight w:val="none"/>
        </w:rPr>
      </w:pPr>
      <w:r>
        <w:rPr>
          <w:rFonts w:hint="eastAsia" w:ascii="宋体"/>
          <w:b/>
          <w:color w:val="auto"/>
          <w:kern w:val="0"/>
          <w:sz w:val="34"/>
          <w:szCs w:val="34"/>
          <w:highlight w:val="none"/>
        </w:rPr>
        <w:t xml:space="preserve"> </w:t>
      </w:r>
      <w:r>
        <w:rPr>
          <w:rFonts w:hint="eastAsia" w:ascii="宋体"/>
          <w:b/>
          <w:color w:val="auto"/>
          <w:kern w:val="0"/>
          <w:sz w:val="34"/>
          <w:szCs w:val="34"/>
          <w:highlight w:val="none"/>
          <w:lang w:val="en-US" w:eastAsia="zh-CN"/>
        </w:rPr>
        <w:t xml:space="preserve">  </w:t>
      </w:r>
      <w:r>
        <w:rPr>
          <w:rFonts w:hint="eastAsia" w:ascii="宋体"/>
          <w:b/>
          <w:color w:val="auto"/>
          <w:kern w:val="0"/>
          <w:sz w:val="34"/>
          <w:szCs w:val="34"/>
          <w:highlight w:val="none"/>
        </w:rPr>
        <w:t>投标人统一的社会信用代码</w:t>
      </w:r>
      <w:r>
        <w:rPr>
          <w:rFonts w:hint="eastAsia" w:ascii="黑体" w:hAnsi="黑体" w:eastAsia="黑体" w:cs="黑体"/>
          <w:b/>
          <w:color w:val="auto"/>
          <w:kern w:val="2"/>
          <w:sz w:val="48"/>
          <w:szCs w:val="48"/>
          <w:highlight w:val="none"/>
        </w:rPr>
        <w:t>：</w:t>
      </w:r>
    </w:p>
    <w:p w14:paraId="3761C3DC">
      <w:pPr>
        <w:spacing w:beforeLines="30" w:afterLines="70" w:line="540" w:lineRule="exact"/>
        <w:ind w:left="630" w:leftChars="300"/>
        <w:outlineLvl w:val="9"/>
        <w:rPr>
          <w:rFonts w:hint="eastAsia" w:ascii="宋体"/>
          <w:b/>
          <w:color w:val="auto"/>
          <w:kern w:val="0"/>
          <w:sz w:val="34"/>
          <w:szCs w:val="34"/>
          <w:highlight w:val="none"/>
        </w:rPr>
      </w:pPr>
    </w:p>
    <w:p w14:paraId="0DDA056A">
      <w:pPr>
        <w:spacing w:beforeLines="30" w:afterLines="70" w:line="540" w:lineRule="exact"/>
        <w:ind w:left="630" w:leftChars="300"/>
        <w:outlineLvl w:val="9"/>
        <w:rPr>
          <w:rFonts w:ascii="宋体"/>
          <w:b/>
          <w:bCs/>
          <w:color w:val="auto"/>
          <w:kern w:val="0"/>
          <w:sz w:val="24"/>
          <w:szCs w:val="20"/>
          <w:highlight w:val="none"/>
        </w:rPr>
      </w:pPr>
      <w:r>
        <w:rPr>
          <w:rFonts w:hint="eastAsia" w:ascii="宋体"/>
          <w:b/>
          <w:color w:val="auto"/>
          <w:kern w:val="0"/>
          <w:sz w:val="34"/>
          <w:szCs w:val="34"/>
          <w:highlight w:val="none"/>
        </w:rPr>
        <w:t xml:space="preserve"> 投标日期：   年   月   日</w:t>
      </w:r>
    </w:p>
    <w:p w14:paraId="16D2340A">
      <w:pPr>
        <w:pStyle w:val="4"/>
        <w:pageBreakBefore/>
        <w:adjustRightInd/>
        <w:spacing w:before="0" w:after="0" w:line="360" w:lineRule="auto"/>
        <w:jc w:val="center"/>
        <w:textAlignment w:val="auto"/>
        <w:outlineLvl w:val="1"/>
        <w:rPr>
          <w:rFonts w:hint="eastAsia" w:ascii="宋体" w:hAnsi="宋体"/>
          <w:b w:val="0"/>
          <w:bCs/>
          <w:kern w:val="2"/>
          <w:sz w:val="28"/>
          <w:szCs w:val="32"/>
        </w:rPr>
      </w:pPr>
      <w:bookmarkStart w:id="212" w:name="_Toc13892"/>
      <w:bookmarkStart w:id="213" w:name="_Toc23699"/>
      <w:bookmarkStart w:id="214" w:name="_Toc14822"/>
      <w:bookmarkStart w:id="215" w:name="_Toc19759"/>
      <w:r>
        <w:rPr>
          <w:rFonts w:hint="eastAsia" w:ascii="宋体" w:hAnsi="宋体"/>
          <w:b w:val="0"/>
          <w:bCs/>
          <w:kern w:val="2"/>
          <w:sz w:val="28"/>
          <w:szCs w:val="32"/>
        </w:rPr>
        <w:t>二</w:t>
      </w:r>
      <w:bookmarkEnd w:id="207"/>
      <w:bookmarkEnd w:id="208"/>
      <w:bookmarkEnd w:id="209"/>
      <w:bookmarkEnd w:id="210"/>
      <w:bookmarkEnd w:id="211"/>
      <w:bookmarkStart w:id="216" w:name="_Toc19423"/>
      <w:bookmarkStart w:id="217" w:name="_Toc13151"/>
      <w:bookmarkStart w:id="218" w:name="_Toc385671123"/>
      <w:r>
        <w:rPr>
          <w:rFonts w:hint="eastAsia" w:ascii="宋体" w:hAnsi="宋体"/>
          <w:b w:val="0"/>
          <w:bCs/>
          <w:kern w:val="2"/>
          <w:sz w:val="28"/>
          <w:szCs w:val="32"/>
        </w:rPr>
        <w:t>、投标函</w:t>
      </w:r>
      <w:bookmarkEnd w:id="212"/>
      <w:bookmarkEnd w:id="213"/>
      <w:bookmarkEnd w:id="214"/>
      <w:bookmarkEnd w:id="215"/>
      <w:bookmarkEnd w:id="216"/>
      <w:bookmarkEnd w:id="217"/>
      <w:bookmarkEnd w:id="218"/>
    </w:p>
    <w:p w14:paraId="19365317">
      <w:pPr>
        <w:adjustRightInd w:val="0"/>
        <w:snapToGrid w:val="0"/>
        <w:spacing w:before="120" w:beforeLines="50" w:line="360" w:lineRule="auto"/>
        <w:outlineLvl w:val="9"/>
        <w:rPr>
          <w:rFonts w:hint="eastAsia" w:ascii="宋体" w:hAnsi="宋体"/>
          <w:sz w:val="22"/>
          <w:szCs w:val="22"/>
        </w:rPr>
      </w:pPr>
      <w:r>
        <w:rPr>
          <w:rFonts w:hint="eastAsia" w:ascii="宋体" w:hAnsi="宋体"/>
          <w:sz w:val="22"/>
          <w:szCs w:val="22"/>
        </w:rPr>
        <w:t>致：</w:t>
      </w:r>
      <w:r>
        <w:rPr>
          <w:rFonts w:hint="eastAsia" w:ascii="宋体" w:hAnsi="宋体"/>
          <w:sz w:val="22"/>
          <w:szCs w:val="22"/>
          <w:u w:val="single"/>
        </w:rPr>
        <w:t xml:space="preserve">            </w:t>
      </w:r>
      <w:r>
        <w:rPr>
          <w:rFonts w:hint="eastAsia" w:ascii="宋体" w:hAnsi="宋体"/>
          <w:sz w:val="22"/>
          <w:szCs w:val="22"/>
        </w:rPr>
        <w:t>(采购人)：</w:t>
      </w:r>
    </w:p>
    <w:p w14:paraId="6C921B7A">
      <w:pPr>
        <w:adjustRightInd w:val="0"/>
        <w:snapToGrid w:val="0"/>
        <w:spacing w:before="120" w:beforeLines="50" w:line="360" w:lineRule="auto"/>
        <w:ind w:firstLine="435"/>
        <w:outlineLvl w:val="9"/>
        <w:rPr>
          <w:rFonts w:hint="eastAsia" w:ascii="宋体" w:hAnsi="宋体"/>
          <w:sz w:val="22"/>
          <w:szCs w:val="22"/>
        </w:rPr>
      </w:pPr>
      <w:r>
        <w:rPr>
          <w:rFonts w:hint="eastAsia" w:ascii="宋体" w:hAnsi="宋体"/>
          <w:sz w:val="22"/>
          <w:szCs w:val="22"/>
        </w:rPr>
        <w:t>根据贵方为</w:t>
      </w:r>
      <w:r>
        <w:rPr>
          <w:rFonts w:hint="eastAsia" w:ascii="宋体" w:hAnsi="宋体"/>
          <w:sz w:val="22"/>
          <w:szCs w:val="22"/>
          <w:u w:val="single"/>
        </w:rPr>
        <w:t xml:space="preserve">           </w:t>
      </w:r>
      <w:r>
        <w:rPr>
          <w:rFonts w:hint="eastAsia" w:ascii="宋体" w:hAnsi="宋体"/>
          <w:sz w:val="22"/>
          <w:szCs w:val="22"/>
        </w:rPr>
        <w:t>（项目名称、招标文件编号）</w:t>
      </w:r>
      <w:r>
        <w:rPr>
          <w:rFonts w:hint="eastAsia" w:ascii="宋体" w:hAnsi="宋体"/>
          <w:sz w:val="22"/>
          <w:szCs w:val="22"/>
          <w:u w:val="single"/>
        </w:rPr>
        <w:t xml:space="preserve">   </w:t>
      </w:r>
      <w:r>
        <w:rPr>
          <w:rFonts w:hint="eastAsia" w:ascii="宋体" w:hAnsi="宋体"/>
          <w:sz w:val="22"/>
          <w:szCs w:val="22"/>
          <w:u w:val="single"/>
          <w:lang w:val="en-US" w:eastAsia="zh-CN"/>
        </w:rPr>
        <w:t>/</w:t>
      </w:r>
      <w:r>
        <w:rPr>
          <w:rFonts w:hint="eastAsia" w:ascii="宋体" w:hAnsi="宋体"/>
          <w:sz w:val="22"/>
          <w:szCs w:val="22"/>
          <w:u w:val="single"/>
        </w:rPr>
        <w:t xml:space="preserve">   </w:t>
      </w:r>
      <w:r>
        <w:rPr>
          <w:rFonts w:hint="eastAsia" w:ascii="宋体" w:hAnsi="宋体"/>
          <w:sz w:val="22"/>
          <w:szCs w:val="22"/>
        </w:rPr>
        <w:t xml:space="preserve">（包号）的要求，签字代表 </w:t>
      </w:r>
      <w:r>
        <w:rPr>
          <w:rFonts w:hint="eastAsia" w:ascii="宋体" w:hAnsi="宋体"/>
          <w:sz w:val="22"/>
          <w:szCs w:val="22"/>
          <w:u w:val="single"/>
        </w:rPr>
        <w:t xml:space="preserve">        </w:t>
      </w:r>
      <w:r>
        <w:rPr>
          <w:rFonts w:hint="eastAsia" w:ascii="宋体" w:hAnsi="宋体"/>
          <w:sz w:val="22"/>
          <w:szCs w:val="22"/>
        </w:rPr>
        <w:t>（姓名、职务）经正式授权并代表投标人</w:t>
      </w:r>
      <w:r>
        <w:rPr>
          <w:rFonts w:hint="eastAsia" w:ascii="宋体" w:hAnsi="宋体"/>
          <w:sz w:val="22"/>
          <w:szCs w:val="22"/>
          <w:u w:val="single"/>
        </w:rPr>
        <w:t xml:space="preserve">       </w:t>
      </w:r>
      <w:r>
        <w:rPr>
          <w:rFonts w:hint="eastAsia" w:ascii="宋体" w:hAnsi="宋体"/>
          <w:sz w:val="22"/>
          <w:szCs w:val="22"/>
        </w:rPr>
        <w:t xml:space="preserve"> （投标人名称、地址）提交下述文件并在此声明，所递交的投标文件内容完整、真实。</w:t>
      </w:r>
    </w:p>
    <w:p w14:paraId="607DB415">
      <w:pPr>
        <w:adjustRightInd w:val="0"/>
        <w:snapToGrid w:val="0"/>
        <w:spacing w:before="120" w:beforeLines="50" w:line="360" w:lineRule="auto"/>
        <w:ind w:firstLine="440" w:firstLineChars="200"/>
        <w:jc w:val="left"/>
        <w:outlineLvl w:val="9"/>
        <w:rPr>
          <w:rFonts w:hint="eastAsia" w:ascii="宋体" w:hAnsi="宋体"/>
          <w:sz w:val="22"/>
          <w:szCs w:val="22"/>
        </w:rPr>
      </w:pPr>
      <w:r>
        <w:rPr>
          <w:rFonts w:hint="eastAsia" w:ascii="宋体" w:hAnsi="宋体"/>
          <w:sz w:val="22"/>
          <w:szCs w:val="22"/>
        </w:rPr>
        <w:t xml:space="preserve">1、商务部分文件； </w:t>
      </w:r>
    </w:p>
    <w:p w14:paraId="6A070AE7">
      <w:pPr>
        <w:adjustRightInd w:val="0"/>
        <w:snapToGrid w:val="0"/>
        <w:spacing w:before="120" w:beforeLines="50" w:line="360" w:lineRule="auto"/>
        <w:ind w:firstLine="440" w:firstLineChars="200"/>
        <w:jc w:val="left"/>
        <w:outlineLvl w:val="9"/>
        <w:rPr>
          <w:rFonts w:hint="eastAsia" w:ascii="宋体" w:hAnsi="宋体"/>
          <w:sz w:val="22"/>
          <w:szCs w:val="22"/>
        </w:rPr>
      </w:pPr>
      <w:r>
        <w:rPr>
          <w:rFonts w:hint="eastAsia" w:ascii="宋体" w:hAnsi="宋体"/>
          <w:sz w:val="22"/>
          <w:szCs w:val="22"/>
        </w:rPr>
        <w:t>2、技术部分文件；</w:t>
      </w:r>
    </w:p>
    <w:p w14:paraId="2BF0C4D0">
      <w:pPr>
        <w:adjustRightInd w:val="0"/>
        <w:snapToGrid w:val="0"/>
        <w:spacing w:before="120" w:beforeLines="50" w:line="360" w:lineRule="auto"/>
        <w:ind w:firstLine="440" w:firstLineChars="200"/>
        <w:outlineLvl w:val="9"/>
        <w:rPr>
          <w:rFonts w:hint="eastAsia" w:ascii="宋体" w:hAnsi="宋体"/>
          <w:sz w:val="22"/>
          <w:szCs w:val="22"/>
        </w:rPr>
      </w:pPr>
      <w:r>
        <w:rPr>
          <w:rFonts w:hint="eastAsia" w:ascii="宋体" w:hAnsi="宋体"/>
          <w:sz w:val="22"/>
          <w:szCs w:val="22"/>
        </w:rPr>
        <w:t>在此，签字代表宣布同意如下：</w:t>
      </w:r>
    </w:p>
    <w:p w14:paraId="693D8576">
      <w:pPr>
        <w:numPr>
          <w:ilvl w:val="0"/>
          <w:numId w:val="9"/>
        </w:numPr>
        <w:adjustRightInd w:val="0"/>
        <w:snapToGrid w:val="0"/>
        <w:spacing w:before="120" w:beforeLines="50" w:line="360" w:lineRule="auto"/>
        <w:ind w:firstLine="436" w:firstLineChars="200"/>
        <w:outlineLvl w:val="9"/>
        <w:rPr>
          <w:rFonts w:hint="eastAsia" w:ascii="宋体" w:hAnsi="宋体"/>
          <w:bCs/>
          <w:color w:val="auto"/>
          <w:sz w:val="24"/>
          <w:szCs w:val="24"/>
          <w:highlight w:val="none"/>
        </w:rPr>
      </w:pPr>
      <w:r>
        <w:rPr>
          <w:rFonts w:ascii="宋体" w:hAnsi="宋体" w:cs="宋体"/>
          <w:spacing w:val="-1"/>
          <w:sz w:val="22"/>
          <w:szCs w:val="22"/>
        </w:rPr>
        <w:t>我方保证我方的投标满足招标文件全部实质性要求，投标文件内容无任何虚假。</w:t>
      </w:r>
      <w:r>
        <w:rPr>
          <w:rFonts w:hint="eastAsia" w:ascii="宋体" w:hAnsi="宋体" w:cs="宋体"/>
          <w:spacing w:val="-1"/>
          <w:sz w:val="22"/>
          <w:szCs w:val="22"/>
        </w:rPr>
        <w:t>投标报价为：</w:t>
      </w:r>
      <w:r>
        <w:rPr>
          <w:rFonts w:hint="eastAsia" w:ascii="宋体" w:hAnsi="宋体" w:cs="宋体"/>
          <w:spacing w:val="-1"/>
          <w:sz w:val="22"/>
          <w:szCs w:val="22"/>
          <w:u w:val="single"/>
        </w:rPr>
        <w:t xml:space="preserve">                        </w:t>
      </w:r>
      <w:r>
        <w:rPr>
          <w:rFonts w:hint="eastAsia" w:ascii="宋体" w:hAnsi="宋体" w:cs="宋体"/>
          <w:spacing w:val="-1"/>
          <w:sz w:val="22"/>
          <w:szCs w:val="22"/>
        </w:rPr>
        <w:t>元整</w:t>
      </w:r>
      <w:r>
        <w:rPr>
          <w:rFonts w:hint="eastAsia" w:ascii="宋体" w:hAnsi="宋体" w:cs="宋体"/>
          <w:spacing w:val="-1"/>
          <w:sz w:val="22"/>
          <w:szCs w:val="22"/>
          <w:lang w:eastAsia="zh-CN"/>
        </w:rPr>
        <w:t>。</w:t>
      </w:r>
    </w:p>
    <w:p w14:paraId="4DE6AA30">
      <w:pPr>
        <w:numPr>
          <w:ilvl w:val="0"/>
          <w:numId w:val="9"/>
        </w:numPr>
        <w:adjustRightInd w:val="0"/>
        <w:snapToGrid w:val="0"/>
        <w:spacing w:before="120" w:beforeLines="50" w:line="360" w:lineRule="auto"/>
        <w:ind w:firstLine="440" w:firstLineChars="200"/>
        <w:outlineLvl w:val="9"/>
        <w:rPr>
          <w:rFonts w:hint="eastAsia" w:ascii="宋体" w:hAnsi="宋体"/>
          <w:bCs/>
          <w:color w:val="auto"/>
          <w:sz w:val="24"/>
          <w:szCs w:val="24"/>
          <w:highlight w:val="none"/>
        </w:rPr>
      </w:pPr>
      <w:r>
        <w:rPr>
          <w:rFonts w:hint="eastAsia" w:ascii="宋体" w:hAnsi="宋体"/>
          <w:bCs/>
          <w:color w:val="auto"/>
          <w:sz w:val="22"/>
          <w:szCs w:val="22"/>
          <w:highlight w:val="none"/>
        </w:rPr>
        <w:t>一旦我方中标，我方将严格履行合同规定的责任和义务，保证于合同签字生效后</w:t>
      </w:r>
      <w:r>
        <w:rPr>
          <w:rFonts w:hint="eastAsia" w:ascii="宋体" w:hAnsi="宋体"/>
          <w:bCs/>
          <w:color w:val="auto"/>
          <w:sz w:val="22"/>
          <w:szCs w:val="22"/>
          <w:highlight w:val="none"/>
          <w:u w:val="single"/>
        </w:rPr>
        <w:t xml:space="preserve">    </w:t>
      </w:r>
      <w:r>
        <w:rPr>
          <w:rFonts w:hint="eastAsia" w:hAnsi="宋体"/>
          <w:bCs/>
          <w:color w:val="auto"/>
          <w:sz w:val="22"/>
          <w:szCs w:val="22"/>
          <w:highlight w:val="none"/>
          <w:u w:val="single"/>
          <w:lang w:val="en-US" w:eastAsia="zh-CN"/>
        </w:rPr>
        <w:t xml:space="preserve">  </w:t>
      </w:r>
      <w:r>
        <w:rPr>
          <w:rFonts w:hint="eastAsia" w:ascii="宋体" w:hAnsi="宋体"/>
          <w:bCs/>
          <w:color w:val="auto"/>
          <w:sz w:val="22"/>
          <w:szCs w:val="22"/>
          <w:highlight w:val="none"/>
          <w:u w:val="single"/>
        </w:rPr>
        <w:t xml:space="preserve"> </w:t>
      </w:r>
      <w:r>
        <w:rPr>
          <w:rFonts w:hint="eastAsia" w:ascii="宋体" w:hAnsi="宋体"/>
          <w:bCs/>
          <w:color w:val="auto"/>
          <w:sz w:val="22"/>
          <w:szCs w:val="22"/>
          <w:highlight w:val="none"/>
          <w:u w:val="none"/>
          <w:lang w:val="en-US" w:eastAsia="zh-CN"/>
        </w:rPr>
        <w:t>天</w:t>
      </w:r>
      <w:r>
        <w:rPr>
          <w:rFonts w:hint="eastAsia" w:hAnsi="宋体"/>
          <w:bCs/>
          <w:color w:val="auto"/>
          <w:sz w:val="22"/>
          <w:szCs w:val="22"/>
          <w:highlight w:val="none"/>
          <w:lang w:eastAsia="zh-CN"/>
        </w:rPr>
        <w:t>（服务期限）</w:t>
      </w:r>
      <w:r>
        <w:rPr>
          <w:rFonts w:hint="eastAsia" w:ascii="宋体" w:hAnsi="宋体"/>
          <w:bCs/>
          <w:color w:val="auto"/>
          <w:sz w:val="22"/>
          <w:szCs w:val="22"/>
          <w:highlight w:val="none"/>
        </w:rPr>
        <w:t>内完成项目的</w:t>
      </w:r>
      <w:r>
        <w:rPr>
          <w:rFonts w:hint="eastAsia" w:hAnsi="宋体"/>
          <w:bCs/>
          <w:color w:val="auto"/>
          <w:sz w:val="22"/>
          <w:szCs w:val="22"/>
          <w:highlight w:val="none"/>
          <w:lang w:eastAsia="zh-CN"/>
        </w:rPr>
        <w:t>服务内容</w:t>
      </w:r>
      <w:r>
        <w:rPr>
          <w:rFonts w:hint="eastAsia" w:ascii="宋体" w:hAnsi="宋体"/>
          <w:bCs/>
          <w:color w:val="auto"/>
          <w:sz w:val="22"/>
          <w:szCs w:val="22"/>
          <w:highlight w:val="none"/>
        </w:rPr>
        <w:t>。</w:t>
      </w:r>
    </w:p>
    <w:p w14:paraId="31768B91">
      <w:pPr>
        <w:adjustRightInd w:val="0"/>
        <w:snapToGrid w:val="0"/>
        <w:spacing w:before="120" w:beforeLines="50" w:line="360" w:lineRule="auto"/>
        <w:ind w:firstLine="440" w:firstLineChars="200"/>
        <w:outlineLvl w:val="9"/>
        <w:rPr>
          <w:rFonts w:hint="eastAsia" w:ascii="宋体" w:hAnsi="宋体"/>
          <w:sz w:val="22"/>
          <w:szCs w:val="22"/>
        </w:rPr>
      </w:pPr>
      <w:r>
        <w:rPr>
          <w:rFonts w:hint="eastAsia" w:ascii="宋体" w:hAnsi="宋体"/>
          <w:sz w:val="22"/>
          <w:szCs w:val="22"/>
          <w:lang w:val="en-US" w:eastAsia="zh-CN"/>
        </w:rPr>
        <w:t>3</w:t>
      </w:r>
      <w:r>
        <w:rPr>
          <w:rFonts w:hint="eastAsia" w:ascii="宋体" w:hAnsi="宋体"/>
          <w:sz w:val="22"/>
          <w:szCs w:val="22"/>
        </w:rPr>
        <w:t>、投标人将按招标文件的规定履行合同责任和义务。</w:t>
      </w:r>
    </w:p>
    <w:p w14:paraId="04BB097F">
      <w:pPr>
        <w:adjustRightInd w:val="0"/>
        <w:snapToGrid w:val="0"/>
        <w:spacing w:before="120" w:beforeLines="50" w:line="360" w:lineRule="auto"/>
        <w:ind w:firstLine="440" w:firstLineChars="200"/>
        <w:outlineLvl w:val="9"/>
        <w:rPr>
          <w:rFonts w:hint="eastAsia" w:ascii="宋体" w:hAnsi="宋体"/>
          <w:sz w:val="22"/>
          <w:szCs w:val="22"/>
        </w:rPr>
      </w:pPr>
      <w:r>
        <w:rPr>
          <w:rFonts w:hint="eastAsia" w:ascii="宋体" w:hAnsi="宋体"/>
          <w:sz w:val="22"/>
          <w:szCs w:val="22"/>
          <w:lang w:val="en-US" w:eastAsia="zh-CN"/>
        </w:rPr>
        <w:t>4</w:t>
      </w:r>
      <w:r>
        <w:rPr>
          <w:rFonts w:hint="eastAsia" w:ascii="宋体" w:hAnsi="宋体"/>
          <w:sz w:val="22"/>
          <w:szCs w:val="22"/>
        </w:rPr>
        <w:t>、投标人已详细审查全部招标文件。我们完全理解并同意放弃对这方面有不明及误解的权力。</w:t>
      </w:r>
    </w:p>
    <w:p w14:paraId="32D9C407">
      <w:pPr>
        <w:adjustRightInd w:val="0"/>
        <w:snapToGrid w:val="0"/>
        <w:spacing w:before="120" w:beforeLines="50" w:line="360" w:lineRule="auto"/>
        <w:ind w:firstLine="440" w:firstLineChars="200"/>
        <w:outlineLvl w:val="9"/>
        <w:rPr>
          <w:rFonts w:hint="eastAsia" w:ascii="宋体" w:hAnsi="宋体"/>
          <w:sz w:val="22"/>
          <w:szCs w:val="22"/>
        </w:rPr>
      </w:pPr>
      <w:r>
        <w:rPr>
          <w:rFonts w:hint="eastAsia" w:ascii="宋体" w:hAnsi="宋体"/>
          <w:sz w:val="22"/>
          <w:szCs w:val="22"/>
          <w:lang w:val="en-US" w:eastAsia="zh-CN"/>
        </w:rPr>
        <w:t>5</w:t>
      </w:r>
      <w:r>
        <w:rPr>
          <w:rFonts w:hint="eastAsia" w:ascii="宋体" w:hAnsi="宋体"/>
          <w:sz w:val="22"/>
          <w:szCs w:val="22"/>
        </w:rPr>
        <w:t>、我方同意本投标有效期为自开标日后</w:t>
      </w:r>
      <w:r>
        <w:rPr>
          <w:rFonts w:hint="eastAsia" w:ascii="宋体" w:hAnsi="宋体"/>
          <w:sz w:val="22"/>
          <w:szCs w:val="22"/>
          <w:u w:val="single"/>
        </w:rPr>
        <w:t xml:space="preserve">   </w:t>
      </w:r>
      <w:r>
        <w:rPr>
          <w:rFonts w:hint="eastAsia" w:ascii="宋体" w:hAnsi="宋体"/>
          <w:sz w:val="22"/>
          <w:szCs w:val="22"/>
        </w:rPr>
        <w:t>天。在此期间内我方的投标有可能中标，我 方将受此约束。如果在此期间内撤回投标或放弃中标资格，给贵方造成的损失我方进行赔偿。</w:t>
      </w:r>
    </w:p>
    <w:p w14:paraId="7D63F174">
      <w:pPr>
        <w:adjustRightInd w:val="0"/>
        <w:snapToGrid w:val="0"/>
        <w:spacing w:before="120" w:beforeLines="50" w:line="360" w:lineRule="auto"/>
        <w:ind w:firstLine="440" w:firstLineChars="200"/>
        <w:outlineLvl w:val="9"/>
        <w:rPr>
          <w:rFonts w:hint="eastAsia" w:ascii="宋体" w:hAnsi="宋体"/>
          <w:sz w:val="22"/>
          <w:szCs w:val="22"/>
        </w:rPr>
      </w:pPr>
      <w:r>
        <w:rPr>
          <w:rFonts w:hint="eastAsia" w:ascii="宋体" w:hAnsi="宋体"/>
          <w:sz w:val="22"/>
          <w:szCs w:val="22"/>
          <w:lang w:val="en-US" w:eastAsia="zh-CN"/>
        </w:rPr>
        <w:t>6</w:t>
      </w:r>
      <w:r>
        <w:rPr>
          <w:rFonts w:hint="eastAsia" w:ascii="宋体" w:hAnsi="宋体"/>
          <w:sz w:val="22"/>
          <w:szCs w:val="22"/>
        </w:rPr>
        <w:t>、我方愿意提供贵单位可能另外要求的，与投标有关的文件资料，并保证我方已提供和将要提供的文件资料是真实、准确的。</w:t>
      </w:r>
    </w:p>
    <w:p w14:paraId="20839E33">
      <w:pPr>
        <w:adjustRightInd w:val="0"/>
        <w:snapToGrid w:val="0"/>
        <w:spacing w:before="120" w:beforeLines="50" w:line="360" w:lineRule="auto"/>
        <w:ind w:firstLine="440" w:firstLineChars="200"/>
        <w:outlineLvl w:val="9"/>
        <w:rPr>
          <w:rFonts w:hint="eastAsia" w:ascii="宋体" w:hAnsi="宋体"/>
          <w:sz w:val="22"/>
          <w:szCs w:val="22"/>
        </w:rPr>
      </w:pPr>
      <w:r>
        <w:rPr>
          <w:rFonts w:hint="eastAsia" w:ascii="宋体" w:hAnsi="宋体"/>
          <w:sz w:val="22"/>
          <w:szCs w:val="22"/>
          <w:lang w:val="en-US" w:eastAsia="zh-CN"/>
        </w:rPr>
        <w:t>7</w:t>
      </w:r>
      <w:r>
        <w:rPr>
          <w:rFonts w:hint="eastAsia" w:ascii="宋体" w:hAnsi="宋体"/>
          <w:sz w:val="22"/>
          <w:szCs w:val="22"/>
        </w:rPr>
        <w:t xml:space="preserve">、我方完全理解采购人不一定将合同授予最低报价的投标人的行为。 </w:t>
      </w:r>
    </w:p>
    <w:p w14:paraId="6305AE64">
      <w:pPr>
        <w:adjustRightInd w:val="0"/>
        <w:snapToGrid w:val="0"/>
        <w:spacing w:before="120" w:beforeLines="50" w:line="360" w:lineRule="auto"/>
        <w:ind w:firstLine="440" w:firstLineChars="200"/>
        <w:outlineLvl w:val="9"/>
        <w:rPr>
          <w:rFonts w:hint="eastAsia" w:ascii="宋体" w:hAnsi="宋体" w:eastAsia="宋体"/>
          <w:sz w:val="22"/>
          <w:szCs w:val="22"/>
          <w:lang w:eastAsia="zh-CN"/>
        </w:rPr>
      </w:pPr>
      <w:r>
        <w:rPr>
          <w:rFonts w:hint="eastAsia" w:ascii="宋体" w:hAnsi="宋体"/>
          <w:sz w:val="22"/>
          <w:szCs w:val="22"/>
          <w:lang w:val="en-US" w:eastAsia="zh-CN"/>
        </w:rPr>
        <w:t>8</w:t>
      </w:r>
      <w:r>
        <w:rPr>
          <w:rFonts w:hint="eastAsia" w:ascii="宋体" w:hAnsi="宋体"/>
          <w:sz w:val="22"/>
          <w:szCs w:val="22"/>
        </w:rPr>
        <w:t>、 如违反上述承诺，我方投标无效且接受相关部门依法作出的处罚，并承担通过“甘肃政府采购网”等相关媒体予以公布的任何风险和责任</w:t>
      </w:r>
      <w:r>
        <w:rPr>
          <w:rFonts w:hint="eastAsia" w:ascii="宋体" w:hAnsi="宋体"/>
          <w:sz w:val="22"/>
          <w:szCs w:val="22"/>
          <w:lang w:eastAsia="zh-CN"/>
        </w:rPr>
        <w:t>。</w:t>
      </w:r>
    </w:p>
    <w:p w14:paraId="26A46E00">
      <w:pPr>
        <w:adjustRightInd w:val="0"/>
        <w:snapToGrid w:val="0"/>
        <w:spacing w:before="120" w:beforeLines="50" w:line="360" w:lineRule="auto"/>
        <w:outlineLvl w:val="9"/>
        <w:rPr>
          <w:rFonts w:hint="eastAsia" w:ascii="宋体" w:hAnsi="宋体"/>
          <w:sz w:val="22"/>
          <w:szCs w:val="22"/>
        </w:rPr>
      </w:pPr>
      <w:r>
        <w:rPr>
          <w:rFonts w:hint="eastAsia" w:ascii="宋体" w:hAnsi="宋体"/>
          <w:sz w:val="22"/>
          <w:szCs w:val="22"/>
        </w:rPr>
        <w:t>地址：</w:t>
      </w:r>
      <w:r>
        <w:rPr>
          <w:rFonts w:hint="eastAsia" w:ascii="宋体" w:hAnsi="宋体"/>
          <w:sz w:val="22"/>
          <w:szCs w:val="22"/>
          <w:u w:val="single"/>
        </w:rPr>
        <w:t xml:space="preserve">                       </w:t>
      </w:r>
      <w:r>
        <w:rPr>
          <w:rFonts w:hint="eastAsia" w:ascii="宋体" w:hAnsi="宋体"/>
          <w:sz w:val="22"/>
          <w:szCs w:val="22"/>
        </w:rPr>
        <w:t xml:space="preserve"> 邮编：</w:t>
      </w:r>
      <w:r>
        <w:rPr>
          <w:rFonts w:hint="eastAsia" w:ascii="宋体" w:hAnsi="宋体"/>
          <w:sz w:val="22"/>
          <w:szCs w:val="22"/>
          <w:u w:val="single"/>
        </w:rPr>
        <w:t xml:space="preserve">        </w:t>
      </w:r>
      <w:r>
        <w:rPr>
          <w:rFonts w:hint="eastAsia" w:ascii="宋体" w:hAnsi="宋体"/>
          <w:sz w:val="22"/>
          <w:szCs w:val="22"/>
        </w:rPr>
        <w:t xml:space="preserve"> 电话：</w:t>
      </w:r>
      <w:r>
        <w:rPr>
          <w:rFonts w:hint="eastAsia" w:ascii="宋体" w:hAnsi="宋体"/>
          <w:sz w:val="22"/>
          <w:szCs w:val="22"/>
          <w:u w:val="single"/>
        </w:rPr>
        <w:t xml:space="preserve">             </w:t>
      </w:r>
      <w:r>
        <w:rPr>
          <w:rFonts w:hint="eastAsia" w:ascii="宋体" w:hAnsi="宋体"/>
          <w:sz w:val="22"/>
          <w:szCs w:val="22"/>
        </w:rPr>
        <w:t xml:space="preserve"> 传真：</w:t>
      </w:r>
      <w:r>
        <w:rPr>
          <w:rFonts w:hint="eastAsia" w:ascii="宋体" w:hAnsi="宋体"/>
          <w:sz w:val="22"/>
          <w:szCs w:val="22"/>
          <w:u w:val="single"/>
        </w:rPr>
        <w:t xml:space="preserve">        </w:t>
      </w:r>
      <w:r>
        <w:rPr>
          <w:rFonts w:hint="eastAsia" w:ascii="宋体" w:hAnsi="宋体"/>
          <w:sz w:val="22"/>
          <w:szCs w:val="22"/>
        </w:rPr>
        <w:t xml:space="preserve"> </w:t>
      </w:r>
    </w:p>
    <w:p w14:paraId="4FEE7064">
      <w:pPr>
        <w:pStyle w:val="24"/>
        <w:adjustRightInd w:val="0"/>
        <w:snapToGrid w:val="0"/>
        <w:spacing w:before="120" w:beforeLines="50" w:line="360" w:lineRule="auto"/>
        <w:outlineLvl w:val="9"/>
        <w:rPr>
          <w:rFonts w:hint="eastAsia" w:hAnsi="宋体"/>
          <w:sz w:val="22"/>
          <w:szCs w:val="22"/>
          <w:u w:val="single"/>
        </w:rPr>
      </w:pPr>
      <w:r>
        <w:rPr>
          <w:rFonts w:hint="eastAsia" w:hAnsi="宋体"/>
          <w:sz w:val="22"/>
          <w:szCs w:val="22"/>
        </w:rPr>
        <w:t>投标人名称(盖公章)：</w:t>
      </w:r>
      <w:r>
        <w:rPr>
          <w:rFonts w:hint="eastAsia" w:hAnsi="宋体"/>
          <w:sz w:val="22"/>
          <w:szCs w:val="22"/>
          <w:u w:val="single"/>
        </w:rPr>
        <w:t xml:space="preserve">                            </w:t>
      </w:r>
    </w:p>
    <w:p w14:paraId="2DCBC97C">
      <w:pPr>
        <w:adjustRightInd w:val="0"/>
        <w:snapToGrid w:val="0"/>
        <w:spacing w:before="120" w:beforeLines="50" w:line="360" w:lineRule="auto"/>
        <w:outlineLvl w:val="9"/>
        <w:rPr>
          <w:rFonts w:hint="eastAsia" w:ascii="宋体" w:hAnsi="宋体"/>
          <w:sz w:val="22"/>
          <w:szCs w:val="22"/>
          <w:u w:val="single"/>
        </w:rPr>
      </w:pPr>
      <w:r>
        <w:rPr>
          <w:rFonts w:hint="eastAsia" w:ascii="宋体" w:hAnsi="宋体"/>
          <w:sz w:val="22"/>
          <w:szCs w:val="22"/>
        </w:rPr>
        <w:t>法定代表人或其授权的代理人(签字)：</w:t>
      </w:r>
      <w:r>
        <w:rPr>
          <w:rFonts w:hint="eastAsia" w:ascii="宋体" w:hAnsi="宋体"/>
          <w:sz w:val="22"/>
          <w:szCs w:val="22"/>
          <w:u w:val="single"/>
        </w:rPr>
        <w:t xml:space="preserve">               </w:t>
      </w:r>
    </w:p>
    <w:p w14:paraId="3DC18626">
      <w:pPr>
        <w:adjustRightInd w:val="0"/>
        <w:snapToGrid w:val="0"/>
        <w:spacing w:before="120" w:beforeLines="50" w:line="360" w:lineRule="auto"/>
        <w:outlineLvl w:val="9"/>
        <w:rPr>
          <w:rFonts w:hint="eastAsia"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14:paraId="5AE90505">
      <w:pPr>
        <w:adjustRightInd w:val="0"/>
        <w:snapToGrid w:val="0"/>
        <w:spacing w:before="120" w:beforeLines="50" w:line="360" w:lineRule="auto"/>
        <w:ind w:left="-88" w:leftChars="-42"/>
        <w:jc w:val="center"/>
        <w:outlineLvl w:val="9"/>
        <w:rPr>
          <w:rFonts w:hint="eastAsia" w:ascii="宋体" w:hAnsi="宋体"/>
          <w:sz w:val="22"/>
          <w:szCs w:val="22"/>
        </w:rPr>
      </w:pPr>
      <w:r>
        <w:rPr>
          <w:rFonts w:hint="eastAsia" w:ascii="宋体" w:hAnsi="宋体"/>
          <w:b/>
          <w:sz w:val="22"/>
          <w:szCs w:val="22"/>
        </w:rPr>
        <w:t>注</w:t>
      </w:r>
      <w:r>
        <w:rPr>
          <w:rFonts w:hint="eastAsia" w:ascii="宋体" w:hAnsi="宋体"/>
          <w:sz w:val="22"/>
          <w:szCs w:val="22"/>
        </w:rPr>
        <w:t>：除可填报的部分外，对本投标函的任何修改将被视为非实质性响应投标，在评标时将其视为无效投标。</w:t>
      </w:r>
    </w:p>
    <w:p w14:paraId="14D9DCCF">
      <w:pPr>
        <w:pStyle w:val="4"/>
        <w:pageBreakBefore/>
        <w:adjustRightInd/>
        <w:spacing w:before="0" w:after="0" w:line="360" w:lineRule="auto"/>
        <w:jc w:val="center"/>
        <w:textAlignment w:val="auto"/>
        <w:outlineLvl w:val="1"/>
        <w:rPr>
          <w:rFonts w:hint="eastAsia" w:ascii="宋体" w:hAnsi="宋体"/>
          <w:b/>
          <w:bCs w:val="0"/>
          <w:kern w:val="2"/>
          <w:sz w:val="28"/>
          <w:szCs w:val="32"/>
        </w:rPr>
      </w:pPr>
      <w:bookmarkStart w:id="219" w:name="_Toc3377"/>
      <w:bookmarkStart w:id="220" w:name="_Toc22665"/>
      <w:bookmarkStart w:id="221" w:name="_Toc7829"/>
      <w:bookmarkStart w:id="222" w:name="_Toc26873"/>
      <w:bookmarkStart w:id="223" w:name="_Toc2804"/>
      <w:bookmarkStart w:id="224" w:name="_Toc1956"/>
      <w:r>
        <w:rPr>
          <w:rFonts w:hint="eastAsia" w:ascii="宋体" w:hAnsi="宋体"/>
          <w:b/>
          <w:bCs w:val="0"/>
          <w:kern w:val="2"/>
          <w:sz w:val="28"/>
          <w:szCs w:val="32"/>
          <w:lang w:val="en-US" w:eastAsia="zh-CN"/>
        </w:rPr>
        <w:t>三</w:t>
      </w:r>
      <w:r>
        <w:rPr>
          <w:rFonts w:hint="eastAsia" w:ascii="宋体" w:hAnsi="宋体"/>
          <w:b/>
          <w:bCs w:val="0"/>
          <w:kern w:val="2"/>
          <w:sz w:val="28"/>
          <w:szCs w:val="32"/>
        </w:rPr>
        <w:t>、</w:t>
      </w:r>
      <w:bookmarkEnd w:id="219"/>
      <w:r>
        <w:rPr>
          <w:rFonts w:hint="eastAsia" w:ascii="宋体" w:hAnsi="宋体"/>
          <w:b/>
          <w:bCs w:val="0"/>
          <w:kern w:val="2"/>
          <w:sz w:val="28"/>
          <w:szCs w:val="32"/>
        </w:rPr>
        <w:t>开标报价一览表</w:t>
      </w:r>
      <w:bookmarkEnd w:id="220"/>
      <w:bookmarkEnd w:id="221"/>
      <w:bookmarkEnd w:id="222"/>
      <w:bookmarkEnd w:id="223"/>
      <w:bookmarkEnd w:id="224"/>
    </w:p>
    <w:p w14:paraId="04C8051D">
      <w:pPr>
        <w:adjustRightInd w:val="0"/>
        <w:snapToGrid w:val="0"/>
        <w:spacing w:line="360" w:lineRule="auto"/>
        <w:ind w:left="-88" w:leftChars="-42"/>
        <w:rPr>
          <w:rFonts w:hint="eastAsia" w:ascii="宋体" w:hAnsi="宋体"/>
          <w:color w:val="000000"/>
          <w:sz w:val="22"/>
          <w:szCs w:val="22"/>
        </w:rPr>
      </w:pPr>
    </w:p>
    <w:p w14:paraId="2C1F18D4">
      <w:pPr>
        <w:adjustRightInd w:val="0"/>
        <w:snapToGrid w:val="0"/>
        <w:spacing w:line="360" w:lineRule="auto"/>
        <w:ind w:left="-88" w:leftChars="-42"/>
        <w:rPr>
          <w:rFonts w:hint="eastAsia" w:ascii="宋体" w:hAnsi="宋体"/>
          <w:color w:val="000000"/>
          <w:sz w:val="22"/>
          <w:szCs w:val="22"/>
        </w:rPr>
      </w:pPr>
    </w:p>
    <w:p w14:paraId="6CDB0854">
      <w:pPr>
        <w:spacing w:line="360" w:lineRule="auto"/>
        <w:outlineLvl w:val="9"/>
        <w:rPr>
          <w:rFonts w:hint="eastAsia" w:ascii="宋体" w:hAnsi="宋体"/>
          <w:color w:val="auto"/>
          <w:sz w:val="24"/>
          <w:szCs w:val="24"/>
        </w:rPr>
      </w:pPr>
      <w:bookmarkStart w:id="225" w:name="_Toc2708"/>
      <w:bookmarkStart w:id="226" w:name="_Toc385671125"/>
      <w:bookmarkStart w:id="227" w:name="_Toc28483"/>
      <w:bookmarkStart w:id="228" w:name="_Toc30813"/>
      <w:bookmarkStart w:id="229" w:name="_Toc11384"/>
      <w:bookmarkStart w:id="230" w:name="_Toc385671128"/>
      <w:r>
        <w:rPr>
          <w:rFonts w:hint="eastAsia" w:ascii="宋体" w:hAnsi="宋体"/>
          <w:color w:val="auto"/>
          <w:sz w:val="24"/>
          <w:szCs w:val="24"/>
        </w:rPr>
        <w:t xml:space="preserve">投标人名称： </w:t>
      </w:r>
    </w:p>
    <w:p w14:paraId="0DF10CBC">
      <w:pPr>
        <w:spacing w:line="360" w:lineRule="auto"/>
        <w:outlineLvl w:val="9"/>
        <w:rPr>
          <w:rFonts w:hint="eastAsia" w:ascii="宋体" w:hAnsi="宋体"/>
          <w:color w:val="auto"/>
          <w:sz w:val="24"/>
          <w:szCs w:val="24"/>
        </w:rPr>
      </w:pPr>
      <w:r>
        <w:rPr>
          <w:rFonts w:hint="eastAsia" w:ascii="宋体" w:hAnsi="宋体"/>
          <w:color w:val="auto"/>
          <w:sz w:val="24"/>
          <w:szCs w:val="24"/>
        </w:rPr>
        <w:t xml:space="preserve">项目名称：        </w:t>
      </w:r>
    </w:p>
    <w:p w14:paraId="7E1F9175">
      <w:pPr>
        <w:spacing w:line="360" w:lineRule="auto"/>
        <w:outlineLvl w:val="9"/>
        <w:rPr>
          <w:rFonts w:hint="eastAsia" w:ascii="宋体" w:hAnsi="宋体"/>
          <w:color w:val="auto"/>
          <w:sz w:val="24"/>
          <w:szCs w:val="24"/>
        </w:rPr>
      </w:pPr>
      <w:r>
        <w:rPr>
          <w:rFonts w:hint="eastAsia" w:ascii="宋体" w:hAnsi="宋体"/>
          <w:color w:val="auto"/>
          <w:sz w:val="24"/>
          <w:szCs w:val="24"/>
        </w:rPr>
        <w:t xml:space="preserve">招标文件编号：                </w:t>
      </w:r>
      <w:r>
        <w:rPr>
          <w:rFonts w:hint="eastAsia" w:hAnsi="宋体"/>
          <w:color w:val="auto"/>
          <w:sz w:val="24"/>
          <w:szCs w:val="24"/>
          <w:lang w:val="en-US" w:eastAsia="zh-CN"/>
        </w:rPr>
        <w:t xml:space="preserve">     </w:t>
      </w:r>
      <w:r>
        <w:rPr>
          <w:rFonts w:hint="eastAsia" w:ascii="宋体" w:hAnsi="宋体"/>
          <w:color w:val="auto"/>
          <w:sz w:val="24"/>
          <w:szCs w:val="24"/>
        </w:rPr>
        <w:t>包号：</w:t>
      </w:r>
      <w:r>
        <w:rPr>
          <w:rFonts w:hint="eastAsia" w:ascii="宋体" w:hAnsi="宋体"/>
          <w:color w:val="auto"/>
          <w:sz w:val="24"/>
          <w:szCs w:val="24"/>
          <w:lang w:val="en-US" w:eastAsia="zh-CN"/>
        </w:rPr>
        <w:t>/</w:t>
      </w:r>
      <w:r>
        <w:rPr>
          <w:rFonts w:hint="eastAsia" w:ascii="宋体" w:hAnsi="宋体"/>
          <w:color w:val="auto"/>
          <w:sz w:val="24"/>
          <w:szCs w:val="24"/>
        </w:rPr>
        <w:t xml:space="preserve">     </w:t>
      </w:r>
      <w:r>
        <w:rPr>
          <w:rFonts w:hint="eastAsia" w:hAnsi="宋体"/>
          <w:color w:val="auto"/>
          <w:sz w:val="24"/>
          <w:szCs w:val="24"/>
          <w:lang w:val="en-US" w:eastAsia="zh-CN"/>
        </w:rPr>
        <w:t xml:space="preserve">          </w:t>
      </w:r>
      <w:r>
        <w:rPr>
          <w:rFonts w:hint="eastAsia" w:ascii="宋体" w:hAnsi="宋体"/>
          <w:color w:val="auto"/>
          <w:sz w:val="24"/>
          <w:szCs w:val="24"/>
        </w:rPr>
        <w:t>币种：人民币</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00"/>
      </w:tblGrid>
      <w:tr w14:paraId="2449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20" w:type="dxa"/>
            <w:tcBorders>
              <w:tl2br w:val="nil"/>
              <w:tr2bl w:val="nil"/>
            </w:tcBorders>
            <w:noWrap w:val="0"/>
            <w:vAlign w:val="center"/>
          </w:tcPr>
          <w:p w14:paraId="6635D685">
            <w:pPr>
              <w:tabs>
                <w:tab w:val="left" w:pos="403"/>
                <w:tab w:val="center" w:pos="3781"/>
              </w:tabs>
              <w:spacing w:line="360" w:lineRule="auto"/>
              <w:ind w:right="-5206" w:rightChars="-2479" w:firstLine="240" w:firstLineChars="100"/>
              <w:outlineLvl w:val="9"/>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rPr>
              <w:tab/>
            </w:r>
            <w:r>
              <w:rPr>
                <w:rFonts w:hint="eastAsia" w:ascii="宋体" w:hAnsi="宋体"/>
                <w:color w:val="auto"/>
                <w:sz w:val="24"/>
                <w:szCs w:val="24"/>
              </w:rPr>
              <w:t>项目名称</w:t>
            </w:r>
          </w:p>
        </w:tc>
        <w:tc>
          <w:tcPr>
            <w:tcW w:w="7200" w:type="dxa"/>
            <w:tcBorders>
              <w:tl2br w:val="nil"/>
              <w:tr2bl w:val="nil"/>
            </w:tcBorders>
            <w:noWrap w:val="0"/>
            <w:vAlign w:val="center"/>
          </w:tcPr>
          <w:p w14:paraId="0B4C94CD">
            <w:pPr>
              <w:spacing w:line="360" w:lineRule="auto"/>
              <w:jc w:val="center"/>
              <w:outlineLvl w:val="9"/>
              <w:rPr>
                <w:rFonts w:ascii="宋体" w:hAnsi="宋体"/>
                <w:color w:val="auto"/>
                <w:sz w:val="24"/>
                <w:szCs w:val="24"/>
              </w:rPr>
            </w:pPr>
          </w:p>
        </w:tc>
      </w:tr>
      <w:tr w14:paraId="278B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620" w:type="dxa"/>
            <w:tcBorders>
              <w:tl2br w:val="nil"/>
              <w:tr2bl w:val="nil"/>
            </w:tcBorders>
            <w:noWrap w:val="0"/>
            <w:vAlign w:val="center"/>
          </w:tcPr>
          <w:p w14:paraId="6D6E3516">
            <w:pPr>
              <w:spacing w:line="360" w:lineRule="auto"/>
              <w:jc w:val="center"/>
              <w:outlineLvl w:val="9"/>
              <w:rPr>
                <w:rFonts w:hint="eastAsia" w:hAnsi="宋体"/>
                <w:color w:val="auto"/>
                <w:sz w:val="24"/>
                <w:szCs w:val="24"/>
                <w:lang w:eastAsia="zh-CN"/>
              </w:rPr>
            </w:pPr>
            <w:r>
              <w:rPr>
                <w:rFonts w:hint="eastAsia" w:hAnsi="宋体"/>
                <w:color w:val="auto"/>
                <w:sz w:val="24"/>
                <w:szCs w:val="24"/>
                <w:lang w:eastAsia="zh-CN"/>
              </w:rPr>
              <w:t>投标总价</w:t>
            </w:r>
          </w:p>
          <w:p w14:paraId="279D1E38">
            <w:pPr>
              <w:spacing w:line="360" w:lineRule="auto"/>
              <w:jc w:val="center"/>
              <w:outlineLvl w:val="9"/>
              <w:rPr>
                <w:rFonts w:hint="eastAsia" w:ascii="宋体" w:hAnsi="宋体" w:eastAsia="宋体"/>
                <w:color w:val="auto"/>
                <w:sz w:val="24"/>
                <w:szCs w:val="24"/>
                <w:lang w:eastAsia="zh-CN"/>
              </w:rPr>
            </w:pPr>
            <w:r>
              <w:rPr>
                <w:rFonts w:hint="eastAsia" w:hAnsi="宋体"/>
                <w:color w:val="auto"/>
                <w:sz w:val="24"/>
                <w:szCs w:val="24"/>
                <w:lang w:eastAsia="zh-CN"/>
              </w:rPr>
              <w:t>（万元）</w:t>
            </w:r>
          </w:p>
        </w:tc>
        <w:tc>
          <w:tcPr>
            <w:tcW w:w="7200" w:type="dxa"/>
            <w:tcBorders>
              <w:tl2br w:val="nil"/>
              <w:tr2bl w:val="nil"/>
            </w:tcBorders>
            <w:noWrap w:val="0"/>
            <w:vAlign w:val="center"/>
          </w:tcPr>
          <w:p w14:paraId="074F043F">
            <w:pPr>
              <w:spacing w:line="360" w:lineRule="auto"/>
              <w:outlineLvl w:val="9"/>
              <w:rPr>
                <w:rFonts w:ascii="宋体" w:hAnsi="宋体"/>
                <w:color w:val="auto"/>
                <w:sz w:val="24"/>
                <w:szCs w:val="24"/>
              </w:rPr>
            </w:pPr>
            <w:r>
              <w:rPr>
                <w:rFonts w:hint="eastAsia" w:ascii="宋体" w:hAnsi="宋体"/>
                <w:color w:val="auto"/>
                <w:sz w:val="24"/>
                <w:szCs w:val="24"/>
              </w:rPr>
              <w:t>小写：</w:t>
            </w:r>
            <w:r>
              <w:rPr>
                <w:rFonts w:hint="eastAsia" w:ascii="宋体" w:hAnsi="宋体"/>
                <w:color w:val="auto"/>
                <w:sz w:val="24"/>
                <w:szCs w:val="24"/>
                <w:u w:val="single"/>
              </w:rPr>
              <w:t xml:space="preserve">                    </w:t>
            </w:r>
          </w:p>
          <w:p w14:paraId="05EE16F9">
            <w:pPr>
              <w:spacing w:line="360" w:lineRule="auto"/>
              <w:outlineLvl w:val="9"/>
              <w:rPr>
                <w:rFonts w:ascii="宋体" w:hAnsi="宋体"/>
                <w:color w:val="auto"/>
                <w:sz w:val="24"/>
                <w:szCs w:val="24"/>
              </w:rPr>
            </w:pPr>
            <w:r>
              <w:rPr>
                <w:rFonts w:hint="eastAsia" w:ascii="宋体" w:hAnsi="宋体"/>
                <w:color w:val="auto"/>
                <w:sz w:val="24"/>
                <w:szCs w:val="24"/>
              </w:rPr>
              <w:t>大写：</w:t>
            </w:r>
            <w:r>
              <w:rPr>
                <w:rFonts w:hint="eastAsia" w:ascii="宋体" w:hAnsi="宋体"/>
                <w:color w:val="auto"/>
                <w:sz w:val="24"/>
                <w:szCs w:val="24"/>
                <w:u w:val="single"/>
              </w:rPr>
              <w:t xml:space="preserve">                    </w:t>
            </w:r>
          </w:p>
        </w:tc>
      </w:tr>
      <w:tr w14:paraId="0EB0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0" w:type="dxa"/>
            <w:tcBorders>
              <w:tl2br w:val="nil"/>
              <w:tr2bl w:val="nil"/>
            </w:tcBorders>
            <w:noWrap w:val="0"/>
            <w:vAlign w:val="center"/>
          </w:tcPr>
          <w:p w14:paraId="1BA1DF44">
            <w:pPr>
              <w:spacing w:line="360" w:lineRule="auto"/>
              <w:jc w:val="center"/>
              <w:outlineLvl w:val="9"/>
              <w:rPr>
                <w:rFonts w:ascii="宋体" w:hAnsi="宋体"/>
                <w:color w:val="auto"/>
                <w:sz w:val="24"/>
                <w:szCs w:val="24"/>
              </w:rPr>
            </w:pPr>
            <w:r>
              <w:rPr>
                <w:rFonts w:hint="eastAsia" w:hAnsi="宋体"/>
                <w:color w:val="auto"/>
                <w:sz w:val="24"/>
                <w:szCs w:val="24"/>
                <w:lang w:eastAsia="zh-CN"/>
              </w:rPr>
              <w:t>服务期限</w:t>
            </w:r>
          </w:p>
        </w:tc>
        <w:tc>
          <w:tcPr>
            <w:tcW w:w="7200" w:type="dxa"/>
            <w:tcBorders>
              <w:tl2br w:val="nil"/>
              <w:tr2bl w:val="nil"/>
            </w:tcBorders>
            <w:noWrap w:val="0"/>
            <w:vAlign w:val="center"/>
          </w:tcPr>
          <w:p w14:paraId="4CB76DD0">
            <w:pPr>
              <w:spacing w:line="360" w:lineRule="auto"/>
              <w:outlineLvl w:val="9"/>
              <w:rPr>
                <w:rFonts w:ascii="宋体" w:hAnsi="宋体"/>
                <w:iCs/>
                <w:color w:val="auto"/>
                <w:sz w:val="24"/>
                <w:szCs w:val="24"/>
              </w:rPr>
            </w:pPr>
          </w:p>
        </w:tc>
      </w:tr>
      <w:tr w14:paraId="3447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20" w:type="dxa"/>
            <w:tcBorders>
              <w:tl2br w:val="nil"/>
              <w:tr2bl w:val="nil"/>
            </w:tcBorders>
            <w:noWrap w:val="0"/>
            <w:vAlign w:val="center"/>
          </w:tcPr>
          <w:p w14:paraId="753ED2BD">
            <w:pPr>
              <w:spacing w:line="360" w:lineRule="auto"/>
              <w:jc w:val="center"/>
              <w:outlineLvl w:val="9"/>
              <w:rPr>
                <w:rFonts w:ascii="宋体" w:hAnsi="宋体"/>
                <w:color w:val="auto"/>
                <w:sz w:val="24"/>
                <w:szCs w:val="24"/>
              </w:rPr>
            </w:pPr>
            <w:r>
              <w:rPr>
                <w:rFonts w:hint="eastAsia" w:ascii="宋体" w:hAnsi="宋体"/>
                <w:color w:val="auto"/>
                <w:sz w:val="24"/>
                <w:szCs w:val="24"/>
              </w:rPr>
              <w:t>项目负责人</w:t>
            </w:r>
          </w:p>
        </w:tc>
        <w:tc>
          <w:tcPr>
            <w:tcW w:w="7200" w:type="dxa"/>
            <w:tcBorders>
              <w:tl2br w:val="nil"/>
              <w:tr2bl w:val="nil"/>
            </w:tcBorders>
            <w:noWrap w:val="0"/>
            <w:vAlign w:val="center"/>
          </w:tcPr>
          <w:p w14:paraId="5894B1F2">
            <w:pPr>
              <w:spacing w:line="360" w:lineRule="auto"/>
              <w:ind w:firstLine="240" w:firstLineChars="100"/>
              <w:outlineLvl w:val="9"/>
              <w:rPr>
                <w:rFonts w:ascii="宋体" w:hAnsi="宋体"/>
                <w:color w:val="auto"/>
                <w:sz w:val="24"/>
                <w:szCs w:val="24"/>
              </w:rPr>
            </w:pPr>
          </w:p>
        </w:tc>
      </w:tr>
      <w:tr w14:paraId="7F97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l2br w:val="nil"/>
              <w:tr2bl w:val="nil"/>
            </w:tcBorders>
            <w:noWrap w:val="0"/>
            <w:vAlign w:val="center"/>
          </w:tcPr>
          <w:p w14:paraId="20C1273A">
            <w:pPr>
              <w:spacing w:line="360" w:lineRule="auto"/>
              <w:jc w:val="center"/>
              <w:outlineLvl w:val="9"/>
              <w:rPr>
                <w:rFonts w:ascii="宋体" w:hAnsi="宋体"/>
                <w:color w:val="auto"/>
                <w:sz w:val="24"/>
                <w:szCs w:val="24"/>
              </w:rPr>
            </w:pPr>
            <w:r>
              <w:rPr>
                <w:rFonts w:hint="eastAsia" w:ascii="宋体" w:hAnsi="宋体"/>
                <w:color w:val="auto"/>
                <w:sz w:val="24"/>
                <w:szCs w:val="24"/>
              </w:rPr>
              <w:t>备  注</w:t>
            </w:r>
          </w:p>
        </w:tc>
        <w:tc>
          <w:tcPr>
            <w:tcW w:w="7200" w:type="dxa"/>
            <w:tcBorders>
              <w:tl2br w:val="nil"/>
              <w:tr2bl w:val="nil"/>
            </w:tcBorders>
            <w:noWrap w:val="0"/>
            <w:vAlign w:val="center"/>
          </w:tcPr>
          <w:p w14:paraId="58CD94BC">
            <w:pPr>
              <w:spacing w:line="360" w:lineRule="auto"/>
              <w:outlineLvl w:val="9"/>
              <w:rPr>
                <w:rFonts w:ascii="宋体" w:hAnsi="宋体"/>
                <w:color w:val="auto"/>
                <w:sz w:val="24"/>
                <w:szCs w:val="24"/>
              </w:rPr>
            </w:pPr>
          </w:p>
        </w:tc>
      </w:tr>
    </w:tbl>
    <w:p w14:paraId="2D996BC3">
      <w:pPr>
        <w:adjustRightInd w:val="0"/>
        <w:snapToGrid w:val="0"/>
        <w:spacing w:line="360" w:lineRule="auto"/>
        <w:outlineLvl w:val="9"/>
        <w:rPr>
          <w:rFonts w:ascii="宋体" w:hAnsi="宋体"/>
          <w:color w:val="auto"/>
          <w:sz w:val="24"/>
          <w:szCs w:val="24"/>
        </w:rPr>
      </w:pPr>
    </w:p>
    <w:p w14:paraId="00904E45">
      <w:pPr>
        <w:adjustRightInd w:val="0"/>
        <w:snapToGrid w:val="0"/>
        <w:spacing w:line="360" w:lineRule="auto"/>
        <w:ind w:left="-88" w:leftChars="-42"/>
        <w:outlineLvl w:val="9"/>
        <w:rPr>
          <w:rFonts w:ascii="宋体" w:hAnsi="宋体"/>
          <w:color w:val="auto"/>
          <w:sz w:val="24"/>
          <w:szCs w:val="24"/>
        </w:rPr>
      </w:pPr>
    </w:p>
    <w:p w14:paraId="24BA5552">
      <w:pPr>
        <w:adjustRightInd w:val="0"/>
        <w:snapToGrid w:val="0"/>
        <w:spacing w:line="360" w:lineRule="auto"/>
        <w:ind w:firstLine="3600" w:firstLineChars="1500"/>
        <w:outlineLvl w:val="9"/>
        <w:rPr>
          <w:rFonts w:ascii="宋体" w:hAnsi="宋体"/>
          <w:color w:val="auto"/>
          <w:sz w:val="24"/>
          <w:szCs w:val="24"/>
        </w:rPr>
      </w:pPr>
      <w:r>
        <w:rPr>
          <w:rFonts w:hint="eastAsia" w:ascii="宋体" w:hAnsi="宋体"/>
          <w:color w:val="auto"/>
          <w:sz w:val="24"/>
          <w:szCs w:val="24"/>
        </w:rPr>
        <w:t>投标人（</w:t>
      </w:r>
      <w:r>
        <w:rPr>
          <w:rFonts w:hint="eastAsia" w:hAnsi="宋体"/>
          <w:color w:val="auto"/>
          <w:sz w:val="24"/>
          <w:szCs w:val="24"/>
          <w:lang w:eastAsia="zh-CN"/>
        </w:rPr>
        <w:t>公章</w:t>
      </w:r>
      <w:r>
        <w:rPr>
          <w:rFonts w:hint="eastAsia" w:ascii="宋体" w:hAnsi="宋体"/>
          <w:color w:val="auto"/>
          <w:sz w:val="24"/>
          <w:szCs w:val="24"/>
        </w:rPr>
        <w:t>）：</w:t>
      </w:r>
    </w:p>
    <w:p w14:paraId="63F11D9D">
      <w:pPr>
        <w:adjustRightInd w:val="0"/>
        <w:snapToGrid w:val="0"/>
        <w:spacing w:line="360" w:lineRule="auto"/>
        <w:ind w:firstLine="3600" w:firstLineChars="1500"/>
        <w:outlineLvl w:val="9"/>
        <w:rPr>
          <w:rFonts w:hint="eastAsia" w:ascii="宋体" w:hAnsi="宋体"/>
          <w:color w:val="auto"/>
          <w:sz w:val="24"/>
          <w:szCs w:val="24"/>
        </w:rPr>
      </w:pPr>
      <w:r>
        <w:rPr>
          <w:rFonts w:hint="eastAsia" w:ascii="宋体" w:hAnsi="宋体"/>
          <w:color w:val="auto"/>
          <w:sz w:val="24"/>
          <w:szCs w:val="24"/>
        </w:rPr>
        <w:t>法定代表人或</w:t>
      </w:r>
      <w:r>
        <w:rPr>
          <w:rFonts w:hint="default" w:hAnsi="宋体"/>
          <w:color w:val="auto"/>
          <w:sz w:val="24"/>
          <w:szCs w:val="24"/>
          <w:lang w:val="en" w:eastAsia="zh-CN"/>
        </w:rPr>
        <w:t>授权代表</w:t>
      </w:r>
      <w:r>
        <w:rPr>
          <w:rFonts w:hint="eastAsia" w:ascii="宋体" w:hAnsi="宋体"/>
          <w:color w:val="auto"/>
          <w:sz w:val="24"/>
          <w:szCs w:val="24"/>
        </w:rPr>
        <w:t>（签字</w:t>
      </w:r>
      <w:r>
        <w:rPr>
          <w:rFonts w:hint="eastAsia" w:hAnsi="宋体"/>
          <w:color w:val="auto"/>
          <w:sz w:val="24"/>
          <w:szCs w:val="24"/>
          <w:lang w:eastAsia="zh-CN"/>
        </w:rPr>
        <w:t>或盖章</w:t>
      </w:r>
      <w:r>
        <w:rPr>
          <w:rFonts w:hint="eastAsia" w:ascii="宋体" w:hAnsi="宋体"/>
          <w:color w:val="auto"/>
          <w:sz w:val="24"/>
          <w:szCs w:val="24"/>
        </w:rPr>
        <w:t>）：</w:t>
      </w:r>
    </w:p>
    <w:p w14:paraId="4E5F03DC">
      <w:pPr>
        <w:adjustRightInd w:val="0"/>
        <w:snapToGrid w:val="0"/>
        <w:spacing w:line="360" w:lineRule="auto"/>
        <w:ind w:firstLine="3600" w:firstLineChars="1500"/>
        <w:outlineLvl w:val="9"/>
        <w:rPr>
          <w:rFonts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3D71F0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color w:val="auto"/>
          <w:sz w:val="24"/>
          <w:szCs w:val="24"/>
        </w:rPr>
      </w:pPr>
      <w:r>
        <w:rPr>
          <w:rFonts w:hint="eastAsia" w:ascii="宋体" w:hAnsi="宋体"/>
          <w:color w:val="auto"/>
          <w:sz w:val="24"/>
          <w:szCs w:val="24"/>
        </w:rPr>
        <w:t xml:space="preserve"> 说明：</w:t>
      </w:r>
      <w:r>
        <w:rPr>
          <w:rFonts w:ascii="宋体" w:hAnsi="宋体"/>
          <w:color w:val="auto"/>
          <w:sz w:val="24"/>
          <w:szCs w:val="24"/>
        </w:rPr>
        <w:t>1</w:t>
      </w:r>
      <w:r>
        <w:rPr>
          <w:rFonts w:hint="eastAsia" w:ascii="宋体" w:hAnsi="宋体"/>
          <w:color w:val="auto"/>
          <w:sz w:val="24"/>
          <w:szCs w:val="24"/>
        </w:rPr>
        <w:t>. 报价应是最终用户验收合格后的总价，包括采购需求包含的所有服务项目的总价和招标文件规定的其它费用。</w:t>
      </w:r>
    </w:p>
    <w:p w14:paraId="3D9900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b w:val="0"/>
          <w:bCs w:val="0"/>
          <w:color w:val="auto"/>
          <w:sz w:val="24"/>
          <w:szCs w:val="24"/>
        </w:rPr>
      </w:pPr>
      <w:r>
        <w:rPr>
          <w:rFonts w:hint="eastAsia" w:ascii="宋体" w:hAnsi="宋体"/>
          <w:color w:val="auto"/>
          <w:sz w:val="24"/>
          <w:szCs w:val="24"/>
          <w:lang w:val="en-US" w:eastAsia="zh-CN"/>
        </w:rPr>
        <w:t xml:space="preserve"> </w:t>
      </w:r>
      <w:r>
        <w:rPr>
          <w:rFonts w:hint="eastAsia" w:ascii="宋体" w:hAnsi="宋体"/>
          <w:b w:val="0"/>
          <w:bCs w:val="0"/>
          <w:color w:val="auto"/>
          <w:sz w:val="24"/>
          <w:szCs w:val="24"/>
          <w:lang w:val="en-US" w:eastAsia="zh-CN"/>
        </w:rPr>
        <w:t>2.</w:t>
      </w:r>
      <w:r>
        <w:rPr>
          <w:rFonts w:hint="eastAsia" w:ascii="宋体" w:hAnsi="宋体"/>
          <w:b w:val="0"/>
          <w:bCs w:val="0"/>
          <w:color w:val="auto"/>
          <w:sz w:val="24"/>
          <w:szCs w:val="24"/>
        </w:rPr>
        <w:t>“开标一览表”</w:t>
      </w:r>
      <w:r>
        <w:rPr>
          <w:rFonts w:hint="eastAsia" w:ascii="宋体" w:hAnsi="宋体"/>
          <w:b w:val="0"/>
          <w:bCs w:val="0"/>
          <w:color w:val="auto"/>
          <w:sz w:val="24"/>
          <w:szCs w:val="24"/>
          <w:lang w:eastAsia="zh-CN"/>
        </w:rPr>
        <w:t>必须</w:t>
      </w:r>
      <w:r>
        <w:rPr>
          <w:rFonts w:hint="eastAsia" w:hAnsi="宋体"/>
          <w:b w:val="0"/>
          <w:bCs w:val="0"/>
          <w:color w:val="auto"/>
          <w:sz w:val="24"/>
          <w:szCs w:val="24"/>
          <w:lang w:eastAsia="zh-CN"/>
        </w:rPr>
        <w:t>签字或盖章，</w:t>
      </w:r>
      <w:r>
        <w:rPr>
          <w:rFonts w:hint="eastAsia" w:ascii="宋体" w:hAnsi="宋体"/>
          <w:b w:val="0"/>
          <w:bCs w:val="0"/>
          <w:color w:val="auto"/>
          <w:sz w:val="24"/>
          <w:szCs w:val="24"/>
        </w:rPr>
        <w:t>否则为无效投标</w:t>
      </w:r>
      <w:r>
        <w:rPr>
          <w:rFonts w:hint="eastAsia" w:hAnsi="宋体"/>
          <w:b w:val="0"/>
          <w:bCs w:val="0"/>
          <w:color w:val="auto"/>
          <w:sz w:val="24"/>
          <w:szCs w:val="24"/>
          <w:lang w:eastAsia="zh-CN"/>
        </w:rPr>
        <w:t>，可以逐页签字或盖章也可以在落款处签字或盖章。</w:t>
      </w:r>
    </w:p>
    <w:p w14:paraId="7C5524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b w:val="0"/>
          <w:bCs w:val="0"/>
          <w:color w:val="auto"/>
          <w:sz w:val="24"/>
          <w:szCs w:val="24"/>
        </w:rPr>
      </w:pPr>
      <w:r>
        <w:rPr>
          <w:rFonts w:hint="eastAsia" w:ascii="宋体" w:hAnsi="宋体"/>
          <w:b w:val="0"/>
          <w:bCs w:val="0"/>
          <w:color w:val="auto"/>
          <w:sz w:val="24"/>
          <w:szCs w:val="24"/>
          <w:lang w:val="en-US" w:eastAsia="zh-CN"/>
        </w:rPr>
        <w:t xml:space="preserve">     3</w:t>
      </w:r>
      <w:r>
        <w:rPr>
          <w:rFonts w:hint="eastAsia" w:ascii="宋体" w:hAnsi="宋体"/>
          <w:b w:val="0"/>
          <w:bCs w:val="0"/>
          <w:color w:val="auto"/>
          <w:sz w:val="24"/>
          <w:szCs w:val="24"/>
          <w:lang w:eastAsia="zh-CN"/>
        </w:rPr>
        <w:t>.</w:t>
      </w:r>
      <w:r>
        <w:rPr>
          <w:rFonts w:hint="eastAsia" w:ascii="宋体" w:hAnsi="宋体"/>
          <w:b w:val="0"/>
          <w:bCs w:val="0"/>
          <w:color w:val="auto"/>
          <w:sz w:val="24"/>
          <w:szCs w:val="24"/>
        </w:rPr>
        <w:t>“开标一览表”</w:t>
      </w:r>
      <w:r>
        <w:rPr>
          <w:rFonts w:hint="eastAsia" w:hAnsi="宋体"/>
          <w:b w:val="0"/>
          <w:bCs w:val="0"/>
          <w:color w:val="auto"/>
          <w:sz w:val="24"/>
          <w:szCs w:val="24"/>
          <w:lang w:eastAsia="zh-CN"/>
        </w:rPr>
        <w:t>按</w:t>
      </w:r>
      <w:r>
        <w:rPr>
          <w:rFonts w:hint="eastAsia" w:ascii="宋体" w:hAnsi="宋体"/>
          <w:b w:val="0"/>
          <w:bCs w:val="0"/>
          <w:color w:val="auto"/>
          <w:sz w:val="24"/>
          <w:szCs w:val="24"/>
        </w:rPr>
        <w:t>包</w:t>
      </w:r>
      <w:r>
        <w:rPr>
          <w:rFonts w:hint="eastAsia" w:hAnsi="宋体"/>
          <w:b w:val="0"/>
          <w:bCs w:val="0"/>
          <w:color w:val="auto"/>
          <w:sz w:val="24"/>
          <w:szCs w:val="24"/>
          <w:lang w:eastAsia="zh-CN"/>
        </w:rPr>
        <w:t>分别</w:t>
      </w:r>
      <w:r>
        <w:rPr>
          <w:rFonts w:hint="eastAsia" w:ascii="宋体" w:hAnsi="宋体"/>
          <w:b w:val="0"/>
          <w:bCs w:val="0"/>
          <w:color w:val="auto"/>
          <w:sz w:val="24"/>
          <w:szCs w:val="24"/>
        </w:rPr>
        <w:t>填写。</w:t>
      </w:r>
    </w:p>
    <w:p w14:paraId="096ADF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hAnsi="宋体"/>
          <w:b/>
          <w:bCs/>
          <w:color w:val="auto"/>
          <w:sz w:val="24"/>
          <w:szCs w:val="24"/>
          <w:lang w:val="en-US" w:eastAsia="zh-CN"/>
        </w:rPr>
        <w:t xml:space="preserve">     </w:t>
      </w:r>
      <w:r>
        <w:rPr>
          <w:rFonts w:hint="eastAsia" w:hAnsi="宋体"/>
          <w:b w:val="0"/>
          <w:bCs w:val="0"/>
          <w:color w:val="auto"/>
          <w:sz w:val="24"/>
          <w:szCs w:val="24"/>
          <w:lang w:val="en-US" w:eastAsia="zh-CN"/>
        </w:rPr>
        <w:t>4.电子投标文件中</w:t>
      </w:r>
      <w:r>
        <w:rPr>
          <w:rFonts w:hint="eastAsia" w:ascii="宋体" w:hAnsi="宋体" w:eastAsia="宋体" w:cs="宋体"/>
          <w:color w:val="auto"/>
          <w:sz w:val="24"/>
          <w:szCs w:val="24"/>
          <w:lang w:eastAsia="zh-CN"/>
        </w:rPr>
        <w:t>的开标一览表</w:t>
      </w:r>
      <w:r>
        <w:rPr>
          <w:rFonts w:hint="eastAsia" w:hAnsi="宋体" w:eastAsia="宋体" w:cs="宋体"/>
          <w:color w:val="auto"/>
          <w:sz w:val="24"/>
          <w:szCs w:val="24"/>
          <w:lang w:eastAsia="zh-CN"/>
        </w:rPr>
        <w:t>必须与网上开评标系统中用于现场开标的开标一览表内容一致，若</w:t>
      </w:r>
      <w:r>
        <w:rPr>
          <w:rFonts w:hint="eastAsia" w:ascii="宋体" w:hAnsi="宋体" w:eastAsia="宋体" w:cs="宋体"/>
          <w:color w:val="auto"/>
          <w:sz w:val="24"/>
          <w:szCs w:val="24"/>
          <w:lang w:eastAsia="zh-CN"/>
        </w:rPr>
        <w:t>不一致的，以</w:t>
      </w:r>
      <w:r>
        <w:rPr>
          <w:rFonts w:hint="eastAsia" w:hAnsi="宋体" w:eastAsia="宋体" w:cs="宋体"/>
          <w:color w:val="auto"/>
          <w:sz w:val="24"/>
          <w:szCs w:val="24"/>
          <w:lang w:eastAsia="zh-CN"/>
        </w:rPr>
        <w:t>网上</w:t>
      </w:r>
      <w:r>
        <w:rPr>
          <w:rFonts w:hint="eastAsia" w:ascii="宋体" w:hAnsi="宋体" w:eastAsia="宋体" w:cs="宋体"/>
          <w:color w:val="auto"/>
          <w:sz w:val="24"/>
          <w:szCs w:val="24"/>
          <w:lang w:eastAsia="zh-CN"/>
        </w:rPr>
        <w:t>开评标系统中用于现场开标的开标一览表</w:t>
      </w:r>
      <w:r>
        <w:rPr>
          <w:rFonts w:hint="eastAsia" w:hAnsi="宋体" w:eastAsia="宋体" w:cs="宋体"/>
          <w:color w:val="auto"/>
          <w:sz w:val="24"/>
          <w:szCs w:val="24"/>
          <w:lang w:eastAsia="zh-CN"/>
        </w:rPr>
        <w:t>内容</w:t>
      </w:r>
      <w:r>
        <w:rPr>
          <w:rFonts w:hint="eastAsia" w:ascii="宋体" w:hAnsi="宋体" w:eastAsia="宋体" w:cs="宋体"/>
          <w:color w:val="auto"/>
          <w:sz w:val="24"/>
          <w:szCs w:val="24"/>
          <w:lang w:eastAsia="zh-CN"/>
        </w:rPr>
        <w:t>为准。</w:t>
      </w:r>
    </w:p>
    <w:p w14:paraId="23FC35B3">
      <w:pPr>
        <w:keepNext w:val="0"/>
        <w:keepLines w:val="0"/>
        <w:pageBreakBefore w:val="0"/>
        <w:widowControl w:val="0"/>
        <w:kinsoku/>
        <w:wordWrap/>
        <w:overflowPunct/>
        <w:topLinePunct w:val="0"/>
        <w:autoSpaceDE/>
        <w:autoSpaceDN/>
        <w:bidi w:val="0"/>
        <w:spacing w:line="360" w:lineRule="auto"/>
        <w:textAlignment w:val="auto"/>
        <w:outlineLvl w:val="9"/>
        <w:rPr>
          <w:color w:val="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CDF25B6">
      <w:pPr>
        <w:adjustRightInd w:val="0"/>
        <w:snapToGrid w:val="0"/>
        <w:spacing w:line="360" w:lineRule="auto"/>
        <w:jc w:val="center"/>
        <w:outlineLvl w:val="1"/>
        <w:rPr>
          <w:rFonts w:hAnsi="宋体"/>
          <w:b/>
          <w:bCs/>
          <w:color w:val="auto"/>
          <w:sz w:val="30"/>
          <w:szCs w:val="30"/>
          <w:highlight w:val="none"/>
        </w:rPr>
      </w:pPr>
      <w:bookmarkStart w:id="231" w:name="_Toc20409"/>
      <w:bookmarkStart w:id="232" w:name="_Toc4369"/>
      <w:bookmarkStart w:id="233" w:name="_Toc25286"/>
      <w:bookmarkStart w:id="234" w:name="_Toc30492"/>
      <w:r>
        <w:rPr>
          <w:rFonts w:hint="eastAsia" w:ascii="宋体" w:hAnsi="宋体"/>
          <w:b/>
          <w:bCs w:val="0"/>
          <w:kern w:val="2"/>
          <w:sz w:val="28"/>
          <w:szCs w:val="32"/>
          <w:lang w:val="en-US" w:eastAsia="zh-CN"/>
        </w:rPr>
        <w:t>四</w:t>
      </w:r>
      <w:r>
        <w:rPr>
          <w:rFonts w:hint="eastAsia" w:ascii="宋体" w:hAnsi="宋体"/>
          <w:b/>
          <w:bCs w:val="0"/>
          <w:kern w:val="2"/>
          <w:sz w:val="28"/>
          <w:szCs w:val="32"/>
        </w:rPr>
        <w:t>、</w:t>
      </w:r>
      <w:bookmarkEnd w:id="225"/>
      <w:bookmarkEnd w:id="226"/>
      <w:bookmarkEnd w:id="227"/>
      <w:bookmarkEnd w:id="228"/>
      <w:bookmarkStart w:id="235" w:name="_Toc25187"/>
      <w:r>
        <w:rPr>
          <w:rFonts w:hint="eastAsia" w:hAnsi="宋体"/>
          <w:b/>
          <w:bCs/>
          <w:color w:val="auto"/>
          <w:sz w:val="30"/>
          <w:szCs w:val="30"/>
          <w:highlight w:val="none"/>
        </w:rPr>
        <w:t>报价明细表</w:t>
      </w:r>
      <w:bookmarkEnd w:id="231"/>
      <w:bookmarkEnd w:id="232"/>
      <w:bookmarkEnd w:id="233"/>
      <w:bookmarkEnd w:id="234"/>
    </w:p>
    <w:p w14:paraId="1062079F">
      <w:pPr>
        <w:spacing w:line="460" w:lineRule="exact"/>
        <w:ind w:left="192"/>
        <w:jc w:val="center"/>
        <w:outlineLvl w:val="9"/>
        <w:rPr>
          <w:color w:val="auto"/>
          <w:sz w:val="24"/>
          <w:highlight w:val="none"/>
        </w:rPr>
      </w:pPr>
      <w:r>
        <w:rPr>
          <w:rFonts w:hint="eastAsia" w:hAnsi="宋体" w:eastAsia="宋体"/>
          <w:b/>
          <w:color w:val="auto"/>
          <w:kern w:val="2"/>
          <w:sz w:val="28"/>
          <w:szCs w:val="28"/>
          <w:highlight w:val="none"/>
          <w:lang w:val="en-US" w:eastAsia="zh-CN"/>
        </w:rPr>
        <w:t>投标人根据采购项目要求自拟格式</w:t>
      </w:r>
    </w:p>
    <w:p w14:paraId="69C1D741">
      <w:pPr>
        <w:pStyle w:val="4"/>
        <w:pageBreakBefore/>
        <w:adjustRightInd/>
        <w:spacing w:before="0" w:after="0" w:line="360" w:lineRule="auto"/>
        <w:jc w:val="center"/>
        <w:textAlignment w:val="auto"/>
        <w:outlineLvl w:val="1"/>
        <w:rPr>
          <w:rFonts w:hint="eastAsia" w:ascii="宋体" w:hAnsi="宋体"/>
          <w:b/>
          <w:bCs w:val="0"/>
          <w:kern w:val="2"/>
          <w:sz w:val="28"/>
          <w:szCs w:val="32"/>
        </w:rPr>
      </w:pPr>
      <w:bookmarkStart w:id="236" w:name="_Toc31501"/>
      <w:bookmarkStart w:id="237" w:name="_Toc5480"/>
      <w:bookmarkStart w:id="238" w:name="_Toc29358"/>
      <w:bookmarkStart w:id="239" w:name="_Toc27459"/>
      <w:r>
        <w:rPr>
          <w:rFonts w:hint="eastAsia" w:ascii="宋体" w:hAnsi="宋体"/>
          <w:b/>
          <w:bCs w:val="0"/>
          <w:kern w:val="2"/>
          <w:sz w:val="28"/>
          <w:szCs w:val="32"/>
          <w:lang w:val="en-US" w:eastAsia="zh-CN"/>
        </w:rPr>
        <w:t>五</w:t>
      </w:r>
      <w:r>
        <w:rPr>
          <w:rFonts w:hint="eastAsia" w:ascii="宋体" w:hAnsi="宋体"/>
          <w:b/>
          <w:bCs w:val="0"/>
          <w:kern w:val="2"/>
          <w:sz w:val="28"/>
          <w:szCs w:val="32"/>
        </w:rPr>
        <w:t>、投标人资格证明文件</w:t>
      </w:r>
      <w:bookmarkEnd w:id="229"/>
      <w:bookmarkEnd w:id="230"/>
      <w:bookmarkEnd w:id="235"/>
      <w:bookmarkEnd w:id="236"/>
      <w:bookmarkEnd w:id="237"/>
      <w:bookmarkEnd w:id="238"/>
      <w:bookmarkEnd w:id="239"/>
    </w:p>
    <w:p w14:paraId="09CD4A5A">
      <w:pPr>
        <w:keepNext w:val="0"/>
        <w:keepLines w:val="0"/>
        <w:pageBreakBefore w:val="0"/>
        <w:widowControl w:val="0"/>
        <w:kinsoku/>
        <w:wordWrap/>
        <w:overflowPunct/>
        <w:topLinePunct w:val="0"/>
        <w:bidi w:val="0"/>
        <w:snapToGrid/>
        <w:spacing w:line="360" w:lineRule="auto"/>
        <w:ind w:firstLine="482" w:firstLineChars="200"/>
        <w:textAlignment w:val="auto"/>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投标人有效的营业执照，或事业单位法人证书，或自然人身份证明，或其他非企业组织证明独立承担民事责任能力的文件。（原件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w:t>
      </w:r>
    </w:p>
    <w:p w14:paraId="54A93FC6">
      <w:pPr>
        <w:keepNext w:val="0"/>
        <w:keepLines w:val="0"/>
        <w:pageBreakBefore w:val="0"/>
        <w:widowControl w:val="0"/>
        <w:kinsoku/>
        <w:wordWrap/>
        <w:overflowPunct/>
        <w:topLinePunct w:val="0"/>
        <w:bidi w:val="0"/>
        <w:snapToGrid/>
        <w:spacing w:line="360" w:lineRule="auto"/>
        <w:textAlignment w:val="auto"/>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 xml:space="preserve">    二、投标人提供投标截止日前18个月内经第三方审计的财务报告原件扫描件，或财政部门认可的政府采购专业担保机构出具的投标担保函原件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扫描件，或银行出具的资信证明原件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扫描件。（以出报告日期为准）</w:t>
      </w:r>
    </w:p>
    <w:p w14:paraId="74D1D41B">
      <w:pPr>
        <w:keepNext w:val="0"/>
        <w:keepLines w:val="0"/>
        <w:pageBreakBefore w:val="0"/>
        <w:widowControl w:val="0"/>
        <w:kinsoku/>
        <w:wordWrap/>
        <w:overflowPunct/>
        <w:topLinePunct w:val="0"/>
        <w:bidi w:val="0"/>
        <w:snapToGrid/>
        <w:spacing w:line="360" w:lineRule="auto"/>
        <w:textAlignment w:val="auto"/>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 xml:space="preserve">   </w:t>
      </w:r>
      <w:r>
        <w:rPr>
          <w:rFonts w:hint="eastAsia" w:ascii="Times New Roman" w:hAnsi="宋体" w:eastAsia="宋体" w:cs="Times New Roman"/>
          <w:b/>
          <w:color w:val="auto"/>
          <w:sz w:val="24"/>
          <w:szCs w:val="24"/>
          <w:highlight w:val="none"/>
          <w:lang w:val="en-US" w:eastAsia="zh-CN"/>
        </w:rPr>
        <w:t xml:space="preserve"> </w:t>
      </w:r>
      <w:r>
        <w:rPr>
          <w:rFonts w:hint="eastAsia" w:ascii="Times New Roman" w:hAnsi="宋体" w:eastAsia="宋体" w:cs="Times New Roman"/>
          <w:b/>
          <w:color w:val="auto"/>
          <w:sz w:val="24"/>
          <w:szCs w:val="24"/>
          <w:highlight w:val="none"/>
        </w:rPr>
        <w:t>三、投标人需提供投标截止日前缴纳的</w:t>
      </w:r>
      <w:r>
        <w:rPr>
          <w:rFonts w:hint="eastAsia" w:ascii="Times New Roman" w:hAnsi="宋体" w:eastAsia="宋体" w:cs="Times New Roman"/>
          <w:b/>
          <w:color w:val="auto"/>
          <w:sz w:val="24"/>
          <w:szCs w:val="24"/>
          <w:highlight w:val="none"/>
          <w:lang w:val="en-US" w:eastAsia="zh-CN"/>
        </w:rPr>
        <w:t>6个月内</w:t>
      </w:r>
      <w:r>
        <w:rPr>
          <w:rFonts w:hint="eastAsia" w:ascii="Times New Roman" w:hAnsi="宋体" w:eastAsia="宋体" w:cs="Times New Roman"/>
          <w:b/>
          <w:color w:val="auto"/>
          <w:sz w:val="24"/>
          <w:szCs w:val="24"/>
          <w:highlight w:val="none"/>
        </w:rPr>
        <w:t>任意一个月的增值税或企业所得税的凭据，依法免税的投标人，应提供相应的证明文件。（原件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w:t>
      </w:r>
    </w:p>
    <w:p w14:paraId="1DA58FD1">
      <w:pPr>
        <w:keepNext w:val="0"/>
        <w:keepLines w:val="0"/>
        <w:pageBreakBefore w:val="0"/>
        <w:widowControl w:val="0"/>
        <w:kinsoku/>
        <w:wordWrap/>
        <w:overflowPunct/>
        <w:topLinePunct w:val="0"/>
        <w:bidi w:val="0"/>
        <w:snapToGrid/>
        <w:spacing w:line="360" w:lineRule="auto"/>
        <w:textAlignment w:val="auto"/>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 xml:space="preserve">   </w:t>
      </w:r>
      <w:r>
        <w:rPr>
          <w:rFonts w:hint="eastAsia" w:ascii="Times New Roman" w:hAnsi="宋体" w:eastAsia="宋体" w:cs="Times New Roman"/>
          <w:b/>
          <w:color w:val="auto"/>
          <w:sz w:val="24"/>
          <w:szCs w:val="24"/>
          <w:highlight w:val="none"/>
          <w:lang w:val="en-US" w:eastAsia="zh-CN"/>
        </w:rPr>
        <w:t xml:space="preserve"> </w:t>
      </w:r>
      <w:r>
        <w:rPr>
          <w:rFonts w:hint="eastAsia" w:ascii="Times New Roman" w:hAnsi="宋体" w:eastAsia="宋体" w:cs="Times New Roman"/>
          <w:b/>
          <w:color w:val="auto"/>
          <w:sz w:val="24"/>
          <w:szCs w:val="24"/>
          <w:highlight w:val="none"/>
        </w:rPr>
        <w:t>四、社会保障资金缴纳记录（投标人逐月缴纳社会保障资金的，须提供投标截止日</w:t>
      </w:r>
      <w:r>
        <w:rPr>
          <w:rFonts w:hint="eastAsia" w:ascii="Times New Roman" w:hAnsi="宋体" w:eastAsia="宋体" w:cs="Times New Roman"/>
          <w:b/>
          <w:bCs w:val="0"/>
          <w:color w:val="auto"/>
          <w:sz w:val="24"/>
          <w:szCs w:val="24"/>
          <w:highlight w:val="none"/>
        </w:rPr>
        <w:t>前</w:t>
      </w:r>
      <w:r>
        <w:rPr>
          <w:rFonts w:hint="eastAsia" w:ascii="Times New Roman" w:hAnsi="宋体" w:eastAsia="宋体" w:cs="Times New Roman"/>
          <w:b/>
          <w:bCs w:val="0"/>
          <w:color w:val="auto"/>
          <w:sz w:val="24"/>
          <w:szCs w:val="24"/>
          <w:highlight w:val="none"/>
          <w:lang w:val="en-US" w:eastAsia="zh-CN"/>
        </w:rPr>
        <w:t>6个月内</w:t>
      </w:r>
      <w:r>
        <w:rPr>
          <w:rFonts w:hint="eastAsia" w:ascii="Times New Roman" w:hAnsi="宋体" w:eastAsia="宋体" w:cs="Times New Roman"/>
          <w:b/>
          <w:bCs w:val="0"/>
          <w:color w:val="auto"/>
          <w:sz w:val="24"/>
          <w:szCs w:val="24"/>
          <w:highlight w:val="none"/>
        </w:rPr>
        <w:t>至</w:t>
      </w:r>
      <w:r>
        <w:rPr>
          <w:rFonts w:hint="eastAsia" w:ascii="Times New Roman" w:hAnsi="宋体" w:eastAsia="宋体" w:cs="Times New Roman"/>
          <w:b/>
          <w:color w:val="auto"/>
          <w:sz w:val="24"/>
          <w:szCs w:val="24"/>
          <w:highlight w:val="none"/>
        </w:rPr>
        <w:t>少一个月的缴纳社会保障资金的入账票据凭证原件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扫描件，投标人逐年缴纳社会保障资金的，须提供投标截止日前上年度缴纳社会保障资金的入账票据凭证原件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扫描件，缴纳社会保障资金的入账票据凭证原件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w:t>
      </w:r>
    </w:p>
    <w:p w14:paraId="42E74A6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ascii="Times New Roman" w:hAnsi="Times New Roman" w:eastAsia="宋体" w:cs="Times New Roman"/>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五、参加政府采购活动前3年内在经营活动中没有重大违法记录的书面声明（原件彩色扫描件）。</w:t>
      </w:r>
      <w:r>
        <w:rPr>
          <w:rFonts w:hint="eastAsia" w:ascii="宋体" w:hAnsi="宋体" w:eastAsia="宋体" w:cs="宋体"/>
          <w:b/>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截至开标日成立不足3年的供应商可提供自成立以来无重大违法记录的书面声明）。</w:t>
      </w:r>
    </w:p>
    <w:p w14:paraId="2FBCB672">
      <w:pPr>
        <w:ind w:firstLine="179"/>
        <w:jc w:val="center"/>
        <w:rPr>
          <w:rFonts w:ascii="Times New Roman" w:hAnsi="宋体" w:eastAsia="宋体" w:cs="Times New Roman"/>
          <w:bCs/>
          <w:color w:val="auto"/>
          <w:sz w:val="24"/>
          <w:szCs w:val="24"/>
          <w:highlight w:val="none"/>
        </w:rPr>
      </w:pPr>
    </w:p>
    <w:p w14:paraId="0D908D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jc w:val="center"/>
        <w:textAlignment w:val="auto"/>
        <w:outlineLvl w:val="9"/>
        <w:rPr>
          <w:rFonts w:hint="eastAsia"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无</w:t>
      </w:r>
      <w:r>
        <w:rPr>
          <w:rFonts w:hint="eastAsia" w:ascii="Times New Roman" w:hAnsi="宋体" w:eastAsia="宋体" w:cs="Times New Roman"/>
          <w:bCs/>
          <w:color w:val="auto"/>
          <w:sz w:val="24"/>
          <w:szCs w:val="24"/>
          <w:highlight w:val="none"/>
          <w:lang w:eastAsia="zh-CN"/>
        </w:rPr>
        <w:t>重大</w:t>
      </w:r>
      <w:r>
        <w:rPr>
          <w:rFonts w:hint="eastAsia" w:ascii="Times New Roman" w:hAnsi="宋体" w:eastAsia="宋体" w:cs="Times New Roman"/>
          <w:bCs/>
          <w:color w:val="auto"/>
          <w:sz w:val="24"/>
          <w:szCs w:val="24"/>
          <w:highlight w:val="none"/>
        </w:rPr>
        <w:t>违法记录声明（格式）</w:t>
      </w:r>
    </w:p>
    <w:p w14:paraId="049E0E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u w:val="single"/>
          <w:lang w:val="en-US" w:eastAsia="zh-CN"/>
        </w:rPr>
        <w:t xml:space="preserve">            </w:t>
      </w:r>
      <w:r>
        <w:rPr>
          <w:rFonts w:hint="eastAsia" w:ascii="Times New Roman" w:hAnsi="宋体" w:eastAsia="宋体" w:cs="Times New Roman"/>
          <w:bCs/>
          <w:color w:val="auto"/>
          <w:sz w:val="24"/>
          <w:szCs w:val="24"/>
          <w:highlight w:val="none"/>
          <w:lang w:val="en-US" w:eastAsia="zh-CN"/>
        </w:rPr>
        <w:t>（采购人名称）</w:t>
      </w:r>
      <w:r>
        <w:rPr>
          <w:rFonts w:hint="eastAsia" w:ascii="Times New Roman" w:hAnsi="宋体" w:eastAsia="宋体" w:cs="Times New Roman"/>
          <w:bCs/>
          <w:color w:val="auto"/>
          <w:sz w:val="24"/>
          <w:szCs w:val="24"/>
          <w:highlight w:val="none"/>
        </w:rPr>
        <w:t>：</w:t>
      </w:r>
    </w:p>
    <w:p w14:paraId="62FBDE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 xml:space="preserve">    本投标人现参与</w:t>
      </w:r>
      <w:r>
        <w:rPr>
          <w:rFonts w:hint="default" w:ascii="Times New Roman" w:hAnsi="宋体" w:eastAsia="宋体" w:cs="Times New Roman"/>
          <w:bCs/>
          <w:color w:val="auto"/>
          <w:sz w:val="24"/>
          <w:szCs w:val="24"/>
          <w:highlight w:val="none"/>
          <w:u w:val="single"/>
          <w:lang w:val="en"/>
        </w:rPr>
        <w:t xml:space="preserve">                 </w:t>
      </w:r>
      <w:r>
        <w:rPr>
          <w:rFonts w:hint="eastAsia" w:ascii="Times New Roman" w:hAnsi="宋体" w:eastAsia="宋体" w:cs="Times New Roman"/>
          <w:bCs/>
          <w:color w:val="auto"/>
          <w:sz w:val="24"/>
          <w:szCs w:val="24"/>
          <w:highlight w:val="none"/>
        </w:rPr>
        <w:t>项目（招标文件编号：</w:t>
      </w:r>
      <w:r>
        <w:rPr>
          <w:rFonts w:hint="default" w:ascii="Times New Roman" w:hAnsi="宋体" w:eastAsia="宋体" w:cs="Times New Roman"/>
          <w:bCs/>
          <w:color w:val="auto"/>
          <w:sz w:val="24"/>
          <w:szCs w:val="24"/>
          <w:highlight w:val="none"/>
          <w:u w:val="single"/>
          <w:lang w:val="en"/>
        </w:rPr>
        <w:t xml:space="preserve">       </w:t>
      </w:r>
      <w:r>
        <w:rPr>
          <w:rFonts w:hint="eastAsia" w:ascii="Times New Roman" w:hAnsi="宋体" w:eastAsia="宋体" w:cs="Times New Roman"/>
          <w:bCs/>
          <w:color w:val="auto"/>
          <w:sz w:val="24"/>
          <w:szCs w:val="24"/>
          <w:highlight w:val="none"/>
        </w:rPr>
        <w:t>）的采购活动，在参加本次政府采购活动前三年内，在经营活动中没有重大违法记录。</w:t>
      </w:r>
    </w:p>
    <w:p w14:paraId="7920BE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 xml:space="preserve">   如上述声明不真实，愿意按照政府采购有关法律法规的规定接受处罚。</w:t>
      </w:r>
    </w:p>
    <w:p w14:paraId="3FB578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9"/>
        <w:textAlignment w:val="auto"/>
        <w:outlineLvl w:val="9"/>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 xml:space="preserve">   特此声明。</w:t>
      </w:r>
    </w:p>
    <w:p w14:paraId="76E96888">
      <w:pPr>
        <w:ind w:firstLine="179"/>
        <w:rPr>
          <w:rFonts w:ascii="Times New Roman" w:hAnsi="宋体" w:eastAsia="宋体" w:cs="Times New Roman"/>
          <w:bCs/>
          <w:color w:val="auto"/>
          <w:sz w:val="24"/>
          <w:szCs w:val="24"/>
          <w:highlight w:val="none"/>
          <w:u w:val="single"/>
        </w:rPr>
      </w:pPr>
      <w:r>
        <w:rPr>
          <w:rFonts w:hint="eastAsia" w:ascii="Times New Roman" w:hAnsi="宋体" w:eastAsia="宋体" w:cs="Times New Roman"/>
          <w:bCs/>
          <w:color w:val="auto"/>
          <w:sz w:val="24"/>
          <w:szCs w:val="24"/>
          <w:highlight w:val="none"/>
          <w:lang w:val="en-US" w:eastAsia="zh-CN"/>
        </w:rPr>
        <w:t xml:space="preserve">                                         </w:t>
      </w:r>
      <w:r>
        <w:rPr>
          <w:rFonts w:hint="eastAsia" w:ascii="Times New Roman" w:hAnsi="宋体" w:eastAsia="宋体" w:cs="Times New Roman"/>
          <w:bCs/>
          <w:color w:val="auto"/>
          <w:sz w:val="24"/>
          <w:szCs w:val="24"/>
          <w:highlight w:val="none"/>
        </w:rPr>
        <w:t>投标人（</w:t>
      </w:r>
      <w:r>
        <w:rPr>
          <w:rFonts w:hint="eastAsia" w:ascii="Times New Roman" w:hAnsi="宋体" w:eastAsia="宋体" w:cs="Times New Roman"/>
          <w:bCs/>
          <w:color w:val="auto"/>
          <w:sz w:val="24"/>
          <w:szCs w:val="24"/>
          <w:highlight w:val="none"/>
          <w:lang w:eastAsia="zh-CN"/>
        </w:rPr>
        <w:t>公</w:t>
      </w:r>
      <w:r>
        <w:rPr>
          <w:rFonts w:hint="eastAsia" w:ascii="Times New Roman" w:hAnsi="宋体" w:eastAsia="宋体" w:cs="Times New Roman"/>
          <w:bCs/>
          <w:color w:val="auto"/>
          <w:sz w:val="24"/>
          <w:szCs w:val="24"/>
          <w:highlight w:val="none"/>
        </w:rPr>
        <w:t>章）：</w:t>
      </w:r>
    </w:p>
    <w:p w14:paraId="12BF0726">
      <w:pPr>
        <w:ind w:firstLine="179"/>
        <w:rPr>
          <w:rFonts w:ascii="Times New Roman" w:hAnsi="宋体" w:eastAsia="宋体" w:cs="Times New Roman"/>
          <w:bCs/>
          <w:color w:val="auto"/>
          <w:sz w:val="24"/>
          <w:szCs w:val="24"/>
          <w:highlight w:val="none"/>
        </w:rPr>
      </w:pPr>
      <w:r>
        <w:rPr>
          <w:rFonts w:hint="eastAsia" w:ascii="Times New Roman" w:hAnsi="宋体" w:eastAsia="宋体" w:cs="Times New Roman"/>
          <w:bCs/>
          <w:color w:val="auto"/>
          <w:sz w:val="24"/>
          <w:szCs w:val="24"/>
          <w:highlight w:val="none"/>
        </w:rPr>
        <w:t xml:space="preserve">  </w:t>
      </w:r>
      <w:r>
        <w:rPr>
          <w:rFonts w:hint="eastAsia" w:ascii="Times New Roman" w:hAnsi="宋体" w:eastAsia="宋体" w:cs="Times New Roman"/>
          <w:bCs/>
          <w:color w:val="auto"/>
          <w:sz w:val="24"/>
          <w:szCs w:val="24"/>
          <w:highlight w:val="none"/>
          <w:lang w:val="en-US" w:eastAsia="zh-CN"/>
        </w:rPr>
        <w:t xml:space="preserve">                                      </w:t>
      </w:r>
      <w:r>
        <w:rPr>
          <w:rFonts w:hint="eastAsia" w:ascii="Times New Roman" w:hAnsi="宋体" w:eastAsia="宋体" w:cs="Times New Roman"/>
          <w:bCs/>
          <w:color w:val="auto"/>
          <w:sz w:val="24"/>
          <w:szCs w:val="24"/>
          <w:highlight w:val="none"/>
        </w:rPr>
        <w:t>年     月     日</w:t>
      </w:r>
    </w:p>
    <w:p w14:paraId="2D61167E">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 xml:space="preserve">  </w:t>
      </w:r>
      <w:r>
        <w:rPr>
          <w:rFonts w:hint="default" w:ascii="Times New Roman" w:hAnsi="宋体" w:eastAsia="宋体" w:cs="Times New Roman"/>
          <w:b/>
          <w:color w:val="auto"/>
          <w:sz w:val="24"/>
          <w:szCs w:val="24"/>
          <w:highlight w:val="none"/>
          <w:lang w:val="en"/>
        </w:rPr>
        <w:t xml:space="preserve"> </w:t>
      </w:r>
      <w:r>
        <w:rPr>
          <w:rFonts w:hint="eastAsia" w:ascii="Times New Roman" w:hAnsi="宋体" w:eastAsia="宋体" w:cs="Times New Roman"/>
          <w:b/>
          <w:color w:val="auto"/>
          <w:sz w:val="24"/>
          <w:szCs w:val="24"/>
          <w:highlight w:val="none"/>
          <w:lang w:val="en-US" w:eastAsia="zh-CN"/>
        </w:rPr>
        <w:t xml:space="preserve"> </w:t>
      </w:r>
      <w:r>
        <w:rPr>
          <w:rFonts w:hint="eastAsia" w:ascii="Times New Roman" w:hAnsi="宋体" w:eastAsia="宋体" w:cs="Times New Roman"/>
          <w:b/>
          <w:color w:val="auto"/>
          <w:sz w:val="24"/>
          <w:szCs w:val="24"/>
          <w:highlight w:val="none"/>
        </w:rPr>
        <w:t>六、信用记录：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投标截止日当天，由资格审查小组根据以上要求对各供应商信用记录进行查询，有以上行为的视为无效投标。（投标人无需在其资格证明文件中提供信用记录的查询结果）</w:t>
      </w:r>
    </w:p>
    <w:p w14:paraId="02365D1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 xml:space="preserve">    七、法定代表人身份证明（原件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扫描件）或法定代表人授权书（原件</w:t>
      </w:r>
      <w:r>
        <w:rPr>
          <w:rFonts w:hint="eastAsia" w:ascii="Times New Roman" w:hAnsi="宋体" w:eastAsia="宋体" w:cs="Times New Roman"/>
          <w:b/>
          <w:color w:val="auto"/>
          <w:sz w:val="24"/>
          <w:szCs w:val="24"/>
          <w:highlight w:val="none"/>
          <w:lang w:eastAsia="zh-CN"/>
        </w:rPr>
        <w:t>彩色</w:t>
      </w:r>
      <w:r>
        <w:rPr>
          <w:rFonts w:hint="eastAsia" w:ascii="Times New Roman" w:hAnsi="宋体" w:eastAsia="宋体" w:cs="Times New Roman"/>
          <w:b/>
          <w:color w:val="auto"/>
          <w:sz w:val="24"/>
          <w:szCs w:val="24"/>
          <w:highlight w:val="none"/>
        </w:rPr>
        <w:t>扫描件）</w:t>
      </w:r>
    </w:p>
    <w:p w14:paraId="11EC9679">
      <w:pPr>
        <w:spacing w:line="360" w:lineRule="auto"/>
        <w:jc w:val="center"/>
        <w:rPr>
          <w:rFonts w:hint="eastAsia" w:ascii="Times New Roman" w:hAnsi="宋体" w:eastAsia="宋体" w:cs="Times New Roman"/>
          <w:b/>
          <w:color w:val="auto"/>
          <w:sz w:val="24"/>
          <w:szCs w:val="24"/>
          <w:highlight w:val="none"/>
        </w:rPr>
      </w:pPr>
    </w:p>
    <w:p w14:paraId="17442773">
      <w:pPr>
        <w:keepNext w:val="0"/>
        <w:keepLines w:val="0"/>
        <w:pageBreakBefore w:val="0"/>
        <w:widowControl w:val="0"/>
        <w:kinsoku/>
        <w:wordWrap/>
        <w:overflowPunct/>
        <w:topLinePunct w:val="0"/>
        <w:bidi w:val="0"/>
        <w:spacing w:line="360" w:lineRule="auto"/>
        <w:jc w:val="center"/>
        <w:textAlignment w:val="auto"/>
        <w:rPr>
          <w:rFonts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法定代表人身份证明(法定代表人参加投标)</w:t>
      </w:r>
    </w:p>
    <w:p w14:paraId="65E1392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imes New Roman" w:hAnsi="宋体" w:eastAsia="宋体" w:cs="宋体"/>
          <w:color w:val="auto"/>
          <w:sz w:val="24"/>
          <w:szCs w:val="24"/>
          <w:highlight w:val="none"/>
        </w:rPr>
      </w:pPr>
      <w:r>
        <w:rPr>
          <w:rFonts w:hint="eastAsia" w:ascii="Times New Roman" w:hAnsi="宋体" w:eastAsia="宋体" w:cs="Times New Roman"/>
          <w:color w:val="auto"/>
          <w:sz w:val="24"/>
          <w:szCs w:val="24"/>
          <w:highlight w:val="none"/>
        </w:rPr>
        <w:t>投标人</w:t>
      </w:r>
      <w:r>
        <w:rPr>
          <w:rFonts w:hint="eastAsia" w:ascii="Times New Roman" w:hAnsi="宋体" w:eastAsia="宋体" w:cs="宋体"/>
          <w:color w:val="auto"/>
          <w:sz w:val="24"/>
          <w:szCs w:val="24"/>
          <w:highlight w:val="none"/>
        </w:rPr>
        <w:t>名称：</w:t>
      </w:r>
    </w:p>
    <w:p w14:paraId="61C2A99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注册号：</w:t>
      </w:r>
    </w:p>
    <w:p w14:paraId="085D7EF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注册地址：</w:t>
      </w:r>
    </w:p>
    <w:p w14:paraId="4B9C47D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成立时间： 年 月 日</w:t>
      </w:r>
    </w:p>
    <w:p w14:paraId="22E18AA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imes New Roman" w:hAnsi="宋体" w:eastAsia="宋体" w:cs="宋体"/>
          <w:color w:val="auto"/>
          <w:sz w:val="24"/>
          <w:szCs w:val="24"/>
          <w:highlight w:val="none"/>
          <w:u w:val="single"/>
        </w:rPr>
      </w:pPr>
      <w:r>
        <w:rPr>
          <w:rFonts w:hint="eastAsia" w:ascii="Times New Roman" w:hAnsi="宋体" w:eastAsia="宋体" w:cs="宋体"/>
          <w:color w:val="auto"/>
          <w:sz w:val="24"/>
          <w:szCs w:val="24"/>
          <w:highlight w:val="none"/>
        </w:rPr>
        <w:t>经营期限：</w:t>
      </w:r>
    </w:p>
    <w:p w14:paraId="622F8B7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imes New Roman" w:hAnsi="宋体" w:eastAsia="宋体" w:cs="宋体"/>
          <w:color w:val="auto"/>
          <w:sz w:val="24"/>
          <w:szCs w:val="24"/>
          <w:highlight w:val="none"/>
          <w:u w:val="single"/>
        </w:rPr>
      </w:pPr>
      <w:r>
        <w:rPr>
          <w:rFonts w:hint="eastAsia" w:ascii="Times New Roman" w:hAnsi="宋体" w:eastAsia="宋体" w:cs="宋体"/>
          <w:color w:val="auto"/>
          <w:sz w:val="24"/>
          <w:szCs w:val="24"/>
          <w:highlight w:val="none"/>
        </w:rPr>
        <w:t>经营范围：</w:t>
      </w:r>
      <w:r>
        <w:rPr>
          <w:rFonts w:hint="eastAsia" w:ascii="Times New Roman" w:hAnsi="宋体" w:eastAsia="宋体" w:cs="宋体"/>
          <w:color w:val="auto"/>
          <w:sz w:val="24"/>
          <w:szCs w:val="24"/>
          <w:highlight w:val="none"/>
          <w:u w:val="single"/>
          <w:lang w:val="en-US" w:eastAsia="zh-CN"/>
        </w:rPr>
        <w:t xml:space="preserve">            </w:t>
      </w:r>
      <w:r>
        <w:rPr>
          <w:rFonts w:hint="eastAsia" w:ascii="Times New Roman" w:hAnsi="宋体" w:eastAsia="宋体" w:cs="宋体"/>
          <w:color w:val="auto"/>
          <w:sz w:val="24"/>
          <w:szCs w:val="24"/>
          <w:highlight w:val="none"/>
        </w:rPr>
        <w:t>主营：</w:t>
      </w:r>
      <w:r>
        <w:rPr>
          <w:rFonts w:hint="eastAsia" w:ascii="Times New Roman" w:hAnsi="宋体" w:eastAsia="宋体" w:cs="宋体"/>
          <w:color w:val="auto"/>
          <w:sz w:val="24"/>
          <w:szCs w:val="24"/>
          <w:highlight w:val="none"/>
          <w:u w:val="single"/>
          <w:lang w:val="en-US" w:eastAsia="zh-CN"/>
        </w:rPr>
        <w:t xml:space="preserve">          </w:t>
      </w:r>
      <w:r>
        <w:rPr>
          <w:rFonts w:hint="eastAsia" w:ascii="Times New Roman" w:hAnsi="宋体" w:eastAsia="宋体" w:cs="宋体"/>
          <w:color w:val="auto"/>
          <w:sz w:val="24"/>
          <w:szCs w:val="24"/>
          <w:highlight w:val="none"/>
        </w:rPr>
        <w:t xml:space="preserve"> ；兼营：</w:t>
      </w:r>
      <w:r>
        <w:rPr>
          <w:rFonts w:hint="eastAsia" w:ascii="Times New Roman" w:hAnsi="宋体" w:eastAsia="宋体" w:cs="宋体"/>
          <w:color w:val="auto"/>
          <w:sz w:val="24"/>
          <w:szCs w:val="24"/>
          <w:highlight w:val="none"/>
          <w:u w:val="single"/>
          <w:lang w:val="en-US" w:eastAsia="zh-CN"/>
        </w:rPr>
        <w:t xml:space="preserve">          </w:t>
      </w:r>
    </w:p>
    <w:p w14:paraId="3EDB2CE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姓名：</w:t>
      </w:r>
      <w:r>
        <w:rPr>
          <w:rFonts w:hint="eastAsia" w:ascii="Times New Roman" w:hAnsi="宋体" w:eastAsia="宋体" w:cs="宋体"/>
          <w:color w:val="auto"/>
          <w:sz w:val="24"/>
          <w:szCs w:val="24"/>
          <w:highlight w:val="none"/>
          <w:u w:val="single"/>
          <w:lang w:val="en-US" w:eastAsia="zh-CN"/>
        </w:rPr>
        <w:t xml:space="preserve">        </w:t>
      </w:r>
      <w:r>
        <w:rPr>
          <w:rFonts w:hint="eastAsia" w:ascii="Times New Roman" w:hAnsi="宋体" w:eastAsia="宋体" w:cs="宋体"/>
          <w:color w:val="auto"/>
          <w:sz w:val="24"/>
          <w:szCs w:val="24"/>
          <w:highlight w:val="none"/>
        </w:rPr>
        <w:t xml:space="preserve"> 性别：</w:t>
      </w:r>
      <w:r>
        <w:rPr>
          <w:rFonts w:hint="eastAsia" w:ascii="Times New Roman" w:hAnsi="宋体" w:eastAsia="宋体" w:cs="宋体"/>
          <w:color w:val="auto"/>
          <w:sz w:val="24"/>
          <w:szCs w:val="24"/>
          <w:highlight w:val="none"/>
          <w:u w:val="single"/>
          <w:lang w:val="en-US" w:eastAsia="zh-CN"/>
        </w:rPr>
        <w:t xml:space="preserve">         </w:t>
      </w:r>
      <w:r>
        <w:rPr>
          <w:rFonts w:hint="eastAsia" w:ascii="Times New Roman" w:hAnsi="宋体" w:eastAsia="宋体" w:cs="宋体"/>
          <w:color w:val="auto"/>
          <w:sz w:val="24"/>
          <w:szCs w:val="24"/>
          <w:highlight w:val="none"/>
        </w:rPr>
        <w:t xml:space="preserve"> 年龄：</w:t>
      </w:r>
      <w:r>
        <w:rPr>
          <w:rFonts w:hint="eastAsia" w:ascii="Times New Roman" w:hAnsi="宋体" w:eastAsia="宋体" w:cs="宋体"/>
          <w:color w:val="auto"/>
          <w:sz w:val="24"/>
          <w:szCs w:val="24"/>
          <w:highlight w:val="none"/>
          <w:u w:val="single"/>
          <w:lang w:val="en-US" w:eastAsia="zh-CN"/>
        </w:rPr>
        <w:t xml:space="preserve">        </w:t>
      </w:r>
      <w:r>
        <w:rPr>
          <w:rFonts w:hint="eastAsia" w:ascii="Times New Roman" w:hAnsi="宋体" w:eastAsia="宋体" w:cs="宋体"/>
          <w:color w:val="auto"/>
          <w:sz w:val="24"/>
          <w:szCs w:val="24"/>
          <w:highlight w:val="none"/>
        </w:rPr>
        <w:t xml:space="preserve"> 系</w:t>
      </w:r>
      <w:r>
        <w:rPr>
          <w:rFonts w:hint="eastAsia" w:ascii="Times New Roman" w:hAnsi="宋体" w:eastAsia="宋体" w:cs="宋体"/>
          <w:color w:val="auto"/>
          <w:sz w:val="24"/>
          <w:szCs w:val="24"/>
          <w:highlight w:val="none"/>
          <w:u w:val="single"/>
          <w:lang w:val="en-US" w:eastAsia="zh-CN"/>
        </w:rPr>
        <w:t xml:space="preserve">             </w:t>
      </w:r>
      <w:r>
        <w:rPr>
          <w:rFonts w:hint="eastAsia" w:ascii="Times New Roman" w:hAnsi="宋体" w:eastAsia="宋体" w:cs="宋体"/>
          <w:color w:val="auto"/>
          <w:sz w:val="24"/>
          <w:szCs w:val="24"/>
          <w:highlight w:val="none"/>
        </w:rPr>
        <w:t>（</w:t>
      </w:r>
      <w:r>
        <w:rPr>
          <w:rFonts w:hint="eastAsia" w:ascii="Times New Roman" w:hAnsi="宋体" w:eastAsia="宋体" w:cs="Times New Roman"/>
          <w:color w:val="auto"/>
          <w:sz w:val="24"/>
          <w:szCs w:val="24"/>
          <w:highlight w:val="none"/>
        </w:rPr>
        <w:t>投标人</w:t>
      </w:r>
      <w:r>
        <w:rPr>
          <w:rFonts w:hint="eastAsia" w:ascii="Times New Roman" w:hAnsi="宋体" w:eastAsia="宋体" w:cs="宋体"/>
          <w:color w:val="auto"/>
          <w:sz w:val="24"/>
          <w:szCs w:val="24"/>
          <w:highlight w:val="none"/>
        </w:rPr>
        <w:t>名称）的法定代表人。</w:t>
      </w:r>
    </w:p>
    <w:p w14:paraId="5516608E">
      <w:pPr>
        <w:keepNext w:val="0"/>
        <w:keepLines w:val="0"/>
        <w:pageBreakBefore w:val="0"/>
        <w:widowControl w:val="0"/>
        <w:kinsoku/>
        <w:wordWrap/>
        <w:overflowPunct/>
        <w:topLinePunct w:val="0"/>
        <w:autoSpaceDE w:val="0"/>
        <w:autoSpaceDN w:val="0"/>
        <w:bidi w:val="0"/>
        <w:adjustRightInd w:val="0"/>
        <w:snapToGrid w:val="0"/>
        <w:spacing w:line="360" w:lineRule="auto"/>
        <w:ind w:firstLine="360" w:firstLineChars="150"/>
        <w:jc w:val="left"/>
        <w:textAlignment w:val="auto"/>
        <w:rPr>
          <w:rFonts w:hint="eastAsia"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lang w:val="en-US" w:eastAsia="zh-CN"/>
        </w:rPr>
        <w:t xml:space="preserve"> </w:t>
      </w:r>
      <w:r>
        <w:rPr>
          <w:rFonts w:hint="eastAsia" w:ascii="Times New Roman" w:hAnsi="宋体" w:eastAsia="宋体" w:cs="宋体"/>
          <w:color w:val="auto"/>
          <w:sz w:val="24"/>
          <w:szCs w:val="24"/>
          <w:highlight w:val="none"/>
        </w:rPr>
        <w:t>特此证明</w:t>
      </w:r>
    </w:p>
    <w:p w14:paraId="3509D983">
      <w:pPr>
        <w:autoSpaceDE w:val="0"/>
        <w:autoSpaceDN w:val="0"/>
        <w:adjustRightInd w:val="0"/>
        <w:snapToGrid w:val="0"/>
        <w:spacing w:line="360" w:lineRule="auto"/>
        <w:ind w:firstLine="480" w:firstLineChars="200"/>
        <w:jc w:val="left"/>
        <w:rPr>
          <w:rFonts w:hint="eastAsia" w:ascii="Times New Roman" w:hAnsi="宋体" w:eastAsia="宋体" w:cs="Times New Roman"/>
          <w:color w:val="auto"/>
          <w:sz w:val="24"/>
          <w:szCs w:val="24"/>
          <w:highlight w:val="none"/>
          <w:lang w:eastAsia="zh-CN"/>
        </w:rPr>
      </w:pPr>
    </w:p>
    <w:p w14:paraId="5370B482">
      <w:pPr>
        <w:autoSpaceDE w:val="0"/>
        <w:autoSpaceDN w:val="0"/>
        <w:adjustRightInd w:val="0"/>
        <w:snapToGrid w:val="0"/>
        <w:spacing w:line="360" w:lineRule="auto"/>
        <w:ind w:firstLine="480" w:firstLineChars="200"/>
        <w:jc w:val="left"/>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eastAsia="zh-CN"/>
        </w:rPr>
        <w:t>附件：</w:t>
      </w:r>
      <w:r>
        <w:rPr>
          <w:rFonts w:hint="eastAsia" w:ascii="Times New Roman" w:hAnsi="宋体" w:eastAsia="宋体" w:cs="Times New Roman"/>
          <w:color w:val="auto"/>
          <w:sz w:val="24"/>
          <w:szCs w:val="24"/>
          <w:highlight w:val="none"/>
        </w:rPr>
        <w:t>法定代表人身份证</w:t>
      </w:r>
      <w:r>
        <w:rPr>
          <w:rFonts w:hint="eastAsia" w:ascii="Times New Roman" w:hAnsi="宋体" w:eastAsia="宋体" w:cs="Times New Roman"/>
          <w:color w:val="auto"/>
          <w:sz w:val="24"/>
          <w:szCs w:val="24"/>
          <w:highlight w:val="none"/>
          <w:lang w:eastAsia="zh-CN"/>
        </w:rPr>
        <w:t>原件</w:t>
      </w:r>
      <w:r>
        <w:rPr>
          <w:rFonts w:hint="eastAsia" w:ascii="Times New Roman" w:hAnsi="宋体" w:eastAsia="宋体" w:cs="Times New Roman"/>
          <w:color w:val="auto"/>
          <w:sz w:val="24"/>
          <w:szCs w:val="24"/>
          <w:highlight w:val="none"/>
        </w:rPr>
        <w:t>（正</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rPr>
        <w:t>反面）</w:t>
      </w:r>
      <w:r>
        <w:rPr>
          <w:rFonts w:hint="eastAsia" w:ascii="Times New Roman" w:hAnsi="宋体" w:eastAsia="宋体" w:cs="Times New Roman"/>
          <w:color w:val="auto"/>
          <w:sz w:val="24"/>
          <w:szCs w:val="24"/>
          <w:highlight w:val="none"/>
          <w:lang w:eastAsia="zh-CN"/>
        </w:rPr>
        <w:t>彩色扫描件</w:t>
      </w:r>
    </w:p>
    <w:p w14:paraId="14A67323">
      <w:pPr>
        <w:spacing w:line="360" w:lineRule="auto"/>
        <w:ind w:firstLine="3360" w:firstLineChars="1400"/>
        <w:rPr>
          <w:rFonts w:hint="eastAsia" w:ascii="Times New Roman" w:hAnsi="宋体" w:eastAsia="宋体" w:cs="Times New Roman"/>
          <w:color w:val="auto"/>
          <w:sz w:val="24"/>
          <w:szCs w:val="24"/>
          <w:highlight w:val="none"/>
        </w:rPr>
      </w:pPr>
    </w:p>
    <w:p w14:paraId="6891D548">
      <w:pPr>
        <w:spacing w:line="360" w:lineRule="auto"/>
        <w:ind w:firstLine="3360" w:firstLineChars="14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投标人（公章）：</w:t>
      </w:r>
    </w:p>
    <w:p w14:paraId="7B944C19">
      <w:pPr>
        <w:spacing w:line="360" w:lineRule="auto"/>
        <w:ind w:firstLine="3360" w:firstLineChars="14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法定代表人（签字</w:t>
      </w:r>
      <w:r>
        <w:rPr>
          <w:rFonts w:hint="eastAsia" w:ascii="Times New Roman" w:hAnsi="宋体" w:eastAsia="宋体" w:cs="Times New Roman"/>
          <w:color w:val="auto"/>
          <w:sz w:val="24"/>
          <w:szCs w:val="24"/>
          <w:highlight w:val="none"/>
          <w:lang w:eastAsia="zh-CN"/>
        </w:rPr>
        <w:t>或盖章</w:t>
      </w:r>
      <w:r>
        <w:rPr>
          <w:rFonts w:hint="eastAsia" w:ascii="Times New Roman" w:hAnsi="宋体" w:eastAsia="宋体" w:cs="Times New Roman"/>
          <w:color w:val="auto"/>
          <w:sz w:val="24"/>
          <w:szCs w:val="24"/>
          <w:highlight w:val="none"/>
        </w:rPr>
        <w:t>）：</w:t>
      </w:r>
    </w:p>
    <w:p w14:paraId="1FBECE62">
      <w:pPr>
        <w:spacing w:line="360" w:lineRule="auto"/>
        <w:ind w:firstLine="3360" w:firstLineChars="14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日   期：</w:t>
      </w:r>
      <w:r>
        <w:rPr>
          <w:rFonts w:ascii="Times New Roman" w:hAnsi="宋体" w:eastAsia="宋体" w:cs="Times New Roman"/>
          <w:color w:val="auto"/>
          <w:sz w:val="24"/>
          <w:szCs w:val="24"/>
          <w:highlight w:val="none"/>
        </w:rPr>
        <w:t>年</w:t>
      </w:r>
      <w:r>
        <w:rPr>
          <w:rFonts w:hint="eastAsia" w:ascii="Times New Roman" w:hAnsi="宋体" w:eastAsia="宋体" w:cs="Times New Roman"/>
          <w:color w:val="auto"/>
          <w:sz w:val="24"/>
          <w:szCs w:val="24"/>
          <w:highlight w:val="none"/>
          <w:lang w:val="en-US" w:eastAsia="zh-CN"/>
        </w:rPr>
        <w:t xml:space="preserve"> </w:t>
      </w:r>
      <w:r>
        <w:rPr>
          <w:rFonts w:ascii="Times New Roman" w:hAnsi="宋体" w:eastAsia="宋体" w:cs="Times New Roman"/>
          <w:color w:val="auto"/>
          <w:sz w:val="24"/>
          <w:szCs w:val="24"/>
          <w:highlight w:val="none"/>
        </w:rPr>
        <w:t>月</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日</w:t>
      </w:r>
    </w:p>
    <w:p w14:paraId="17449B09">
      <w:pPr>
        <w:spacing w:line="360" w:lineRule="auto"/>
        <w:jc w:val="center"/>
        <w:rPr>
          <w:rFonts w:ascii="Times New Roman" w:hAnsi="宋体" w:eastAsia="宋体" w:cs="Times New Roman"/>
          <w:b/>
          <w:color w:val="auto"/>
          <w:sz w:val="24"/>
          <w:szCs w:val="24"/>
          <w:highlight w:val="none"/>
        </w:rPr>
      </w:pPr>
    </w:p>
    <w:p w14:paraId="66EE1D8E">
      <w:pPr>
        <w:spacing w:line="360" w:lineRule="auto"/>
        <w:jc w:val="center"/>
        <w:rPr>
          <w:rFonts w:hint="eastAsia" w:ascii="Times New Roman" w:hAnsi="宋体" w:eastAsia="宋体" w:cs="Times New Roman"/>
          <w:b/>
          <w:color w:val="auto"/>
          <w:sz w:val="24"/>
          <w:szCs w:val="24"/>
          <w:highlight w:val="none"/>
        </w:rPr>
      </w:pPr>
    </w:p>
    <w:p w14:paraId="76BE1A97">
      <w:pPr>
        <w:spacing w:line="360" w:lineRule="auto"/>
        <w:jc w:val="center"/>
        <w:rPr>
          <w:rFonts w:hint="eastAsia" w:ascii="Times New Roman" w:hAnsi="宋体" w:eastAsia="宋体" w:cs="Times New Roman"/>
          <w:b/>
          <w:color w:val="auto"/>
          <w:sz w:val="24"/>
          <w:szCs w:val="24"/>
          <w:highlight w:val="none"/>
        </w:rPr>
      </w:pPr>
      <w:r>
        <w:rPr>
          <w:rFonts w:hint="eastAsia" w:ascii="Times New Roman" w:hAnsi="宋体" w:eastAsia="宋体" w:cs="Times New Roman"/>
          <w:b/>
          <w:color w:val="auto"/>
          <w:sz w:val="24"/>
          <w:szCs w:val="24"/>
          <w:highlight w:val="none"/>
        </w:rPr>
        <w:t>法定代表人授权书</w:t>
      </w:r>
      <w:r>
        <w:rPr>
          <w:rFonts w:hint="eastAsia" w:ascii="Times New Roman" w:hAnsi="宋体" w:eastAsia="宋体" w:cs="Times New Roman"/>
          <w:b/>
          <w:color w:val="auto"/>
          <w:sz w:val="24"/>
          <w:szCs w:val="24"/>
          <w:highlight w:val="none"/>
          <w:lang w:eastAsia="zh-CN"/>
        </w:rPr>
        <w:t>（授权代表</w:t>
      </w:r>
      <w:r>
        <w:rPr>
          <w:rFonts w:hint="eastAsia" w:ascii="Times New Roman" w:hAnsi="宋体" w:eastAsia="宋体" w:cs="Times New Roman"/>
          <w:b/>
          <w:color w:val="auto"/>
          <w:sz w:val="24"/>
          <w:szCs w:val="24"/>
          <w:highlight w:val="none"/>
        </w:rPr>
        <w:t>参加投标</w:t>
      </w:r>
      <w:r>
        <w:rPr>
          <w:rFonts w:hint="eastAsia" w:ascii="Times New Roman" w:hAnsi="宋体" w:eastAsia="宋体" w:cs="Times New Roman"/>
          <w:b/>
          <w:color w:val="auto"/>
          <w:sz w:val="24"/>
          <w:szCs w:val="24"/>
          <w:highlight w:val="none"/>
          <w:lang w:eastAsia="zh-CN"/>
        </w:rPr>
        <w:t>）</w:t>
      </w:r>
    </w:p>
    <w:p w14:paraId="32AF0C8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__________________（采购人名称）：</w:t>
      </w:r>
    </w:p>
    <w:p w14:paraId="4007E5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本授权声明：</w:t>
      </w:r>
      <w:r>
        <w:rPr>
          <w:rFonts w:hint="eastAsia" w:ascii="Times New Roman" w:hAnsi="宋体" w:eastAsia="宋体" w:cs="Times New Roman"/>
          <w:color w:val="auto"/>
          <w:sz w:val="24"/>
          <w:szCs w:val="24"/>
          <w:highlight w:val="none"/>
          <w:u w:val="single"/>
          <w:lang w:val="en-US" w:eastAsia="zh-CN"/>
        </w:rPr>
        <w:t xml:space="preserve">             </w:t>
      </w:r>
      <w:r>
        <w:rPr>
          <w:rFonts w:hint="eastAsia" w:ascii="Times New Roman" w:hAnsi="宋体" w:eastAsia="宋体" w:cs="Times New Roman"/>
          <w:color w:val="auto"/>
          <w:sz w:val="24"/>
          <w:szCs w:val="24"/>
          <w:highlight w:val="none"/>
        </w:rPr>
        <w:t>（投标人名称）</w:t>
      </w:r>
      <w:r>
        <w:rPr>
          <w:rFonts w:hint="eastAsia" w:ascii="Times New Roman" w:hAnsi="宋体" w:eastAsia="宋体" w:cs="Times New Roman"/>
          <w:color w:val="auto"/>
          <w:sz w:val="24"/>
          <w:szCs w:val="24"/>
          <w:highlight w:val="none"/>
          <w:u w:val="single"/>
          <w:lang w:val="en-US" w:eastAsia="zh-CN"/>
        </w:rPr>
        <w:t xml:space="preserve">             </w:t>
      </w:r>
      <w:r>
        <w:rPr>
          <w:rFonts w:hint="eastAsia" w:ascii="Times New Roman" w:hAnsi="宋体" w:eastAsia="宋体" w:cs="Times New Roman"/>
          <w:color w:val="auto"/>
          <w:sz w:val="24"/>
          <w:szCs w:val="24"/>
          <w:highlight w:val="none"/>
        </w:rPr>
        <w:t>（法定代表人姓名、职务）授权</w:t>
      </w:r>
      <w:r>
        <w:rPr>
          <w:rFonts w:hint="eastAsia" w:ascii="Times New Roman" w:hAnsi="宋体" w:eastAsia="宋体" w:cs="Times New Roman"/>
          <w:color w:val="auto"/>
          <w:sz w:val="24"/>
          <w:szCs w:val="24"/>
          <w:highlight w:val="none"/>
          <w:u w:val="single"/>
          <w:lang w:val="en-US" w:eastAsia="zh-CN"/>
        </w:rPr>
        <w:t xml:space="preserve">                </w:t>
      </w:r>
      <w:r>
        <w:rPr>
          <w:rFonts w:hint="eastAsia" w:ascii="Times New Roman" w:hAnsi="宋体" w:eastAsia="宋体" w:cs="Times New Roman"/>
          <w:color w:val="auto"/>
          <w:sz w:val="24"/>
          <w:szCs w:val="24"/>
          <w:highlight w:val="none"/>
        </w:rPr>
        <w:t>（被授权人姓名、职务）为我方 “</w:t>
      </w:r>
      <w:r>
        <w:rPr>
          <w:rFonts w:hint="eastAsia" w:ascii="Times New Roman" w:hAnsi="宋体" w:eastAsia="宋体" w:cs="Times New Roman"/>
          <w:color w:val="auto"/>
          <w:sz w:val="24"/>
          <w:szCs w:val="24"/>
          <w:highlight w:val="none"/>
          <w:u w:val="single"/>
          <w:lang w:val="en-US" w:eastAsia="zh-CN"/>
        </w:rPr>
        <w:t xml:space="preserve">                 </w:t>
      </w:r>
      <w:r>
        <w:rPr>
          <w:rFonts w:hint="eastAsia" w:ascii="Times New Roman" w:hAnsi="宋体" w:eastAsia="宋体" w:cs="Times New Roman"/>
          <w:color w:val="auto"/>
          <w:sz w:val="24"/>
          <w:szCs w:val="24"/>
          <w:highlight w:val="none"/>
        </w:rPr>
        <w:t>” 项目（招标文件编号</w:t>
      </w:r>
      <w:r>
        <w:rPr>
          <w:rFonts w:hint="eastAsia" w:ascii="Times New Roman" w:hAnsi="宋体" w:eastAsia="宋体" w:cs="Times New Roman"/>
          <w:color w:val="auto"/>
          <w:sz w:val="24"/>
          <w:szCs w:val="24"/>
          <w:highlight w:val="none"/>
          <w:lang w:val="en-US" w:eastAsia="zh-CN"/>
        </w:rPr>
        <w:t>:</w:t>
      </w:r>
      <w:r>
        <w:rPr>
          <w:rFonts w:hint="eastAsia" w:ascii="Times New Roman" w:hAnsi="宋体" w:eastAsia="宋体" w:cs="Times New Roman"/>
          <w:color w:val="auto"/>
          <w:sz w:val="24"/>
          <w:szCs w:val="24"/>
          <w:highlight w:val="none"/>
          <w:u w:val="single"/>
          <w:lang w:val="en-US" w:eastAsia="zh-CN"/>
        </w:rPr>
        <w:t xml:space="preserve">           </w:t>
      </w:r>
      <w:r>
        <w:rPr>
          <w:rFonts w:hint="eastAsia" w:ascii="Times New Roman" w:hAnsi="宋体" w:eastAsia="宋体" w:cs="Times New Roman"/>
          <w:color w:val="auto"/>
          <w:sz w:val="24"/>
          <w:szCs w:val="24"/>
          <w:highlight w:val="none"/>
        </w:rPr>
        <w:t>）投标活动的合法代表，以我方名义全权处理该项目有关投标、签订合同以及执行合同等一切事宜。</w:t>
      </w:r>
    </w:p>
    <w:p w14:paraId="21F2D84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特此声明。</w:t>
      </w:r>
    </w:p>
    <w:p w14:paraId="6954AD5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Times New Roman"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lang w:val="en-US" w:eastAsia="zh-CN"/>
        </w:rPr>
        <w:t>附：</w:t>
      </w:r>
      <w:r>
        <w:rPr>
          <w:rFonts w:hint="eastAsia" w:ascii="Times New Roman" w:hAnsi="宋体" w:eastAsia="宋体" w:cs="Times New Roman"/>
          <w:color w:val="auto"/>
          <w:sz w:val="24"/>
          <w:szCs w:val="24"/>
          <w:highlight w:val="none"/>
        </w:rPr>
        <w:t>法定代表人身份证</w:t>
      </w:r>
      <w:r>
        <w:rPr>
          <w:rFonts w:hint="eastAsia" w:ascii="Times New Roman" w:hAnsi="宋体" w:eastAsia="宋体" w:cs="Times New Roman"/>
          <w:color w:val="auto"/>
          <w:sz w:val="24"/>
          <w:szCs w:val="24"/>
          <w:highlight w:val="none"/>
          <w:lang w:eastAsia="zh-CN"/>
        </w:rPr>
        <w:t>和授权代表</w:t>
      </w:r>
      <w:r>
        <w:rPr>
          <w:rFonts w:hint="eastAsia" w:ascii="Times New Roman" w:hAnsi="宋体" w:eastAsia="宋体" w:cs="Times New Roman"/>
          <w:color w:val="auto"/>
          <w:sz w:val="24"/>
          <w:szCs w:val="24"/>
          <w:highlight w:val="none"/>
        </w:rPr>
        <w:t>身份证</w:t>
      </w:r>
      <w:r>
        <w:rPr>
          <w:rFonts w:hint="eastAsia" w:ascii="Times New Roman" w:hAnsi="宋体" w:eastAsia="宋体" w:cs="Times New Roman"/>
          <w:color w:val="auto"/>
          <w:sz w:val="24"/>
          <w:szCs w:val="24"/>
          <w:highlight w:val="none"/>
          <w:lang w:eastAsia="zh-CN"/>
        </w:rPr>
        <w:t>原件</w:t>
      </w:r>
      <w:r>
        <w:rPr>
          <w:rFonts w:hint="eastAsia" w:ascii="Times New Roman" w:hAnsi="宋体" w:eastAsia="宋体" w:cs="Times New Roman"/>
          <w:color w:val="auto"/>
          <w:sz w:val="24"/>
          <w:szCs w:val="24"/>
          <w:highlight w:val="none"/>
        </w:rPr>
        <w:t>（正</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rPr>
        <w:t>反面）</w:t>
      </w:r>
      <w:r>
        <w:rPr>
          <w:rFonts w:hint="eastAsia" w:ascii="Times New Roman" w:hAnsi="宋体" w:eastAsia="宋体" w:cs="Times New Roman"/>
          <w:color w:val="auto"/>
          <w:sz w:val="24"/>
          <w:szCs w:val="24"/>
          <w:highlight w:val="none"/>
          <w:lang w:eastAsia="zh-CN"/>
        </w:rPr>
        <w:t>彩色扫描件</w:t>
      </w:r>
    </w:p>
    <w:p w14:paraId="1CC48DA8">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jc w:val="left"/>
        <w:textAlignment w:val="auto"/>
        <w:rPr>
          <w:rFonts w:hint="eastAsia" w:ascii="Calibri" w:hAnsi="Calibri" w:eastAsia="宋体" w:cs="Calibri"/>
          <w:smallCaps/>
          <w:color w:val="auto"/>
          <w:kern w:val="2"/>
          <w:sz w:val="20"/>
          <w:szCs w:val="20"/>
          <w:highlight w:val="none"/>
          <w:lang w:val="en-US" w:eastAsia="zh-CN" w:bidi="ar-SA"/>
        </w:rPr>
      </w:pPr>
    </w:p>
    <w:p w14:paraId="019A0EF3">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 xml:space="preserve">投标人（公章）：         </w:t>
      </w:r>
    </w:p>
    <w:p w14:paraId="4CA1BA21">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法定代表人（签字</w:t>
      </w:r>
      <w:r>
        <w:rPr>
          <w:rFonts w:hint="eastAsia" w:ascii="Times New Roman" w:hAnsi="宋体" w:eastAsia="宋体" w:cs="Times New Roman"/>
          <w:color w:val="auto"/>
          <w:sz w:val="24"/>
          <w:szCs w:val="24"/>
          <w:highlight w:val="none"/>
          <w:lang w:eastAsia="zh-CN"/>
        </w:rPr>
        <w:t>或盖章</w:t>
      </w:r>
      <w:r>
        <w:rPr>
          <w:rFonts w:hint="eastAsia" w:ascii="Times New Roman" w:hAnsi="宋体" w:eastAsia="宋体" w:cs="Times New Roman"/>
          <w:color w:val="auto"/>
          <w:sz w:val="24"/>
          <w:szCs w:val="24"/>
          <w:highlight w:val="none"/>
        </w:rPr>
        <w:t>）：</w:t>
      </w:r>
    </w:p>
    <w:p w14:paraId="6596D9D5">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eastAsia="zh-CN"/>
        </w:rPr>
        <w:t>授权代表</w:t>
      </w:r>
      <w:r>
        <w:rPr>
          <w:rFonts w:hint="eastAsia" w:ascii="Times New Roman" w:hAnsi="宋体" w:eastAsia="宋体" w:cs="Times New Roman"/>
          <w:color w:val="auto"/>
          <w:sz w:val="24"/>
          <w:szCs w:val="24"/>
          <w:highlight w:val="none"/>
        </w:rPr>
        <w:t>（签字</w:t>
      </w:r>
      <w:r>
        <w:rPr>
          <w:rFonts w:hint="eastAsia" w:ascii="Times New Roman" w:hAnsi="宋体" w:eastAsia="宋体" w:cs="Times New Roman"/>
          <w:color w:val="auto"/>
          <w:sz w:val="24"/>
          <w:szCs w:val="24"/>
          <w:highlight w:val="none"/>
          <w:lang w:eastAsia="zh-CN"/>
        </w:rPr>
        <w:t>或盖章</w:t>
      </w:r>
      <w:r>
        <w:rPr>
          <w:rFonts w:hint="eastAsia" w:ascii="Times New Roman" w:hAnsi="宋体" w:eastAsia="宋体" w:cs="Times New Roman"/>
          <w:color w:val="auto"/>
          <w:sz w:val="24"/>
          <w:szCs w:val="24"/>
          <w:highlight w:val="none"/>
        </w:rPr>
        <w:t>）：</w:t>
      </w:r>
    </w:p>
    <w:p w14:paraId="1650DD66">
      <w:pPr>
        <w:keepNext w:val="0"/>
        <w:keepLines w:val="0"/>
        <w:pageBreakBefore w:val="0"/>
        <w:widowControl w:val="0"/>
        <w:kinsoku/>
        <w:wordWrap/>
        <w:overflowPunct/>
        <w:topLinePunct w:val="0"/>
        <w:autoSpaceDE/>
        <w:autoSpaceDN/>
        <w:bidi w:val="0"/>
        <w:adjustRightInd/>
        <w:snapToGrid/>
        <w:spacing w:line="360" w:lineRule="auto"/>
        <w:ind w:left="0" w:firstLine="3600" w:firstLineChars="1500"/>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日   期：</w:t>
      </w:r>
      <w:r>
        <w:rPr>
          <w:rFonts w:ascii="Times New Roman" w:hAnsi="宋体" w:eastAsia="宋体" w:cs="Times New Roman"/>
          <w:color w:val="auto"/>
          <w:sz w:val="24"/>
          <w:szCs w:val="24"/>
          <w:highlight w:val="none"/>
        </w:rPr>
        <w:t>年</w:t>
      </w:r>
      <w:r>
        <w:rPr>
          <w:rFonts w:hint="eastAsia" w:ascii="Times New Roman" w:hAnsi="宋体" w:eastAsia="宋体" w:cs="Times New Roman"/>
          <w:color w:val="auto"/>
          <w:sz w:val="24"/>
          <w:szCs w:val="24"/>
          <w:highlight w:val="none"/>
          <w:lang w:val="en-US" w:eastAsia="zh-CN"/>
        </w:rPr>
        <w:t xml:space="preserve"> </w:t>
      </w:r>
      <w:r>
        <w:rPr>
          <w:rFonts w:ascii="Times New Roman" w:hAnsi="宋体" w:eastAsia="宋体" w:cs="Times New Roman"/>
          <w:color w:val="auto"/>
          <w:sz w:val="24"/>
          <w:szCs w:val="24"/>
          <w:highlight w:val="none"/>
        </w:rPr>
        <w:t>月</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日</w:t>
      </w:r>
    </w:p>
    <w:p w14:paraId="3F30EAFE">
      <w:pPr>
        <w:tabs>
          <w:tab w:val="left" w:pos="3600"/>
        </w:tabs>
        <w:adjustRightInd w:val="0"/>
        <w:snapToGrid w:val="0"/>
        <w:spacing w:line="360" w:lineRule="auto"/>
        <w:jc w:val="center"/>
        <w:rPr>
          <w:rFonts w:hint="eastAsia" w:ascii="Times New Roman" w:hAnsi="宋体" w:eastAsia="宋体" w:cs="Times New Roman"/>
          <w:b/>
          <w:color w:val="auto"/>
          <w:sz w:val="28"/>
          <w:szCs w:val="28"/>
          <w:highlight w:val="none"/>
          <w:lang w:eastAsia="zh-CN"/>
        </w:rPr>
      </w:pPr>
    </w:p>
    <w:p w14:paraId="7202E4CB">
      <w:pPr>
        <w:numPr>
          <w:ilvl w:val="0"/>
          <w:numId w:val="10"/>
        </w:numPr>
        <w:tabs>
          <w:tab w:val="left" w:pos="3600"/>
        </w:tabs>
        <w:adjustRightInd w:val="0"/>
        <w:snapToGrid w:val="0"/>
        <w:spacing w:line="360" w:lineRule="auto"/>
        <w:ind w:left="522" w:leftChars="0" w:firstLine="0" w:firstLineChars="0"/>
        <w:jc w:val="both"/>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rPr>
        <w:t>中小企业证明材料</w:t>
      </w:r>
      <w:r>
        <w:rPr>
          <w:rFonts w:hint="eastAsia" w:ascii="宋体" w:hAnsi="宋体" w:eastAsia="宋体" w:cs="Times New Roman"/>
          <w:b/>
          <w:color w:val="auto"/>
          <w:sz w:val="24"/>
          <w:szCs w:val="24"/>
          <w:highlight w:val="none"/>
          <w:lang w:eastAsia="zh-CN"/>
        </w:rPr>
        <w:t>（原件彩色扫描件）</w:t>
      </w:r>
    </w:p>
    <w:p w14:paraId="0FA4D4F6">
      <w:pPr>
        <w:tabs>
          <w:tab w:val="left" w:pos="3600"/>
        </w:tabs>
        <w:adjustRightInd w:val="0"/>
        <w:snapToGrid w:val="0"/>
        <w:spacing w:line="360" w:lineRule="auto"/>
        <w:rPr>
          <w:rFonts w:ascii="Times New Roman" w:hAnsi="宋体" w:eastAsia="宋体" w:cs="Times New Roman"/>
          <w:b/>
          <w:color w:val="auto"/>
          <w:sz w:val="28"/>
          <w:szCs w:val="28"/>
          <w:highlight w:val="none"/>
        </w:rPr>
      </w:pPr>
    </w:p>
    <w:p w14:paraId="6DBBF0FA">
      <w:pPr>
        <w:tabs>
          <w:tab w:val="left" w:pos="3600"/>
        </w:tabs>
        <w:adjustRightInd w:val="0"/>
        <w:snapToGrid w:val="0"/>
        <w:spacing w:line="360" w:lineRule="auto"/>
        <w:jc w:val="center"/>
        <w:rPr>
          <w:rFonts w:hint="eastAsia" w:ascii="宋体" w:hAnsi="宋体" w:eastAsia="宋体" w:cs="Times New Roman"/>
          <w:b/>
          <w:bCs/>
          <w:color w:val="auto"/>
          <w:kern w:val="0"/>
          <w:sz w:val="24"/>
          <w:szCs w:val="24"/>
          <w:highlight w:val="none"/>
          <w:lang w:eastAsia="zh-CN"/>
        </w:rPr>
      </w:pPr>
      <w:r>
        <w:rPr>
          <w:rFonts w:hint="eastAsia" w:ascii="宋体" w:hAnsi="宋体" w:eastAsia="宋体" w:cs="Times New Roman"/>
          <w:b/>
          <w:bCs/>
          <w:color w:val="auto"/>
          <w:kern w:val="0"/>
          <w:sz w:val="24"/>
          <w:szCs w:val="24"/>
          <w:highlight w:val="none"/>
        </w:rPr>
        <w:t>中小企业声明函</w:t>
      </w: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lang w:val="en-US" w:eastAsia="zh-CN"/>
        </w:rPr>
        <w:t>工程、服务</w:t>
      </w:r>
      <w:r>
        <w:rPr>
          <w:rFonts w:hint="eastAsia" w:ascii="宋体" w:hAnsi="宋体" w:eastAsia="宋体" w:cs="Times New Roman"/>
          <w:b/>
          <w:bCs/>
          <w:color w:val="auto"/>
          <w:kern w:val="0"/>
          <w:sz w:val="24"/>
          <w:szCs w:val="24"/>
          <w:highlight w:val="none"/>
          <w:lang w:eastAsia="zh-CN"/>
        </w:rPr>
        <w:t>）</w:t>
      </w:r>
    </w:p>
    <w:p w14:paraId="27198B7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本公司（联合体）郑重声明，根据《政府采购促进中小企业发展管理办法》（财库〔</w:t>
      </w: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46号</w:t>
      </w:r>
      <w:r>
        <w:rPr>
          <w:rFonts w:hint="eastAsia" w:ascii="宋体" w:hAnsi="宋体" w:eastAsia="宋体" w:cs="宋体"/>
          <w:color w:val="auto"/>
          <w:kern w:val="0"/>
          <w:sz w:val="24"/>
          <w:szCs w:val="24"/>
          <w:highlight w:val="none"/>
          <w:lang w:eastAsia="zh-CN"/>
        </w:rPr>
        <w:t>）的规定，本公司（联合体）参加</w:t>
      </w:r>
      <w:r>
        <w:rPr>
          <w:rFonts w:hint="eastAsia" w:ascii="宋体" w:hAnsi="宋体" w:eastAsia="宋体" w:cs="宋体"/>
          <w:color w:val="auto"/>
          <w:kern w:val="0"/>
          <w:sz w:val="24"/>
          <w:szCs w:val="24"/>
          <w:highlight w:val="none"/>
          <w:u w:val="single"/>
          <w:lang w:eastAsia="zh-CN"/>
        </w:rPr>
        <w:t>（单位名称）</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eastAsia="zh-CN"/>
        </w:rPr>
        <w:t>（项目名称）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eastAsia="zh-CN"/>
        </w:rPr>
        <w:t>采购活动，服务全部由符合政策要求的中小企业承接，相关企业（含联合体中的中小企业、签订分包意向协议的中小企业）的具体情况如下：</w:t>
      </w:r>
    </w:p>
    <w:p w14:paraId="44D7A590">
      <w:pPr>
        <w:keepNext w:val="0"/>
        <w:keepLines w:val="0"/>
        <w:pageBreakBefore w:val="0"/>
        <w:widowControl/>
        <w:numPr>
          <w:ilvl w:val="0"/>
          <w:numId w:val="11"/>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lang w:val="en-US" w:eastAsia="zh-CN"/>
        </w:rPr>
        <w:t>；承接企业为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lang w:val="en-US" w:eastAsia="zh-CN"/>
        </w:rPr>
        <w:t>，从业人员____人，营业收入为______万元，资产总额为____万元，属于（中型企业、小型企业、微型企业）；</w:t>
      </w:r>
    </w:p>
    <w:p w14:paraId="1EA465EB">
      <w:pPr>
        <w:keepNext w:val="0"/>
        <w:keepLines w:val="0"/>
        <w:pageBreakBefore w:val="0"/>
        <w:widowControl/>
        <w:numPr>
          <w:ilvl w:val="0"/>
          <w:numId w:val="11"/>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lang w:val="en-US" w:eastAsia="zh-CN"/>
        </w:rPr>
        <w:t>行业；承接企业为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lang w:val="en-US" w:eastAsia="zh-CN"/>
        </w:rPr>
        <w:t>，从业人员____人，营业收入为___万元，资产总额为___万元，属于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lang w:val="en-US" w:eastAsia="zh-CN"/>
        </w:rPr>
        <w:t>；</w:t>
      </w:r>
    </w:p>
    <w:p w14:paraId="2DBBC3C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w:t>
      </w:r>
    </w:p>
    <w:p w14:paraId="4E4D8F2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以上企业，不属于大企业的分支机构，不存在控股股东为大企业的情形，也不存在与大企业的负责人为同一人的情形。</w:t>
      </w:r>
    </w:p>
    <w:p w14:paraId="05927DB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本企业对上述声明内容的真实性负责。如有虚假，将依法承担相应责任。</w:t>
      </w:r>
    </w:p>
    <w:p w14:paraId="6ADBE906">
      <w:pPr>
        <w:adjustRightInd w:val="0"/>
        <w:snapToGrid w:val="0"/>
        <w:spacing w:line="360" w:lineRule="auto"/>
        <w:ind w:firstLine="480" w:firstLineChars="200"/>
        <w:rPr>
          <w:rFonts w:hint="eastAsia" w:ascii="宋体" w:hAnsi="宋体" w:eastAsia="宋体" w:cs="宋体"/>
          <w:color w:val="auto"/>
          <w:kern w:val="0"/>
          <w:sz w:val="24"/>
          <w:szCs w:val="24"/>
          <w:highlight w:val="none"/>
        </w:rPr>
      </w:pPr>
    </w:p>
    <w:p w14:paraId="7A319C04">
      <w:pPr>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企业名称（公章）：</w:t>
      </w:r>
    </w:p>
    <w:p w14:paraId="0B8D4521">
      <w:pPr>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期：</w:t>
      </w:r>
    </w:p>
    <w:p w14:paraId="16C5642F">
      <w:pPr>
        <w:autoSpaceDN w:val="0"/>
        <w:spacing w:line="360" w:lineRule="auto"/>
        <w:jc w:val="center"/>
        <w:rPr>
          <w:rFonts w:hint="eastAsia" w:ascii="Times New Roman" w:hAnsi="Times New Roman" w:eastAsia="宋体" w:cs="Times New Roman"/>
          <w:b/>
          <w:bCs/>
          <w:color w:val="auto"/>
          <w:sz w:val="24"/>
          <w:szCs w:val="21"/>
          <w:highlight w:val="none"/>
        </w:rPr>
      </w:pPr>
    </w:p>
    <w:p w14:paraId="33E5125B">
      <w:pPr>
        <w:autoSpaceDN w:val="0"/>
        <w:spacing w:line="360" w:lineRule="auto"/>
        <w:jc w:val="center"/>
        <w:rPr>
          <w:rFonts w:hint="eastAsia" w:ascii="Times New Roman" w:hAnsi="Times New Roman" w:eastAsia="宋体" w:cs="Times New Roman"/>
          <w:b/>
          <w:bCs/>
          <w:color w:val="auto"/>
          <w:sz w:val="24"/>
          <w:szCs w:val="21"/>
          <w:highlight w:val="none"/>
        </w:rPr>
      </w:pPr>
    </w:p>
    <w:p w14:paraId="6739A079">
      <w:pPr>
        <w:autoSpaceDN w:val="0"/>
        <w:spacing w:line="360" w:lineRule="auto"/>
        <w:jc w:val="center"/>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
          <w:bCs/>
          <w:color w:val="auto"/>
          <w:sz w:val="24"/>
          <w:szCs w:val="21"/>
          <w:highlight w:val="none"/>
        </w:rPr>
        <w:t>残疾人福利性单位声明函</w:t>
      </w:r>
    </w:p>
    <w:p w14:paraId="6FDBF4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58B9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本单位对上述声明的真实性负责。如有虚假，将依法承担相应责任。</w:t>
      </w:r>
    </w:p>
    <w:p w14:paraId="56BE7A56">
      <w:pPr>
        <w:snapToGrid w:val="0"/>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 xml:space="preserve"> </w:t>
      </w:r>
    </w:p>
    <w:p w14:paraId="189E038E">
      <w:pPr>
        <w:snapToGrid w:val="0"/>
        <w:spacing w:line="360" w:lineRule="auto"/>
        <w:ind w:firstLine="480" w:firstLineChars="200"/>
        <w:rPr>
          <w:rFonts w:hint="eastAsia" w:ascii="Times New Roman" w:hAnsi="Times New Roman" w:eastAsia="宋体" w:cs="Times New Roman"/>
          <w:color w:val="auto"/>
          <w:sz w:val="24"/>
          <w:szCs w:val="21"/>
          <w:highlight w:val="none"/>
        </w:rPr>
      </w:pPr>
    </w:p>
    <w:p w14:paraId="01042FA6">
      <w:pPr>
        <w:snapToGrid w:val="0"/>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 xml:space="preserve">                                    </w:t>
      </w:r>
      <w:r>
        <w:rPr>
          <w:rFonts w:hint="eastAsia" w:ascii="Times New Roman" w:hAnsi="Times New Roman" w:eastAsia="宋体" w:cs="Times New Roman"/>
          <w:color w:val="auto"/>
          <w:sz w:val="24"/>
          <w:szCs w:val="21"/>
          <w:highlight w:val="none"/>
        </w:rPr>
        <w:t>单位名称（</w:t>
      </w:r>
      <w:r>
        <w:rPr>
          <w:rFonts w:hint="eastAsia" w:ascii="Times New Roman" w:hAnsi="Times New Roman" w:eastAsia="宋体" w:cs="Times New Roman"/>
          <w:color w:val="auto"/>
          <w:sz w:val="24"/>
          <w:szCs w:val="21"/>
          <w:highlight w:val="none"/>
          <w:lang w:eastAsia="zh-CN"/>
        </w:rPr>
        <w:t>公</w:t>
      </w:r>
      <w:r>
        <w:rPr>
          <w:rFonts w:hint="eastAsia" w:ascii="Times New Roman" w:hAnsi="Times New Roman" w:eastAsia="宋体" w:cs="Times New Roman"/>
          <w:color w:val="auto"/>
          <w:sz w:val="24"/>
          <w:szCs w:val="21"/>
          <w:highlight w:val="none"/>
        </w:rPr>
        <w:t>章）：</w:t>
      </w:r>
    </w:p>
    <w:p w14:paraId="5133ACDB">
      <w:pPr>
        <w:snapToGrid w:val="0"/>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 xml:space="preserve">     </w:t>
      </w:r>
      <w:r>
        <w:rPr>
          <w:rFonts w:hint="eastAsia" w:ascii="Times New Roman" w:hAnsi="Times New Roman" w:eastAsia="宋体" w:cs="Times New Roman"/>
          <w:color w:val="auto"/>
          <w:sz w:val="24"/>
          <w:szCs w:val="21"/>
          <w:highlight w:val="none"/>
          <w:lang w:val="en-US" w:eastAsia="zh-CN"/>
        </w:rPr>
        <w:t xml:space="preserve">                             </w:t>
      </w:r>
      <w:r>
        <w:rPr>
          <w:rFonts w:hint="eastAsia" w:ascii="Times New Roman" w:hAnsi="Times New Roman" w:eastAsia="宋体" w:cs="Times New Roman"/>
          <w:color w:val="auto"/>
          <w:sz w:val="24"/>
          <w:szCs w:val="21"/>
          <w:highlight w:val="none"/>
        </w:rPr>
        <w:t xml:space="preserve">  日  期：</w:t>
      </w:r>
    </w:p>
    <w:p w14:paraId="22E3FAEA">
      <w:pPr>
        <w:widowControl w:val="0"/>
        <w:tabs>
          <w:tab w:val="right" w:leader="dot" w:pos="8400"/>
        </w:tabs>
        <w:ind w:left="210"/>
        <w:jc w:val="left"/>
        <w:rPr>
          <w:rFonts w:hint="eastAsia" w:ascii="Calibri" w:hAnsi="Calibri" w:eastAsia="宋体" w:cs="Calibri"/>
          <w:smallCaps/>
          <w:color w:val="auto"/>
          <w:kern w:val="2"/>
          <w:sz w:val="20"/>
          <w:szCs w:val="20"/>
          <w:lang w:val="en-US" w:eastAsia="zh-CN" w:bidi="ar-SA"/>
        </w:rPr>
      </w:pPr>
    </w:p>
    <w:p w14:paraId="15F4760A">
      <w:pPr>
        <w:autoSpaceDN w:val="0"/>
        <w:spacing w:line="360" w:lineRule="auto"/>
        <w:jc w:val="center"/>
        <w:rPr>
          <w:rFonts w:hint="eastAsia" w:ascii="Times New Roman" w:hAnsi="Times New Roman" w:eastAsia="宋体" w:cs="Times New Roman"/>
          <w:b/>
          <w:bCs/>
          <w:color w:val="auto"/>
          <w:sz w:val="24"/>
          <w:szCs w:val="21"/>
          <w:highlight w:val="none"/>
        </w:rPr>
      </w:pPr>
      <w:r>
        <w:rPr>
          <w:rFonts w:hint="eastAsia" w:ascii="Times New Roman" w:hAnsi="Times New Roman" w:eastAsia="宋体" w:cs="Times New Roman"/>
          <w:b/>
          <w:bCs/>
          <w:color w:val="auto"/>
          <w:sz w:val="24"/>
          <w:szCs w:val="21"/>
          <w:highlight w:val="none"/>
        </w:rPr>
        <w:t>省级以上监狱管理局、戒毒管理局（含新疆生产建设兵团）出具的</w:t>
      </w:r>
    </w:p>
    <w:p w14:paraId="772794F5">
      <w:pPr>
        <w:autoSpaceDN w:val="0"/>
        <w:spacing w:line="360" w:lineRule="auto"/>
        <w:jc w:val="center"/>
        <w:rPr>
          <w:rFonts w:hint="eastAsia" w:ascii="Times New Roman" w:hAnsi="Times New Roman" w:eastAsia="宋体" w:cs="Times New Roman"/>
          <w:b/>
          <w:bCs/>
          <w:color w:val="auto"/>
          <w:sz w:val="24"/>
          <w:szCs w:val="21"/>
          <w:highlight w:val="none"/>
        </w:rPr>
      </w:pPr>
      <w:r>
        <w:rPr>
          <w:rFonts w:hint="eastAsia" w:ascii="Times New Roman" w:hAnsi="Times New Roman" w:eastAsia="宋体" w:cs="Times New Roman"/>
          <w:b/>
          <w:bCs/>
          <w:color w:val="auto"/>
          <w:sz w:val="24"/>
          <w:szCs w:val="21"/>
          <w:highlight w:val="none"/>
        </w:rPr>
        <w:t>属于监狱企业证明文件（</w:t>
      </w:r>
      <w:r>
        <w:rPr>
          <w:rFonts w:hint="eastAsia" w:ascii="Times New Roman" w:hAnsi="Times New Roman" w:eastAsia="宋体" w:cs="Times New Roman"/>
          <w:b/>
          <w:bCs/>
          <w:color w:val="auto"/>
          <w:sz w:val="24"/>
          <w:szCs w:val="21"/>
          <w:highlight w:val="none"/>
          <w:lang w:eastAsia="zh-CN"/>
        </w:rPr>
        <w:t>原件</w:t>
      </w:r>
      <w:r>
        <w:rPr>
          <w:rFonts w:hint="eastAsia" w:ascii="Times New Roman" w:hAnsi="Times New Roman" w:eastAsia="宋体" w:cs="Times New Roman"/>
          <w:b/>
          <w:bCs/>
          <w:color w:val="auto"/>
          <w:sz w:val="24"/>
          <w:szCs w:val="21"/>
          <w:highlight w:val="none"/>
        </w:rPr>
        <w:t>彩色扫描件）</w:t>
      </w:r>
      <w:r>
        <w:rPr>
          <w:rFonts w:hint="eastAsia" w:ascii="Times New Roman" w:hAnsi="Times New Roman" w:eastAsia="宋体" w:cs="Times New Roman"/>
          <w:b/>
          <w:bCs/>
          <w:color w:val="auto"/>
          <w:sz w:val="24"/>
          <w:szCs w:val="21"/>
          <w:highlight w:val="none"/>
          <w:lang w:eastAsia="zh-CN"/>
        </w:rPr>
        <w:t>（格式自拟）</w:t>
      </w:r>
    </w:p>
    <w:p w14:paraId="6F1961CE">
      <w:pPr>
        <w:numPr>
          <w:ilvl w:val="0"/>
          <w:numId w:val="0"/>
        </w:numPr>
        <w:tabs>
          <w:tab w:val="left" w:pos="3600"/>
        </w:tabs>
        <w:adjustRightInd w:val="0"/>
        <w:snapToGrid w:val="0"/>
        <w:spacing w:line="360" w:lineRule="auto"/>
        <w:ind w:left="522" w:leftChars="0"/>
        <w:jc w:val="both"/>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九、非联合体投标声明函（格式自拟）</w:t>
      </w:r>
    </w:p>
    <w:p w14:paraId="0C45D6A6">
      <w:pPr>
        <w:widowControl w:val="0"/>
        <w:tabs>
          <w:tab w:val="right" w:leader="dot" w:pos="8400"/>
        </w:tabs>
        <w:ind w:left="210"/>
        <w:jc w:val="left"/>
        <w:rPr>
          <w:rFonts w:ascii="Calibri" w:hAnsi="Calibri" w:eastAsia="宋体" w:cs="Calibri"/>
          <w:smallCaps/>
          <w:color w:val="auto"/>
          <w:kern w:val="2"/>
          <w:sz w:val="20"/>
          <w:szCs w:val="20"/>
          <w:lang w:val="en-US" w:eastAsia="zh-CN" w:bidi="ar-SA"/>
        </w:rPr>
      </w:pPr>
    </w:p>
    <w:p w14:paraId="401B7F10">
      <w:pPr>
        <w:rPr>
          <w:rFonts w:ascii="华文中宋" w:hAnsi="华文中宋" w:eastAsia="华文中宋" w:cs="Times New Roman"/>
          <w:color w:val="auto"/>
          <w:sz w:val="24"/>
          <w:szCs w:val="24"/>
          <w:highlight w:val="none"/>
        </w:rPr>
      </w:pPr>
      <w:r>
        <w:rPr>
          <w:rFonts w:hint="eastAsia" w:ascii="Times New Roman" w:hAnsi="宋体" w:eastAsia="宋体" w:cs="Times New Roman"/>
          <w:b/>
          <w:color w:val="auto"/>
          <w:sz w:val="32"/>
          <w:szCs w:val="32"/>
          <w:highlight w:val="none"/>
        </w:rPr>
        <w:t xml:space="preserve">    以上所有资格全部为招标文件的实质性要求，有一项不符合即为无效投标。</w:t>
      </w:r>
    </w:p>
    <w:p w14:paraId="77B2FD03">
      <w:pPr>
        <w:snapToGrid w:val="0"/>
        <w:spacing w:line="360" w:lineRule="exact"/>
        <w:rPr>
          <w:rFonts w:hint="eastAsia" w:ascii="华文中宋" w:hAnsi="华文中宋" w:eastAsia="华文中宋" w:cs="Times New Roman"/>
          <w:color w:val="auto"/>
          <w:sz w:val="24"/>
          <w:szCs w:val="24"/>
          <w:highlight w:val="none"/>
        </w:rPr>
      </w:pPr>
    </w:p>
    <w:p w14:paraId="0DF88A67">
      <w:pPr>
        <w:pageBreakBefore w:val="0"/>
        <w:widowControl w:val="0"/>
        <w:kinsoku/>
        <w:wordWrap/>
        <w:overflowPunct/>
        <w:topLinePunct w:val="0"/>
        <w:autoSpaceDE/>
        <w:autoSpaceDN/>
        <w:bidi w:val="0"/>
        <w:adjustRightInd/>
        <w:snapToGrid w:val="0"/>
        <w:spacing w:line="360" w:lineRule="auto"/>
        <w:textAlignment w:val="auto"/>
        <w:rPr>
          <w:rFonts w:hint="eastAsia" w:ascii="华文中宋" w:hAnsi="华文中宋" w:eastAsia="华文中宋" w:cs="Times New Roman"/>
          <w:color w:val="auto"/>
          <w:sz w:val="24"/>
          <w:szCs w:val="24"/>
          <w:highlight w:val="none"/>
        </w:rPr>
      </w:pPr>
      <w:r>
        <w:rPr>
          <w:rFonts w:hint="eastAsia" w:ascii="华文中宋" w:hAnsi="华文中宋" w:eastAsia="华文中宋" w:cs="Times New Roman"/>
          <w:color w:val="auto"/>
          <w:sz w:val="24"/>
          <w:szCs w:val="24"/>
          <w:highlight w:val="none"/>
        </w:rPr>
        <w:t>说明：</w:t>
      </w:r>
    </w:p>
    <w:p w14:paraId="708A7592">
      <w:pPr>
        <w:pageBreakBefore w:val="0"/>
        <w:widowControl w:val="0"/>
        <w:kinsoku/>
        <w:wordWrap/>
        <w:overflowPunct/>
        <w:topLinePunct w:val="0"/>
        <w:autoSpaceDE/>
        <w:autoSpaceDN/>
        <w:bidi w:val="0"/>
        <w:adjustRightInd/>
        <w:snapToGrid w:val="0"/>
        <w:spacing w:line="360" w:lineRule="auto"/>
        <w:ind w:firstLine="480"/>
        <w:textAlignment w:val="auto"/>
        <w:rPr>
          <w:rFonts w:hint="eastAsia" w:ascii="华文中宋" w:hAnsi="华文中宋" w:eastAsia="华文中宋" w:cs="Times New Roman"/>
          <w:color w:val="auto"/>
          <w:sz w:val="24"/>
          <w:szCs w:val="24"/>
          <w:highlight w:val="none"/>
          <w:lang w:val="en-US" w:eastAsia="zh-CN"/>
        </w:rPr>
      </w:pPr>
      <w:r>
        <w:rPr>
          <w:rFonts w:hint="eastAsia" w:ascii="华文中宋" w:hAnsi="华文中宋" w:eastAsia="华文中宋" w:cs="Times New Roman"/>
          <w:color w:val="auto"/>
          <w:sz w:val="24"/>
          <w:szCs w:val="24"/>
          <w:highlight w:val="none"/>
          <w:lang w:val="en-US" w:eastAsia="zh-CN"/>
        </w:rPr>
        <w:t>1.所要求提供的资格证明文件必须在每一项资料的</w:t>
      </w:r>
      <w:r>
        <w:rPr>
          <w:rFonts w:hint="eastAsia" w:ascii="Times New Roman" w:hAnsi="宋体" w:eastAsia="宋体" w:cs="Times New Roman"/>
          <w:b w:val="0"/>
          <w:bCs/>
          <w:color w:val="auto"/>
          <w:sz w:val="24"/>
          <w:szCs w:val="24"/>
          <w:highlight w:val="none"/>
          <w:lang w:eastAsia="zh-CN"/>
        </w:rPr>
        <w:t>原件彩色扫描件</w:t>
      </w:r>
      <w:r>
        <w:rPr>
          <w:rFonts w:hint="eastAsia" w:ascii="华文中宋" w:hAnsi="华文中宋" w:eastAsia="华文中宋" w:cs="Times New Roman"/>
          <w:color w:val="auto"/>
          <w:sz w:val="24"/>
          <w:szCs w:val="24"/>
          <w:highlight w:val="none"/>
          <w:lang w:val="en-US" w:eastAsia="zh-CN"/>
        </w:rPr>
        <w:t>首页或逐页加盖投标人公章。</w:t>
      </w:r>
    </w:p>
    <w:p w14:paraId="01F4963E">
      <w:pPr>
        <w:pageBreakBefore w:val="0"/>
        <w:widowControl w:val="0"/>
        <w:kinsoku/>
        <w:wordWrap/>
        <w:overflowPunct/>
        <w:topLinePunct w:val="0"/>
        <w:autoSpaceDE/>
        <w:autoSpaceDN/>
        <w:bidi w:val="0"/>
        <w:adjustRightInd/>
        <w:snapToGrid w:val="0"/>
        <w:spacing w:line="360" w:lineRule="auto"/>
        <w:ind w:firstLine="480"/>
        <w:textAlignment w:val="auto"/>
        <w:rPr>
          <w:rFonts w:ascii="华文中宋" w:hAnsi="华文中宋" w:eastAsia="华文中宋" w:cs="Times New Roman"/>
          <w:color w:val="auto"/>
          <w:sz w:val="24"/>
          <w:szCs w:val="24"/>
          <w:highlight w:val="none"/>
        </w:rPr>
      </w:pPr>
      <w:r>
        <w:rPr>
          <w:rFonts w:hint="eastAsia" w:ascii="华文中宋" w:hAnsi="华文中宋" w:eastAsia="华文中宋" w:cs="Times New Roman"/>
          <w:color w:val="auto"/>
          <w:sz w:val="24"/>
          <w:szCs w:val="24"/>
          <w:highlight w:val="none"/>
          <w:lang w:val="en-US" w:eastAsia="zh-CN"/>
        </w:rPr>
        <w:t>2.</w:t>
      </w:r>
      <w:r>
        <w:rPr>
          <w:rFonts w:hint="eastAsia" w:ascii="华文中宋" w:hAnsi="华文中宋" w:eastAsia="华文中宋" w:cs="Times New Roman"/>
          <w:color w:val="auto"/>
          <w:sz w:val="24"/>
          <w:szCs w:val="24"/>
          <w:highlight w:val="none"/>
        </w:rPr>
        <w:t>提供的原件扫描件不清晰、无法辨认或内容不符合规定，该项内容将视为无效。</w:t>
      </w:r>
    </w:p>
    <w:p w14:paraId="1F3EFB90">
      <w:pPr>
        <w:pageBreakBefore w:val="0"/>
        <w:widowControl w:val="0"/>
        <w:kinsoku/>
        <w:wordWrap/>
        <w:overflowPunct/>
        <w:topLinePunct w:val="0"/>
        <w:autoSpaceDE/>
        <w:autoSpaceDN/>
        <w:bidi w:val="0"/>
        <w:adjustRightInd/>
        <w:snapToGrid w:val="0"/>
        <w:spacing w:line="360" w:lineRule="auto"/>
        <w:textAlignment w:val="auto"/>
        <w:rPr>
          <w:rFonts w:ascii="华文中宋" w:hAnsi="华文中宋" w:eastAsia="华文中宋" w:cs="Times New Roman"/>
          <w:color w:val="auto"/>
          <w:sz w:val="24"/>
          <w:szCs w:val="24"/>
          <w:highlight w:val="none"/>
        </w:rPr>
      </w:pPr>
      <w:r>
        <w:rPr>
          <w:rFonts w:hint="eastAsia" w:ascii="华文中宋" w:hAnsi="华文中宋" w:eastAsia="华文中宋" w:cs="Times New Roman"/>
          <w:color w:val="auto"/>
          <w:sz w:val="24"/>
          <w:szCs w:val="24"/>
          <w:highlight w:val="none"/>
          <w:lang w:val="en-US" w:eastAsia="zh-CN"/>
        </w:rPr>
        <w:t xml:space="preserve">    3.</w:t>
      </w:r>
      <w:r>
        <w:rPr>
          <w:rFonts w:hint="eastAsia" w:ascii="华文中宋" w:hAnsi="华文中宋" w:eastAsia="华文中宋" w:cs="Times New Roman"/>
          <w:color w:val="auto"/>
          <w:sz w:val="24"/>
          <w:szCs w:val="24"/>
          <w:highlight w:val="none"/>
        </w:rPr>
        <w:t>资格审查的内容若有一项未提供或达不到检查标准，将导致其不具备投标资格，且不允许在开标后补正。投标人为国家机关、事业单位、团体组织或个人的，不提供资格证明文件中的第二、三、四项内容。</w:t>
      </w:r>
    </w:p>
    <w:p w14:paraId="61270EA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cs="Times New Roman"/>
          <w:color w:val="auto"/>
          <w:sz w:val="24"/>
          <w:szCs w:val="24"/>
          <w:highlight w:val="none"/>
        </w:rPr>
      </w:pPr>
      <w:r>
        <w:rPr>
          <w:rFonts w:hint="eastAsia" w:ascii="华文中宋" w:hAnsi="华文中宋" w:eastAsia="华文中宋" w:cs="Times New Roman"/>
          <w:color w:val="auto"/>
          <w:sz w:val="24"/>
          <w:szCs w:val="24"/>
          <w:highlight w:val="none"/>
          <w:lang w:val="en-US" w:eastAsia="zh-CN"/>
        </w:rPr>
        <w:t>4..</w:t>
      </w:r>
      <w:r>
        <w:rPr>
          <w:rFonts w:hint="eastAsia" w:ascii="华文中宋" w:hAnsi="华文中宋" w:eastAsia="华文中宋" w:cs="Times New Roman"/>
          <w:color w:val="auto"/>
          <w:sz w:val="24"/>
          <w:szCs w:val="24"/>
          <w:highlight w:val="none"/>
        </w:rPr>
        <w:t>依法免税或不需要缴纳社会保障金的投标人，应提供相应的文件证明，复印件或原件清晰、真实、有效。</w:t>
      </w:r>
    </w:p>
    <w:p w14:paraId="6299B8E9">
      <w:pPr>
        <w:spacing w:before="69" w:line="184" w:lineRule="auto"/>
        <w:outlineLvl w:val="9"/>
        <w:rPr>
          <w:rFonts w:hint="eastAsia" w:ascii="宋体" w:hAnsi="宋体"/>
          <w:b/>
        </w:rPr>
      </w:pPr>
    </w:p>
    <w:p w14:paraId="00C12F80">
      <w:pPr>
        <w:pStyle w:val="4"/>
        <w:pageBreakBefore/>
        <w:adjustRightInd/>
        <w:spacing w:before="0" w:after="0" w:line="360" w:lineRule="auto"/>
        <w:jc w:val="center"/>
        <w:textAlignment w:val="auto"/>
        <w:outlineLvl w:val="1"/>
        <w:rPr>
          <w:rFonts w:hint="eastAsia" w:ascii="宋体" w:hAnsi="宋体"/>
          <w:b/>
          <w:bCs w:val="0"/>
          <w:kern w:val="2"/>
          <w:sz w:val="28"/>
          <w:szCs w:val="32"/>
        </w:rPr>
      </w:pPr>
      <w:bookmarkStart w:id="240" w:name="_Toc12958"/>
      <w:bookmarkStart w:id="241" w:name="_Toc22913"/>
      <w:bookmarkStart w:id="242" w:name="_Toc28138"/>
      <w:bookmarkStart w:id="243" w:name="_Toc15082"/>
      <w:bookmarkStart w:id="244" w:name="_Toc26165"/>
      <w:bookmarkStart w:id="245" w:name="_Toc6558"/>
      <w:bookmarkStart w:id="246" w:name="_Toc387653057"/>
      <w:r>
        <w:rPr>
          <w:rFonts w:hint="eastAsia" w:ascii="宋体" w:hAnsi="宋体"/>
          <w:b/>
          <w:bCs w:val="0"/>
          <w:kern w:val="2"/>
          <w:sz w:val="28"/>
          <w:szCs w:val="32"/>
          <w:lang w:val="en-US" w:eastAsia="zh-CN"/>
        </w:rPr>
        <w:t>六</w:t>
      </w:r>
      <w:r>
        <w:rPr>
          <w:rFonts w:hint="eastAsia" w:ascii="宋体" w:hAnsi="宋体"/>
          <w:b/>
          <w:bCs w:val="0"/>
          <w:kern w:val="2"/>
          <w:sz w:val="28"/>
          <w:szCs w:val="32"/>
        </w:rPr>
        <w:t>、商务响应偏离表</w:t>
      </w:r>
      <w:bookmarkEnd w:id="240"/>
      <w:bookmarkEnd w:id="241"/>
      <w:bookmarkEnd w:id="242"/>
      <w:bookmarkEnd w:id="243"/>
      <w:bookmarkEnd w:id="244"/>
      <w:bookmarkEnd w:id="245"/>
    </w:p>
    <w:p w14:paraId="6BB4B44A">
      <w:pPr>
        <w:adjustRightInd w:val="0"/>
        <w:snapToGrid w:val="0"/>
        <w:rPr>
          <w:rFonts w:hint="eastAsia" w:ascii="宋体" w:hAnsi="宋体"/>
          <w:color w:val="000000"/>
          <w:szCs w:val="21"/>
        </w:rPr>
      </w:pPr>
    </w:p>
    <w:p w14:paraId="72459535">
      <w:pPr>
        <w:spacing w:line="460" w:lineRule="exact"/>
        <w:outlineLvl w:val="9"/>
        <w:rPr>
          <w:color w:val="auto"/>
          <w:sz w:val="24"/>
          <w:highlight w:val="none"/>
        </w:rPr>
      </w:pPr>
      <w:r>
        <w:rPr>
          <w:color w:val="auto"/>
          <w:sz w:val="24"/>
          <w:highlight w:val="none"/>
        </w:rPr>
        <w:t>项目名称：</w:t>
      </w:r>
      <w:r>
        <w:rPr>
          <w:color w:val="auto"/>
          <w:sz w:val="24"/>
          <w:highlight w:val="none"/>
          <w:u w:val="single"/>
        </w:rPr>
        <w:t xml:space="preserve">                    </w:t>
      </w:r>
    </w:p>
    <w:p w14:paraId="25D7839A">
      <w:pPr>
        <w:spacing w:line="460" w:lineRule="exact"/>
        <w:outlineLvl w:val="9"/>
        <w:rPr>
          <w:color w:val="auto"/>
          <w:sz w:val="24"/>
          <w:highlight w:val="none"/>
        </w:rPr>
      </w:pPr>
      <w:r>
        <w:rPr>
          <w:rFonts w:hint="eastAsia"/>
          <w:color w:val="auto"/>
          <w:sz w:val="24"/>
          <w:highlight w:val="none"/>
          <w:lang w:eastAsia="zh-CN"/>
        </w:rPr>
        <w:t>招标文件</w:t>
      </w:r>
      <w:r>
        <w:rPr>
          <w:color w:val="auto"/>
          <w:sz w:val="24"/>
          <w:highlight w:val="none"/>
        </w:rPr>
        <w:t>编号：</w:t>
      </w:r>
      <w:r>
        <w:rPr>
          <w:color w:val="auto"/>
          <w:sz w:val="24"/>
          <w:highlight w:val="none"/>
          <w:u w:val="single"/>
        </w:rPr>
        <w:t xml:space="preserve">                    </w:t>
      </w:r>
    </w:p>
    <w:p w14:paraId="6F1F96D0">
      <w:pPr>
        <w:spacing w:line="460" w:lineRule="exact"/>
        <w:outlineLvl w:val="9"/>
        <w:rPr>
          <w:color w:val="auto"/>
          <w:sz w:val="24"/>
          <w:highlight w:val="none"/>
          <w:u w:val="single"/>
        </w:rPr>
      </w:pPr>
      <w:r>
        <w:rPr>
          <w:color w:val="auto"/>
          <w:sz w:val="24"/>
          <w:highlight w:val="none"/>
        </w:rPr>
        <w:t>包</w:t>
      </w:r>
      <w:r>
        <w:rPr>
          <w:rFonts w:hint="eastAsia"/>
          <w:color w:val="auto"/>
          <w:sz w:val="24"/>
          <w:highlight w:val="none"/>
          <w:lang w:val="en-US" w:eastAsia="zh-CN"/>
        </w:rPr>
        <w:t xml:space="preserve">  </w:t>
      </w:r>
      <w:r>
        <w:rPr>
          <w:color w:val="auto"/>
          <w:sz w:val="24"/>
          <w:highlight w:val="none"/>
        </w:rPr>
        <w:t>号：</w:t>
      </w:r>
      <w:r>
        <w:rPr>
          <w:color w:val="auto"/>
          <w:sz w:val="24"/>
          <w:highlight w:val="none"/>
          <w:u w:val="single"/>
        </w:rPr>
        <w:t xml:space="preserve">  </w:t>
      </w:r>
      <w:r>
        <w:rPr>
          <w:rFonts w:hint="eastAsia"/>
          <w:color w:val="auto"/>
          <w:sz w:val="24"/>
          <w:highlight w:val="none"/>
          <w:u w:val="single"/>
          <w:lang w:val="en-US" w:eastAsia="zh-CN"/>
        </w:rPr>
        <w:t>/</w:t>
      </w:r>
      <w:r>
        <w:rPr>
          <w:color w:val="auto"/>
          <w:sz w:val="24"/>
          <w:highlight w:val="none"/>
          <w:u w:val="single"/>
        </w:rPr>
        <w:t xml:space="preserve">   </w:t>
      </w:r>
    </w:p>
    <w:tbl>
      <w:tblPr>
        <w:tblStyle w:val="4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00"/>
        <w:gridCol w:w="2680"/>
        <w:gridCol w:w="1979"/>
        <w:gridCol w:w="1241"/>
      </w:tblGrid>
      <w:tr w14:paraId="49A4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EA4C558">
            <w:pPr>
              <w:widowControl/>
              <w:snapToGrid w:val="0"/>
              <w:jc w:val="center"/>
              <w:outlineLvl w:val="9"/>
              <w:rPr>
                <w:color w:val="auto"/>
                <w:kern w:val="0"/>
                <w:sz w:val="24"/>
                <w:szCs w:val="21"/>
                <w:highlight w:val="none"/>
              </w:rPr>
            </w:pPr>
            <w:r>
              <w:rPr>
                <w:color w:val="auto"/>
                <w:kern w:val="0"/>
                <w:sz w:val="24"/>
                <w:szCs w:val="21"/>
                <w:highlight w:val="none"/>
              </w:rPr>
              <w:t>序号</w:t>
            </w:r>
          </w:p>
        </w:tc>
        <w:tc>
          <w:tcPr>
            <w:tcW w:w="2500" w:type="dxa"/>
            <w:noWrap w:val="0"/>
            <w:vAlign w:val="center"/>
          </w:tcPr>
          <w:p w14:paraId="5D175EF0">
            <w:pPr>
              <w:widowControl/>
              <w:snapToGrid w:val="0"/>
              <w:jc w:val="center"/>
              <w:outlineLvl w:val="9"/>
              <w:rPr>
                <w:color w:val="auto"/>
                <w:kern w:val="0"/>
                <w:sz w:val="24"/>
                <w:szCs w:val="21"/>
                <w:highlight w:val="none"/>
              </w:rPr>
            </w:pPr>
            <w:r>
              <w:rPr>
                <w:color w:val="auto"/>
                <w:kern w:val="0"/>
                <w:sz w:val="24"/>
                <w:szCs w:val="21"/>
                <w:highlight w:val="none"/>
              </w:rPr>
              <w:t>招标要求</w:t>
            </w:r>
          </w:p>
        </w:tc>
        <w:tc>
          <w:tcPr>
            <w:tcW w:w="2680" w:type="dxa"/>
            <w:noWrap w:val="0"/>
            <w:vAlign w:val="center"/>
          </w:tcPr>
          <w:p w14:paraId="56A8098C">
            <w:pPr>
              <w:widowControl/>
              <w:snapToGrid w:val="0"/>
              <w:jc w:val="center"/>
              <w:outlineLvl w:val="9"/>
              <w:rPr>
                <w:color w:val="auto"/>
                <w:kern w:val="0"/>
                <w:sz w:val="24"/>
                <w:szCs w:val="21"/>
                <w:highlight w:val="none"/>
              </w:rPr>
            </w:pPr>
            <w:r>
              <w:rPr>
                <w:color w:val="auto"/>
                <w:kern w:val="0"/>
                <w:sz w:val="24"/>
                <w:szCs w:val="21"/>
                <w:highlight w:val="none"/>
              </w:rPr>
              <w:t>投标应答</w:t>
            </w:r>
          </w:p>
        </w:tc>
        <w:tc>
          <w:tcPr>
            <w:tcW w:w="1979" w:type="dxa"/>
            <w:noWrap w:val="0"/>
            <w:vAlign w:val="center"/>
          </w:tcPr>
          <w:p w14:paraId="524C0F53">
            <w:pPr>
              <w:widowControl/>
              <w:snapToGrid w:val="0"/>
              <w:jc w:val="center"/>
              <w:outlineLvl w:val="9"/>
              <w:rPr>
                <w:color w:val="auto"/>
                <w:kern w:val="0"/>
                <w:sz w:val="24"/>
                <w:szCs w:val="21"/>
                <w:highlight w:val="none"/>
              </w:rPr>
            </w:pPr>
            <w:r>
              <w:rPr>
                <w:color w:val="auto"/>
                <w:kern w:val="0"/>
                <w:sz w:val="24"/>
                <w:szCs w:val="21"/>
                <w:highlight w:val="none"/>
              </w:rPr>
              <w:t>偏离说明</w:t>
            </w:r>
          </w:p>
        </w:tc>
        <w:tc>
          <w:tcPr>
            <w:tcW w:w="1241" w:type="dxa"/>
            <w:noWrap w:val="0"/>
            <w:vAlign w:val="center"/>
          </w:tcPr>
          <w:p w14:paraId="05745C16">
            <w:pPr>
              <w:widowControl/>
              <w:snapToGrid w:val="0"/>
              <w:jc w:val="center"/>
              <w:outlineLvl w:val="9"/>
              <w:rPr>
                <w:color w:val="auto"/>
                <w:kern w:val="0"/>
                <w:sz w:val="24"/>
                <w:szCs w:val="21"/>
                <w:highlight w:val="none"/>
              </w:rPr>
            </w:pPr>
            <w:r>
              <w:rPr>
                <w:color w:val="auto"/>
                <w:kern w:val="0"/>
                <w:sz w:val="24"/>
                <w:szCs w:val="21"/>
                <w:highlight w:val="none"/>
              </w:rPr>
              <w:t>备注</w:t>
            </w:r>
          </w:p>
        </w:tc>
      </w:tr>
      <w:tr w14:paraId="768A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672B2699">
            <w:pPr>
              <w:widowControl/>
              <w:snapToGrid w:val="0"/>
              <w:jc w:val="left"/>
              <w:outlineLvl w:val="9"/>
              <w:rPr>
                <w:color w:val="auto"/>
                <w:kern w:val="0"/>
                <w:sz w:val="24"/>
                <w:szCs w:val="21"/>
                <w:highlight w:val="none"/>
              </w:rPr>
            </w:pPr>
            <w:r>
              <w:rPr>
                <w:color w:val="auto"/>
                <w:kern w:val="0"/>
                <w:sz w:val="24"/>
                <w:szCs w:val="21"/>
                <w:highlight w:val="none"/>
              </w:rPr>
              <w:t>（</w:t>
            </w:r>
            <w:r>
              <w:rPr>
                <w:rFonts w:hint="eastAsia"/>
                <w:color w:val="auto"/>
                <w:kern w:val="0"/>
                <w:sz w:val="24"/>
                <w:szCs w:val="21"/>
                <w:highlight w:val="none"/>
              </w:rPr>
              <w:t>一</w:t>
            </w:r>
            <w:r>
              <w:rPr>
                <w:color w:val="auto"/>
                <w:kern w:val="0"/>
                <w:sz w:val="24"/>
                <w:szCs w:val="21"/>
                <w:highlight w:val="none"/>
              </w:rPr>
              <w:t>）报价要求</w:t>
            </w:r>
          </w:p>
        </w:tc>
      </w:tr>
      <w:tr w14:paraId="0AD8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C4C4206">
            <w:pPr>
              <w:widowControl/>
              <w:snapToGrid w:val="0"/>
              <w:jc w:val="center"/>
              <w:outlineLvl w:val="9"/>
              <w:rPr>
                <w:color w:val="auto"/>
                <w:kern w:val="0"/>
                <w:sz w:val="24"/>
                <w:szCs w:val="21"/>
                <w:highlight w:val="none"/>
              </w:rPr>
            </w:pPr>
          </w:p>
        </w:tc>
        <w:tc>
          <w:tcPr>
            <w:tcW w:w="2500" w:type="dxa"/>
            <w:noWrap w:val="0"/>
            <w:vAlign w:val="center"/>
          </w:tcPr>
          <w:p w14:paraId="71EA86BC">
            <w:pPr>
              <w:widowControl/>
              <w:snapToGrid w:val="0"/>
              <w:jc w:val="left"/>
              <w:outlineLvl w:val="9"/>
              <w:rPr>
                <w:color w:val="auto"/>
                <w:kern w:val="0"/>
                <w:sz w:val="24"/>
                <w:szCs w:val="21"/>
                <w:highlight w:val="none"/>
              </w:rPr>
            </w:pPr>
          </w:p>
        </w:tc>
        <w:tc>
          <w:tcPr>
            <w:tcW w:w="2680" w:type="dxa"/>
            <w:noWrap w:val="0"/>
            <w:vAlign w:val="center"/>
          </w:tcPr>
          <w:p w14:paraId="7ACC031F">
            <w:pPr>
              <w:widowControl/>
              <w:snapToGrid w:val="0"/>
              <w:jc w:val="left"/>
              <w:outlineLvl w:val="9"/>
              <w:rPr>
                <w:color w:val="auto"/>
                <w:kern w:val="0"/>
                <w:sz w:val="24"/>
                <w:szCs w:val="21"/>
                <w:highlight w:val="none"/>
              </w:rPr>
            </w:pPr>
          </w:p>
        </w:tc>
        <w:tc>
          <w:tcPr>
            <w:tcW w:w="1979" w:type="dxa"/>
            <w:noWrap w:val="0"/>
            <w:vAlign w:val="center"/>
          </w:tcPr>
          <w:p w14:paraId="50B74192">
            <w:pPr>
              <w:widowControl/>
              <w:snapToGrid w:val="0"/>
              <w:jc w:val="left"/>
              <w:outlineLvl w:val="9"/>
              <w:rPr>
                <w:color w:val="auto"/>
                <w:kern w:val="0"/>
                <w:sz w:val="24"/>
                <w:szCs w:val="21"/>
                <w:highlight w:val="none"/>
              </w:rPr>
            </w:pPr>
          </w:p>
        </w:tc>
        <w:tc>
          <w:tcPr>
            <w:tcW w:w="1241" w:type="dxa"/>
            <w:noWrap w:val="0"/>
            <w:vAlign w:val="center"/>
          </w:tcPr>
          <w:p w14:paraId="7BDF02FE">
            <w:pPr>
              <w:widowControl/>
              <w:snapToGrid w:val="0"/>
              <w:jc w:val="left"/>
              <w:outlineLvl w:val="9"/>
              <w:rPr>
                <w:color w:val="auto"/>
                <w:kern w:val="0"/>
                <w:sz w:val="24"/>
                <w:szCs w:val="21"/>
                <w:highlight w:val="none"/>
              </w:rPr>
            </w:pPr>
          </w:p>
        </w:tc>
      </w:tr>
      <w:tr w14:paraId="375D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485E0184">
            <w:pPr>
              <w:widowControl/>
              <w:snapToGrid w:val="0"/>
              <w:jc w:val="left"/>
              <w:outlineLvl w:val="9"/>
              <w:rPr>
                <w:color w:val="auto"/>
                <w:kern w:val="0"/>
                <w:sz w:val="24"/>
                <w:szCs w:val="21"/>
                <w:highlight w:val="none"/>
              </w:rPr>
            </w:pPr>
            <w:r>
              <w:rPr>
                <w:rFonts w:hint="eastAsia"/>
                <w:color w:val="auto"/>
                <w:kern w:val="0"/>
                <w:sz w:val="24"/>
                <w:szCs w:val="21"/>
                <w:highlight w:val="none"/>
              </w:rPr>
              <w:t>（二）服务要求</w:t>
            </w:r>
          </w:p>
        </w:tc>
      </w:tr>
      <w:tr w14:paraId="028E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BE1E27A">
            <w:pPr>
              <w:widowControl/>
              <w:snapToGrid w:val="0"/>
              <w:jc w:val="center"/>
              <w:outlineLvl w:val="9"/>
              <w:rPr>
                <w:color w:val="auto"/>
                <w:kern w:val="0"/>
                <w:sz w:val="24"/>
                <w:szCs w:val="21"/>
                <w:highlight w:val="none"/>
              </w:rPr>
            </w:pPr>
          </w:p>
        </w:tc>
        <w:tc>
          <w:tcPr>
            <w:tcW w:w="2500" w:type="dxa"/>
            <w:noWrap w:val="0"/>
            <w:vAlign w:val="center"/>
          </w:tcPr>
          <w:p w14:paraId="66B0AA41">
            <w:pPr>
              <w:widowControl/>
              <w:snapToGrid w:val="0"/>
              <w:jc w:val="left"/>
              <w:outlineLvl w:val="9"/>
              <w:rPr>
                <w:color w:val="auto"/>
                <w:kern w:val="0"/>
                <w:sz w:val="24"/>
                <w:szCs w:val="21"/>
                <w:highlight w:val="none"/>
              </w:rPr>
            </w:pPr>
          </w:p>
        </w:tc>
        <w:tc>
          <w:tcPr>
            <w:tcW w:w="2680" w:type="dxa"/>
            <w:noWrap w:val="0"/>
            <w:vAlign w:val="center"/>
          </w:tcPr>
          <w:p w14:paraId="1B9F4462">
            <w:pPr>
              <w:widowControl/>
              <w:snapToGrid w:val="0"/>
              <w:jc w:val="left"/>
              <w:outlineLvl w:val="9"/>
              <w:rPr>
                <w:color w:val="auto"/>
                <w:kern w:val="0"/>
                <w:sz w:val="24"/>
                <w:szCs w:val="21"/>
                <w:highlight w:val="none"/>
              </w:rPr>
            </w:pPr>
          </w:p>
        </w:tc>
        <w:tc>
          <w:tcPr>
            <w:tcW w:w="1979" w:type="dxa"/>
            <w:noWrap w:val="0"/>
            <w:vAlign w:val="center"/>
          </w:tcPr>
          <w:p w14:paraId="6BAF03AF">
            <w:pPr>
              <w:widowControl/>
              <w:snapToGrid w:val="0"/>
              <w:jc w:val="left"/>
              <w:outlineLvl w:val="9"/>
              <w:rPr>
                <w:color w:val="auto"/>
                <w:kern w:val="0"/>
                <w:sz w:val="24"/>
                <w:szCs w:val="21"/>
                <w:highlight w:val="none"/>
              </w:rPr>
            </w:pPr>
          </w:p>
        </w:tc>
        <w:tc>
          <w:tcPr>
            <w:tcW w:w="1241" w:type="dxa"/>
            <w:noWrap w:val="0"/>
            <w:vAlign w:val="center"/>
          </w:tcPr>
          <w:p w14:paraId="29598039">
            <w:pPr>
              <w:widowControl/>
              <w:snapToGrid w:val="0"/>
              <w:jc w:val="left"/>
              <w:outlineLvl w:val="9"/>
              <w:rPr>
                <w:color w:val="auto"/>
                <w:kern w:val="0"/>
                <w:sz w:val="24"/>
                <w:szCs w:val="21"/>
                <w:highlight w:val="none"/>
              </w:rPr>
            </w:pPr>
          </w:p>
        </w:tc>
      </w:tr>
      <w:tr w14:paraId="7A71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noWrap w:val="0"/>
            <w:vAlign w:val="center"/>
          </w:tcPr>
          <w:p w14:paraId="0E4B54DA">
            <w:pPr>
              <w:widowControl/>
              <w:snapToGrid w:val="0"/>
              <w:jc w:val="left"/>
              <w:outlineLvl w:val="9"/>
              <w:rPr>
                <w:color w:val="auto"/>
                <w:kern w:val="0"/>
                <w:sz w:val="24"/>
                <w:szCs w:val="21"/>
                <w:highlight w:val="none"/>
              </w:rPr>
            </w:pPr>
            <w:r>
              <w:rPr>
                <w:color w:val="auto"/>
                <w:kern w:val="0"/>
                <w:sz w:val="24"/>
                <w:szCs w:val="21"/>
                <w:highlight w:val="none"/>
              </w:rPr>
              <w:t>（</w:t>
            </w:r>
            <w:r>
              <w:rPr>
                <w:rFonts w:hint="eastAsia"/>
                <w:color w:val="auto"/>
                <w:kern w:val="0"/>
                <w:sz w:val="24"/>
                <w:szCs w:val="21"/>
                <w:highlight w:val="none"/>
                <w:lang w:eastAsia="zh-CN"/>
              </w:rPr>
              <w:t>三</w:t>
            </w:r>
            <w:r>
              <w:rPr>
                <w:color w:val="auto"/>
                <w:kern w:val="0"/>
                <w:sz w:val="24"/>
                <w:szCs w:val="21"/>
                <w:highlight w:val="none"/>
              </w:rPr>
              <w:t>）付款方式</w:t>
            </w:r>
          </w:p>
        </w:tc>
      </w:tr>
      <w:tr w14:paraId="3BD7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D2D3FE8">
            <w:pPr>
              <w:widowControl/>
              <w:snapToGrid w:val="0"/>
              <w:jc w:val="center"/>
              <w:outlineLvl w:val="9"/>
              <w:rPr>
                <w:color w:val="auto"/>
                <w:kern w:val="0"/>
                <w:sz w:val="24"/>
                <w:szCs w:val="21"/>
                <w:highlight w:val="none"/>
              </w:rPr>
            </w:pPr>
          </w:p>
        </w:tc>
        <w:tc>
          <w:tcPr>
            <w:tcW w:w="2500" w:type="dxa"/>
            <w:noWrap w:val="0"/>
            <w:vAlign w:val="center"/>
          </w:tcPr>
          <w:p w14:paraId="73FFB2D5">
            <w:pPr>
              <w:widowControl/>
              <w:snapToGrid w:val="0"/>
              <w:jc w:val="left"/>
              <w:outlineLvl w:val="9"/>
              <w:rPr>
                <w:color w:val="auto"/>
                <w:kern w:val="0"/>
                <w:sz w:val="24"/>
                <w:szCs w:val="21"/>
                <w:highlight w:val="none"/>
              </w:rPr>
            </w:pPr>
          </w:p>
        </w:tc>
        <w:tc>
          <w:tcPr>
            <w:tcW w:w="2680" w:type="dxa"/>
            <w:noWrap w:val="0"/>
            <w:vAlign w:val="center"/>
          </w:tcPr>
          <w:p w14:paraId="2064D108">
            <w:pPr>
              <w:widowControl/>
              <w:snapToGrid w:val="0"/>
              <w:jc w:val="left"/>
              <w:outlineLvl w:val="9"/>
              <w:rPr>
                <w:color w:val="auto"/>
                <w:kern w:val="0"/>
                <w:sz w:val="24"/>
                <w:szCs w:val="21"/>
                <w:highlight w:val="none"/>
              </w:rPr>
            </w:pPr>
          </w:p>
        </w:tc>
        <w:tc>
          <w:tcPr>
            <w:tcW w:w="1979" w:type="dxa"/>
            <w:noWrap w:val="0"/>
            <w:vAlign w:val="center"/>
          </w:tcPr>
          <w:p w14:paraId="131F3F6A">
            <w:pPr>
              <w:widowControl/>
              <w:snapToGrid w:val="0"/>
              <w:jc w:val="left"/>
              <w:outlineLvl w:val="9"/>
              <w:rPr>
                <w:color w:val="auto"/>
                <w:kern w:val="0"/>
                <w:sz w:val="24"/>
                <w:szCs w:val="21"/>
                <w:highlight w:val="none"/>
              </w:rPr>
            </w:pPr>
          </w:p>
        </w:tc>
        <w:tc>
          <w:tcPr>
            <w:tcW w:w="1241" w:type="dxa"/>
            <w:noWrap w:val="0"/>
            <w:vAlign w:val="center"/>
          </w:tcPr>
          <w:p w14:paraId="5DD3686F">
            <w:pPr>
              <w:widowControl/>
              <w:snapToGrid w:val="0"/>
              <w:jc w:val="left"/>
              <w:outlineLvl w:val="9"/>
              <w:rPr>
                <w:color w:val="auto"/>
                <w:kern w:val="0"/>
                <w:sz w:val="24"/>
                <w:szCs w:val="21"/>
                <w:highlight w:val="none"/>
              </w:rPr>
            </w:pPr>
          </w:p>
        </w:tc>
      </w:tr>
      <w:tr w14:paraId="726C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5"/>
            <w:noWrap w:val="0"/>
            <w:vAlign w:val="center"/>
          </w:tcPr>
          <w:p w14:paraId="5C87039D">
            <w:pPr>
              <w:widowControl/>
              <w:snapToGrid w:val="0"/>
              <w:jc w:val="left"/>
              <w:outlineLvl w:val="9"/>
              <w:rPr>
                <w:color w:val="auto"/>
                <w:kern w:val="0"/>
                <w:sz w:val="24"/>
                <w:szCs w:val="21"/>
                <w:highlight w:val="none"/>
              </w:rPr>
            </w:pPr>
            <w:r>
              <w:rPr>
                <w:color w:val="auto"/>
                <w:kern w:val="0"/>
                <w:sz w:val="24"/>
                <w:szCs w:val="21"/>
                <w:highlight w:val="none"/>
              </w:rPr>
              <w:t>（</w:t>
            </w:r>
            <w:r>
              <w:rPr>
                <w:rFonts w:hint="eastAsia"/>
                <w:color w:val="auto"/>
                <w:kern w:val="0"/>
                <w:sz w:val="24"/>
                <w:szCs w:val="21"/>
                <w:highlight w:val="none"/>
                <w:lang w:eastAsia="zh-CN"/>
              </w:rPr>
              <w:t>四</w:t>
            </w:r>
            <w:r>
              <w:rPr>
                <w:color w:val="auto"/>
                <w:kern w:val="0"/>
                <w:sz w:val="24"/>
                <w:szCs w:val="21"/>
                <w:highlight w:val="none"/>
              </w:rPr>
              <w:t>）履约保证金</w:t>
            </w:r>
          </w:p>
        </w:tc>
      </w:tr>
      <w:tr w14:paraId="58C4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B30F334">
            <w:pPr>
              <w:widowControl/>
              <w:snapToGrid w:val="0"/>
              <w:jc w:val="center"/>
              <w:outlineLvl w:val="9"/>
              <w:rPr>
                <w:color w:val="auto"/>
                <w:kern w:val="0"/>
                <w:sz w:val="24"/>
                <w:szCs w:val="21"/>
                <w:highlight w:val="none"/>
              </w:rPr>
            </w:pPr>
          </w:p>
        </w:tc>
        <w:tc>
          <w:tcPr>
            <w:tcW w:w="2500" w:type="dxa"/>
            <w:noWrap w:val="0"/>
            <w:vAlign w:val="center"/>
          </w:tcPr>
          <w:p w14:paraId="018E743D">
            <w:pPr>
              <w:widowControl/>
              <w:snapToGrid w:val="0"/>
              <w:jc w:val="left"/>
              <w:outlineLvl w:val="9"/>
              <w:rPr>
                <w:color w:val="auto"/>
                <w:kern w:val="0"/>
                <w:sz w:val="24"/>
                <w:szCs w:val="21"/>
                <w:highlight w:val="none"/>
              </w:rPr>
            </w:pPr>
          </w:p>
        </w:tc>
        <w:tc>
          <w:tcPr>
            <w:tcW w:w="2680" w:type="dxa"/>
            <w:noWrap w:val="0"/>
            <w:vAlign w:val="center"/>
          </w:tcPr>
          <w:p w14:paraId="45D09403">
            <w:pPr>
              <w:widowControl/>
              <w:snapToGrid w:val="0"/>
              <w:jc w:val="left"/>
              <w:outlineLvl w:val="9"/>
              <w:rPr>
                <w:color w:val="auto"/>
                <w:kern w:val="0"/>
                <w:sz w:val="24"/>
                <w:szCs w:val="21"/>
                <w:highlight w:val="none"/>
              </w:rPr>
            </w:pPr>
          </w:p>
        </w:tc>
        <w:tc>
          <w:tcPr>
            <w:tcW w:w="1979" w:type="dxa"/>
            <w:noWrap w:val="0"/>
            <w:vAlign w:val="center"/>
          </w:tcPr>
          <w:p w14:paraId="0EC41206">
            <w:pPr>
              <w:widowControl/>
              <w:snapToGrid w:val="0"/>
              <w:jc w:val="left"/>
              <w:outlineLvl w:val="9"/>
              <w:rPr>
                <w:color w:val="auto"/>
                <w:kern w:val="0"/>
                <w:sz w:val="24"/>
                <w:szCs w:val="21"/>
                <w:highlight w:val="none"/>
              </w:rPr>
            </w:pPr>
          </w:p>
        </w:tc>
        <w:tc>
          <w:tcPr>
            <w:tcW w:w="1241" w:type="dxa"/>
            <w:noWrap w:val="0"/>
            <w:vAlign w:val="center"/>
          </w:tcPr>
          <w:p w14:paraId="6838B4FC">
            <w:pPr>
              <w:widowControl/>
              <w:snapToGrid w:val="0"/>
              <w:jc w:val="left"/>
              <w:outlineLvl w:val="9"/>
              <w:rPr>
                <w:color w:val="auto"/>
                <w:kern w:val="0"/>
                <w:sz w:val="24"/>
                <w:szCs w:val="21"/>
                <w:highlight w:val="none"/>
              </w:rPr>
            </w:pPr>
          </w:p>
        </w:tc>
      </w:tr>
      <w:tr w14:paraId="5AB2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480" w:type="dxa"/>
            <w:gridSpan w:val="5"/>
            <w:noWrap w:val="0"/>
            <w:vAlign w:val="center"/>
          </w:tcPr>
          <w:p w14:paraId="58FA95BE">
            <w:pPr>
              <w:widowControl/>
              <w:snapToGrid w:val="0"/>
              <w:jc w:val="left"/>
              <w:outlineLvl w:val="9"/>
              <w:rPr>
                <w:color w:val="auto"/>
                <w:kern w:val="0"/>
                <w:sz w:val="24"/>
                <w:szCs w:val="21"/>
                <w:highlight w:val="none"/>
              </w:rPr>
            </w:pPr>
            <w:r>
              <w:rPr>
                <w:rFonts w:hint="eastAsia"/>
                <w:color w:val="auto"/>
                <w:kern w:val="0"/>
                <w:sz w:val="24"/>
                <w:szCs w:val="21"/>
                <w:highlight w:val="none"/>
              </w:rPr>
              <w:t>（</w:t>
            </w:r>
            <w:r>
              <w:rPr>
                <w:rFonts w:hint="eastAsia"/>
                <w:color w:val="auto"/>
                <w:kern w:val="0"/>
                <w:sz w:val="24"/>
                <w:szCs w:val="21"/>
                <w:highlight w:val="none"/>
                <w:lang w:eastAsia="zh-CN"/>
              </w:rPr>
              <w:t>五</w:t>
            </w:r>
            <w:r>
              <w:rPr>
                <w:rFonts w:hint="eastAsia"/>
                <w:color w:val="auto"/>
                <w:kern w:val="0"/>
                <w:sz w:val="24"/>
                <w:szCs w:val="21"/>
                <w:highlight w:val="none"/>
              </w:rPr>
              <w:t>）</w:t>
            </w:r>
            <w:r>
              <w:rPr>
                <w:rFonts w:hint="eastAsia"/>
                <w:color w:val="auto"/>
                <w:kern w:val="0"/>
                <w:sz w:val="24"/>
                <w:szCs w:val="21"/>
                <w:highlight w:val="none"/>
                <w:lang w:eastAsia="zh-CN"/>
              </w:rPr>
              <w:t>其它要求</w:t>
            </w:r>
          </w:p>
        </w:tc>
      </w:tr>
      <w:tr w14:paraId="44E6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F681BFE">
            <w:pPr>
              <w:widowControl/>
              <w:snapToGrid w:val="0"/>
              <w:jc w:val="center"/>
              <w:outlineLvl w:val="9"/>
              <w:rPr>
                <w:color w:val="auto"/>
                <w:kern w:val="0"/>
                <w:sz w:val="24"/>
                <w:szCs w:val="21"/>
                <w:highlight w:val="none"/>
              </w:rPr>
            </w:pPr>
          </w:p>
        </w:tc>
        <w:tc>
          <w:tcPr>
            <w:tcW w:w="2500" w:type="dxa"/>
            <w:noWrap w:val="0"/>
            <w:vAlign w:val="center"/>
          </w:tcPr>
          <w:p w14:paraId="797885C7">
            <w:pPr>
              <w:widowControl/>
              <w:snapToGrid w:val="0"/>
              <w:jc w:val="left"/>
              <w:outlineLvl w:val="9"/>
              <w:rPr>
                <w:color w:val="auto"/>
                <w:kern w:val="0"/>
                <w:sz w:val="24"/>
                <w:szCs w:val="21"/>
                <w:highlight w:val="none"/>
              </w:rPr>
            </w:pPr>
          </w:p>
        </w:tc>
        <w:tc>
          <w:tcPr>
            <w:tcW w:w="2680" w:type="dxa"/>
            <w:noWrap w:val="0"/>
            <w:vAlign w:val="center"/>
          </w:tcPr>
          <w:p w14:paraId="3C4B2309">
            <w:pPr>
              <w:widowControl/>
              <w:snapToGrid w:val="0"/>
              <w:jc w:val="left"/>
              <w:outlineLvl w:val="9"/>
              <w:rPr>
                <w:color w:val="auto"/>
                <w:kern w:val="0"/>
                <w:sz w:val="24"/>
                <w:szCs w:val="21"/>
                <w:highlight w:val="none"/>
              </w:rPr>
            </w:pPr>
          </w:p>
        </w:tc>
        <w:tc>
          <w:tcPr>
            <w:tcW w:w="1979" w:type="dxa"/>
            <w:noWrap w:val="0"/>
            <w:vAlign w:val="center"/>
          </w:tcPr>
          <w:p w14:paraId="4CF3E860">
            <w:pPr>
              <w:widowControl/>
              <w:snapToGrid w:val="0"/>
              <w:jc w:val="left"/>
              <w:outlineLvl w:val="9"/>
              <w:rPr>
                <w:color w:val="auto"/>
                <w:kern w:val="0"/>
                <w:sz w:val="24"/>
                <w:szCs w:val="21"/>
                <w:highlight w:val="none"/>
              </w:rPr>
            </w:pPr>
          </w:p>
        </w:tc>
        <w:tc>
          <w:tcPr>
            <w:tcW w:w="1241" w:type="dxa"/>
            <w:noWrap w:val="0"/>
            <w:vAlign w:val="center"/>
          </w:tcPr>
          <w:p w14:paraId="1C9E2389">
            <w:pPr>
              <w:widowControl/>
              <w:snapToGrid w:val="0"/>
              <w:jc w:val="left"/>
              <w:outlineLvl w:val="9"/>
              <w:rPr>
                <w:color w:val="auto"/>
                <w:kern w:val="0"/>
                <w:sz w:val="24"/>
                <w:szCs w:val="21"/>
                <w:highlight w:val="none"/>
              </w:rPr>
            </w:pPr>
          </w:p>
        </w:tc>
      </w:tr>
    </w:tbl>
    <w:p w14:paraId="293F3AB4">
      <w:pPr>
        <w:keepNext w:val="0"/>
        <w:keepLines w:val="0"/>
        <w:pageBreakBefore w:val="0"/>
        <w:widowControl w:val="0"/>
        <w:kinsoku/>
        <w:wordWrap/>
        <w:overflowPunct/>
        <w:topLinePunct w:val="0"/>
        <w:autoSpaceDE/>
        <w:autoSpaceDN/>
        <w:bidi w:val="0"/>
        <w:adjustRightInd/>
        <w:spacing w:line="360" w:lineRule="auto"/>
        <w:textAlignment w:val="auto"/>
        <w:outlineLvl w:val="9"/>
        <w:rPr>
          <w:color w:val="auto"/>
          <w:sz w:val="24"/>
          <w:highlight w:val="none"/>
        </w:rPr>
      </w:pPr>
      <w:r>
        <w:rPr>
          <w:color w:val="auto"/>
          <w:sz w:val="24"/>
          <w:highlight w:val="none"/>
        </w:rPr>
        <w:t>注：</w:t>
      </w:r>
      <w:r>
        <w:rPr>
          <w:rFonts w:hint="eastAsia"/>
          <w:color w:val="auto"/>
          <w:sz w:val="24"/>
          <w:highlight w:val="none"/>
          <w:lang w:val="en-US" w:eastAsia="zh-CN"/>
        </w:rPr>
        <w:t>1.</w:t>
      </w:r>
      <w:r>
        <w:rPr>
          <w:rFonts w:hint="eastAsia"/>
          <w:color w:val="auto"/>
          <w:sz w:val="24"/>
          <w:highlight w:val="none"/>
          <w:lang w:eastAsia="zh-CN"/>
        </w:rPr>
        <w:t>不提供此表视为无效投标。</w:t>
      </w:r>
    </w:p>
    <w:p w14:paraId="47ECED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2.</w:t>
      </w:r>
      <w:r>
        <w:rPr>
          <w:color w:val="auto"/>
          <w:sz w:val="24"/>
          <w:highlight w:val="none"/>
        </w:rPr>
        <w:t>不如实填写偏离情况的视为虚假材料。</w:t>
      </w:r>
    </w:p>
    <w:p w14:paraId="3C3202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3.</w:t>
      </w:r>
      <w:r>
        <w:rPr>
          <w:rFonts w:hint="eastAsia"/>
          <w:color w:val="auto"/>
          <w:sz w:val="24"/>
          <w:highlight w:val="none"/>
        </w:rPr>
        <w:t>条款号指项目需求书中的序号或者编号，项目需求书中标注“</w:t>
      </w:r>
      <w:r>
        <w:rPr>
          <w:rFonts w:hint="eastAsia" w:hAnsi="宋体" w:cs="宋体"/>
          <w:color w:val="auto"/>
          <w:sz w:val="24"/>
          <w:szCs w:val="24"/>
          <w:highlight w:val="none"/>
        </w:rPr>
        <w:t>●</w:t>
      </w:r>
      <w:r>
        <w:rPr>
          <w:rFonts w:hint="eastAsia"/>
          <w:color w:val="auto"/>
          <w:sz w:val="24"/>
          <w:highlight w:val="none"/>
        </w:rPr>
        <w:t>”的条款， 也必须在“条款号”中标注“</w:t>
      </w:r>
      <w:r>
        <w:rPr>
          <w:rFonts w:hint="eastAsia" w:hAnsi="宋体" w:cs="宋体"/>
          <w:color w:val="auto"/>
          <w:sz w:val="24"/>
          <w:szCs w:val="24"/>
          <w:highlight w:val="none"/>
        </w:rPr>
        <w:t>●</w:t>
      </w:r>
      <w:r>
        <w:rPr>
          <w:rFonts w:hint="eastAsia"/>
          <w:color w:val="auto"/>
          <w:sz w:val="24"/>
          <w:highlight w:val="none"/>
        </w:rPr>
        <w:t>”。</w:t>
      </w:r>
    </w:p>
    <w:p w14:paraId="763ACAA4">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4</w:t>
      </w:r>
      <w:r>
        <w:rPr>
          <w:color w:val="auto"/>
          <w:sz w:val="24"/>
          <w:highlight w:val="none"/>
        </w:rPr>
        <w:t>. 偏离说明指招标要求与投标应答之间的不同之处</w:t>
      </w:r>
      <w:r>
        <w:rPr>
          <w:rFonts w:hint="eastAsia"/>
          <w:color w:val="auto"/>
          <w:sz w:val="24"/>
          <w:highlight w:val="none"/>
          <w:lang w:eastAsia="zh-CN"/>
        </w:rPr>
        <w:t>，如：正偏离、负偏离、无偏离</w:t>
      </w:r>
      <w:r>
        <w:rPr>
          <w:color w:val="auto"/>
          <w:sz w:val="24"/>
          <w:highlight w:val="none"/>
        </w:rPr>
        <w:t>。</w:t>
      </w:r>
    </w:p>
    <w:p w14:paraId="17BFD8E4">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5</w:t>
      </w:r>
      <w:r>
        <w:rPr>
          <w:rFonts w:hint="eastAsia"/>
          <w:color w:val="auto"/>
          <w:sz w:val="24"/>
          <w:highlight w:val="none"/>
        </w:rPr>
        <w:t>. 投标人在《技术响应表》的投标应答中必须列出具体数值或内容。如投标人未应答或只注明“符合”、“满足”等类似无具体内容的表述，将被视为不符合招标文件要求。投标人自行承担由此造成的一切后果。</w:t>
      </w:r>
    </w:p>
    <w:p w14:paraId="57EC4193">
      <w:pPr>
        <w:adjustRightInd w:val="0"/>
        <w:spacing w:line="360" w:lineRule="auto"/>
        <w:ind w:firstLine="480" w:firstLineChars="200"/>
        <w:jc w:val="left"/>
        <w:outlineLvl w:val="9"/>
        <w:rPr>
          <w:rFonts w:hint="eastAsia" w:hAnsi="宋体"/>
          <w:color w:val="auto"/>
          <w:sz w:val="24"/>
          <w:szCs w:val="24"/>
          <w:highlight w:val="none"/>
          <w:lang w:val="en-US" w:eastAsia="zh-CN"/>
        </w:rPr>
      </w:pPr>
      <w:r>
        <w:rPr>
          <w:rFonts w:hint="eastAsia" w:hAnsi="宋体"/>
          <w:color w:val="auto"/>
          <w:sz w:val="24"/>
          <w:szCs w:val="24"/>
          <w:highlight w:val="none"/>
          <w:lang w:val="en-US" w:eastAsia="zh-CN"/>
        </w:rPr>
        <w:t xml:space="preserve">                                </w:t>
      </w:r>
    </w:p>
    <w:p w14:paraId="71585D03">
      <w:pPr>
        <w:adjustRightInd w:val="0"/>
        <w:spacing w:line="360" w:lineRule="auto"/>
        <w:ind w:firstLine="4320" w:firstLineChars="1800"/>
        <w:jc w:val="left"/>
        <w:outlineLvl w:val="9"/>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hAnsi="宋体"/>
          <w:color w:val="auto"/>
          <w:sz w:val="24"/>
          <w:szCs w:val="24"/>
          <w:highlight w:val="none"/>
          <w:lang w:eastAsia="zh-CN"/>
        </w:rPr>
        <w:t>公</w:t>
      </w:r>
      <w:r>
        <w:rPr>
          <w:rFonts w:ascii="宋体" w:hAnsi="宋体"/>
          <w:color w:val="auto"/>
          <w:sz w:val="24"/>
          <w:szCs w:val="24"/>
          <w:highlight w:val="none"/>
        </w:rPr>
        <w:t>章</w:t>
      </w:r>
      <w:r>
        <w:rPr>
          <w:rFonts w:hint="eastAsia" w:ascii="宋体" w:hAnsi="宋体"/>
          <w:color w:val="auto"/>
          <w:sz w:val="24"/>
          <w:szCs w:val="24"/>
          <w:highlight w:val="none"/>
        </w:rPr>
        <w:t xml:space="preserve">）：         </w:t>
      </w:r>
    </w:p>
    <w:p w14:paraId="7861EF68">
      <w:pPr>
        <w:adjustRightInd w:val="0"/>
        <w:spacing w:line="360" w:lineRule="auto"/>
        <w:jc w:val="left"/>
        <w:outlineLvl w:val="9"/>
        <w:rPr>
          <w:rFonts w:ascii="宋体" w:hAnsi="宋体"/>
          <w:bCs/>
          <w:color w:val="auto"/>
          <w:sz w:val="24"/>
          <w:szCs w:val="24"/>
          <w:highlight w:val="none"/>
        </w:rPr>
      </w:pPr>
      <w:r>
        <w:rPr>
          <w:rFonts w:hint="eastAsia" w:ascii="宋体"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（签字</w:t>
      </w:r>
      <w:r>
        <w:rPr>
          <w:rFonts w:hint="eastAsia" w:hAnsi="宋体"/>
          <w:color w:val="auto"/>
          <w:sz w:val="24"/>
          <w:szCs w:val="24"/>
          <w:highlight w:val="none"/>
          <w:lang w:eastAsia="zh-CN"/>
        </w:rPr>
        <w:t>或盖章</w:t>
      </w:r>
      <w:r>
        <w:rPr>
          <w:rFonts w:hint="eastAsia" w:ascii="宋体" w:hAnsi="宋体"/>
          <w:color w:val="auto"/>
          <w:sz w:val="24"/>
          <w:szCs w:val="24"/>
          <w:highlight w:val="none"/>
        </w:rPr>
        <w:t>）：</w:t>
      </w:r>
    </w:p>
    <w:p w14:paraId="1EEF3997">
      <w:pPr>
        <w:spacing w:line="360" w:lineRule="auto"/>
        <w:ind w:firstLine="0"/>
        <w:outlineLvl w:val="9"/>
        <w:rPr>
          <w:rFonts w:hint="eastAsia" w:ascii="宋体" w:hAnsi="宋体"/>
          <w:sz w:val="22"/>
          <w:szCs w:val="22"/>
        </w:rPr>
      </w:pPr>
      <w:r>
        <w:rPr>
          <w:rFonts w:hint="eastAsia" w:hAnsi="宋体"/>
          <w:bCs/>
          <w:color w:val="auto"/>
          <w:sz w:val="24"/>
          <w:szCs w:val="24"/>
          <w:highlight w:val="none"/>
          <w:lang w:val="en-US" w:eastAsia="zh-CN"/>
        </w:rPr>
        <w:t xml:space="preserve">                               </w:t>
      </w:r>
      <w:r>
        <w:rPr>
          <w:rFonts w:hint="eastAsia" w:ascii="宋体" w:hAnsi="宋体"/>
          <w:bCs/>
          <w:color w:val="auto"/>
          <w:sz w:val="24"/>
          <w:szCs w:val="24"/>
          <w:highlight w:val="none"/>
        </w:rPr>
        <w:t>日  期</w:t>
      </w:r>
      <w:r>
        <w:rPr>
          <w:rFonts w:ascii="宋体" w:hAnsi="宋体"/>
          <w:bCs/>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eastAsia="宋体"/>
          <w:b/>
          <w:color w:val="auto"/>
          <w:kern w:val="2"/>
          <w:sz w:val="28"/>
          <w:szCs w:val="28"/>
          <w:highlight w:val="none"/>
          <w:lang w:val="en-US" w:eastAsia="zh-CN" w:bidi="ar-SA"/>
        </w:rPr>
        <w:br w:type="textWrapping"/>
      </w:r>
    </w:p>
    <w:p w14:paraId="7375B95D">
      <w:pPr>
        <w:jc w:val="both"/>
        <w:outlineLvl w:val="9"/>
        <w:rPr>
          <w:rFonts w:hint="eastAsia" w:ascii="宋体" w:hAnsi="宋体"/>
        </w:rPr>
      </w:pPr>
      <w:bookmarkStart w:id="247" w:name="_Toc387653054"/>
    </w:p>
    <w:p w14:paraId="2E662D5F">
      <w:pPr>
        <w:outlineLvl w:val="9"/>
        <w:rPr>
          <w:rFonts w:hint="eastAsia" w:ascii="宋体" w:hAnsi="宋体"/>
        </w:rPr>
      </w:pPr>
    </w:p>
    <w:bookmarkEnd w:id="247"/>
    <w:p w14:paraId="1B065A6F">
      <w:pPr>
        <w:keepNext w:val="0"/>
        <w:keepLines w:val="0"/>
        <w:pageBreakBefore/>
        <w:widowControl w:val="0"/>
        <w:kinsoku/>
        <w:wordWrap/>
        <w:overflowPunct/>
        <w:topLinePunct w:val="0"/>
        <w:autoSpaceDE/>
        <w:autoSpaceDN w:val="0"/>
        <w:bidi w:val="0"/>
        <w:adjustRightInd/>
        <w:snapToGrid/>
        <w:spacing w:line="360" w:lineRule="auto"/>
        <w:jc w:val="center"/>
        <w:textAlignment w:val="auto"/>
        <w:outlineLvl w:val="1"/>
        <w:rPr>
          <w:b/>
          <w:bCs/>
          <w:color w:val="auto"/>
          <w:sz w:val="24"/>
          <w:highlight w:val="none"/>
        </w:rPr>
      </w:pPr>
      <w:bookmarkStart w:id="248" w:name="_Toc12009"/>
      <w:bookmarkStart w:id="249" w:name="_Toc5598"/>
      <w:bookmarkStart w:id="250" w:name="_Toc30498"/>
      <w:bookmarkStart w:id="251" w:name="_Toc6766"/>
      <w:bookmarkStart w:id="252" w:name="_Toc16509"/>
      <w:bookmarkStart w:id="253" w:name="_Toc17074"/>
      <w:r>
        <w:rPr>
          <w:rFonts w:hint="eastAsia"/>
          <w:b/>
          <w:bCs/>
          <w:color w:val="auto"/>
          <w:sz w:val="28"/>
          <w:szCs w:val="28"/>
          <w:highlight w:val="none"/>
          <w:lang w:val="en-US" w:eastAsia="zh-CN"/>
        </w:rPr>
        <w:t>七、</w:t>
      </w:r>
      <w:r>
        <w:rPr>
          <w:rFonts w:hint="eastAsia"/>
          <w:b/>
          <w:bCs/>
          <w:color w:val="auto"/>
          <w:sz w:val="28"/>
          <w:szCs w:val="28"/>
          <w:highlight w:val="none"/>
        </w:rPr>
        <w:t>服务承诺</w:t>
      </w:r>
      <w:bookmarkEnd w:id="248"/>
      <w:bookmarkEnd w:id="249"/>
      <w:bookmarkEnd w:id="250"/>
      <w:bookmarkEnd w:id="251"/>
    </w:p>
    <w:p w14:paraId="7039727C">
      <w:pPr>
        <w:autoSpaceDE w:val="0"/>
        <w:autoSpaceDN w:val="0"/>
        <w:adjustRightInd w:val="0"/>
        <w:spacing w:line="360" w:lineRule="auto"/>
        <w:ind w:firstLine="480" w:firstLineChars="200"/>
        <w:rPr>
          <w:color w:val="auto"/>
          <w:sz w:val="24"/>
          <w:highlight w:val="none"/>
        </w:rPr>
      </w:pPr>
    </w:p>
    <w:p w14:paraId="7988EC97">
      <w:pPr>
        <w:spacing w:line="620" w:lineRule="exact"/>
        <w:rPr>
          <w:rFonts w:hint="eastAsia" w:eastAsia="宋体"/>
          <w:color w:val="auto"/>
          <w:sz w:val="24"/>
          <w:highlight w:val="none"/>
          <w:lang w:eastAsia="zh-CN"/>
        </w:rPr>
      </w:pPr>
      <w:r>
        <w:rPr>
          <w:rFonts w:hint="eastAsia"/>
          <w:color w:val="auto"/>
          <w:sz w:val="24"/>
          <w:highlight w:val="none"/>
          <w:lang w:eastAsia="zh-CN"/>
        </w:rPr>
        <w:t>注：由投标人自拟格式。</w:t>
      </w:r>
    </w:p>
    <w:p w14:paraId="7AF6FB6C">
      <w:pPr>
        <w:spacing w:line="360" w:lineRule="auto"/>
        <w:ind w:firstLine="4080" w:firstLineChars="1700"/>
        <w:rPr>
          <w:rFonts w:hint="eastAsia"/>
          <w:color w:val="auto"/>
          <w:sz w:val="24"/>
          <w:highlight w:val="none"/>
          <w:lang w:eastAsia="zh-CN"/>
        </w:rPr>
      </w:pPr>
    </w:p>
    <w:p w14:paraId="33FCD7DF">
      <w:pPr>
        <w:pStyle w:val="2"/>
        <w:tabs>
          <w:tab w:val="right" w:leader="dot" w:pos="8400"/>
        </w:tabs>
        <w:rPr>
          <w:rFonts w:hint="eastAsia"/>
          <w:color w:val="auto"/>
          <w:sz w:val="24"/>
          <w:highlight w:val="none"/>
          <w:lang w:eastAsia="zh-CN"/>
        </w:rPr>
      </w:pPr>
    </w:p>
    <w:p w14:paraId="4B062FA8">
      <w:pPr>
        <w:rPr>
          <w:rFonts w:hint="eastAsia"/>
          <w:lang w:eastAsia="zh-CN"/>
        </w:rPr>
      </w:pPr>
    </w:p>
    <w:p w14:paraId="657582F8">
      <w:pPr>
        <w:spacing w:line="360" w:lineRule="auto"/>
        <w:ind w:firstLine="4080" w:firstLineChars="1700"/>
        <w:rPr>
          <w:rFonts w:hint="eastAsia"/>
          <w:color w:val="auto"/>
          <w:sz w:val="24"/>
          <w:highlight w:val="none"/>
        </w:rPr>
      </w:pPr>
      <w:r>
        <w:rPr>
          <w:rFonts w:hint="eastAsia"/>
          <w:color w:val="auto"/>
          <w:sz w:val="24"/>
          <w:highlight w:val="none"/>
          <w:lang w:eastAsia="zh-CN"/>
        </w:rPr>
        <w:t>投标人（</w:t>
      </w:r>
      <w:r>
        <w:rPr>
          <w:rFonts w:hint="eastAsia"/>
          <w:color w:val="auto"/>
          <w:sz w:val="24"/>
          <w:highlight w:val="none"/>
        </w:rPr>
        <w:t>制造商</w:t>
      </w:r>
      <w:r>
        <w:rPr>
          <w:rFonts w:hint="eastAsia"/>
          <w:color w:val="auto"/>
          <w:sz w:val="24"/>
          <w:highlight w:val="none"/>
          <w:lang w:eastAsia="zh-CN"/>
        </w:rPr>
        <w:t>）</w:t>
      </w:r>
      <w:r>
        <w:rPr>
          <w:rFonts w:hint="eastAsia"/>
          <w:color w:val="auto"/>
          <w:sz w:val="24"/>
          <w:highlight w:val="none"/>
        </w:rPr>
        <w:t>（公章）：</w:t>
      </w:r>
    </w:p>
    <w:p w14:paraId="01203811">
      <w:pPr>
        <w:spacing w:line="360" w:lineRule="auto"/>
        <w:ind w:firstLine="4080" w:firstLineChars="17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733724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val="0"/>
          <w:bCs/>
          <w:kern w:val="2"/>
          <w:sz w:val="28"/>
          <w:szCs w:val="32"/>
        </w:rPr>
      </w:pPr>
    </w:p>
    <w:bookmarkEnd w:id="252"/>
    <w:bookmarkEnd w:id="253"/>
    <w:p w14:paraId="601BC2A2">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hAnsi="宋体"/>
          <w:b/>
          <w:bCs/>
          <w:color w:val="auto"/>
          <w:sz w:val="30"/>
          <w:szCs w:val="30"/>
          <w:highlight w:val="none"/>
          <w:lang w:eastAsia="zh-CN"/>
        </w:rPr>
      </w:pPr>
      <w:bookmarkStart w:id="254" w:name="_Toc2666"/>
      <w:bookmarkStart w:id="255" w:name="_Toc28931"/>
      <w:bookmarkStart w:id="256" w:name="_Toc18905"/>
      <w:bookmarkStart w:id="257" w:name="_Toc23668"/>
      <w:r>
        <w:rPr>
          <w:rFonts w:hint="eastAsia" w:ascii="宋体" w:hAnsi="宋体"/>
          <w:b/>
          <w:bCs w:val="0"/>
          <w:kern w:val="2"/>
          <w:sz w:val="28"/>
          <w:szCs w:val="32"/>
          <w:lang w:val="en-US" w:eastAsia="zh-CN"/>
        </w:rPr>
        <w:t>八、</w:t>
      </w:r>
      <w:r>
        <w:rPr>
          <w:rFonts w:hint="eastAsia" w:hAnsi="宋体"/>
          <w:b/>
          <w:bCs/>
          <w:color w:val="auto"/>
          <w:sz w:val="30"/>
          <w:szCs w:val="30"/>
          <w:highlight w:val="none"/>
          <w:lang w:eastAsia="zh-CN"/>
        </w:rPr>
        <w:t>技术响应表</w:t>
      </w:r>
      <w:bookmarkEnd w:id="254"/>
      <w:bookmarkEnd w:id="255"/>
      <w:bookmarkEnd w:id="256"/>
      <w:bookmarkEnd w:id="257"/>
    </w:p>
    <w:bookmarkEnd w:id="246"/>
    <w:p w14:paraId="1B5E2F35">
      <w:pPr>
        <w:spacing w:line="460" w:lineRule="exact"/>
        <w:outlineLvl w:val="9"/>
        <w:rPr>
          <w:color w:val="auto"/>
          <w:sz w:val="24"/>
          <w:highlight w:val="none"/>
        </w:rPr>
      </w:pPr>
      <w:bookmarkStart w:id="258" w:name="_Toc31986"/>
      <w:bookmarkStart w:id="259" w:name="_Toc28368"/>
      <w:r>
        <w:rPr>
          <w:color w:val="auto"/>
          <w:sz w:val="24"/>
          <w:highlight w:val="none"/>
        </w:rPr>
        <w:t>项目名称：</w:t>
      </w:r>
    </w:p>
    <w:p w14:paraId="77562583">
      <w:pPr>
        <w:spacing w:line="460" w:lineRule="exact"/>
        <w:outlineLvl w:val="9"/>
        <w:rPr>
          <w:rFonts w:hint="eastAsia" w:eastAsia="宋体"/>
          <w:color w:val="auto"/>
          <w:sz w:val="24"/>
          <w:highlight w:val="none"/>
          <w:u w:val="single"/>
          <w:lang w:val="en-US" w:eastAsia="zh-CN"/>
        </w:rPr>
      </w:pPr>
      <w:r>
        <w:rPr>
          <w:rFonts w:hint="eastAsia"/>
          <w:color w:val="auto"/>
          <w:sz w:val="24"/>
          <w:highlight w:val="none"/>
        </w:rPr>
        <w:t>招标文件</w:t>
      </w:r>
      <w:r>
        <w:rPr>
          <w:color w:val="auto"/>
          <w:sz w:val="24"/>
          <w:highlight w:val="none"/>
        </w:rPr>
        <w:t>编号：</w:t>
      </w:r>
      <w:r>
        <w:rPr>
          <w:rFonts w:hint="eastAsia"/>
          <w:color w:val="auto"/>
          <w:sz w:val="24"/>
          <w:highlight w:val="none"/>
          <w:lang w:val="en-US" w:eastAsia="zh-CN"/>
        </w:rPr>
        <w:t xml:space="preserve">                                   </w:t>
      </w:r>
      <w:r>
        <w:rPr>
          <w:color w:val="auto"/>
          <w:sz w:val="24"/>
          <w:highlight w:val="none"/>
        </w:rPr>
        <w:t>包号：</w:t>
      </w:r>
      <w:r>
        <w:rPr>
          <w:rFonts w:hint="eastAsia"/>
          <w:color w:val="auto"/>
          <w:sz w:val="24"/>
          <w:highlight w:val="none"/>
          <w:lang w:val="en-US" w:eastAsia="zh-CN"/>
        </w:rPr>
        <w:t>/</w:t>
      </w:r>
    </w:p>
    <w:p w14:paraId="40D58B37">
      <w:pPr>
        <w:spacing w:line="460" w:lineRule="exact"/>
        <w:outlineLvl w:val="9"/>
        <w:rPr>
          <w:color w:val="auto"/>
          <w:sz w:val="24"/>
          <w:highlight w:val="none"/>
          <w:u w:val="singl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335"/>
        <w:gridCol w:w="1475"/>
        <w:gridCol w:w="1394"/>
        <w:gridCol w:w="1927"/>
      </w:tblGrid>
      <w:tr w14:paraId="7526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00" w:type="dxa"/>
            <w:gridSpan w:val="5"/>
            <w:noWrap w:val="0"/>
            <w:vAlign w:val="center"/>
          </w:tcPr>
          <w:p w14:paraId="61709C0A">
            <w:pPr>
              <w:widowControl/>
              <w:snapToGrid w:val="0"/>
              <w:outlineLvl w:val="9"/>
              <w:rPr>
                <w:b/>
                <w:color w:val="auto"/>
                <w:sz w:val="24"/>
                <w:szCs w:val="21"/>
                <w:highlight w:val="none"/>
              </w:rPr>
            </w:pPr>
            <w:r>
              <w:rPr>
                <w:b/>
                <w:color w:val="auto"/>
                <w:sz w:val="24"/>
                <w:szCs w:val="21"/>
                <w:highlight w:val="none"/>
              </w:rPr>
              <w:t>项目需求书</w:t>
            </w:r>
            <w:r>
              <w:rPr>
                <w:rFonts w:hint="eastAsia"/>
                <w:b/>
                <w:color w:val="auto"/>
                <w:sz w:val="24"/>
                <w:szCs w:val="21"/>
                <w:highlight w:val="none"/>
              </w:rPr>
              <w:t>所有条款的应答</w:t>
            </w:r>
          </w:p>
        </w:tc>
      </w:tr>
      <w:tr w14:paraId="392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769" w:type="dxa"/>
            <w:noWrap w:val="0"/>
            <w:vAlign w:val="center"/>
          </w:tcPr>
          <w:p w14:paraId="7C04786C">
            <w:pPr>
              <w:widowControl/>
              <w:snapToGrid w:val="0"/>
              <w:jc w:val="center"/>
              <w:outlineLvl w:val="9"/>
              <w:rPr>
                <w:color w:val="auto"/>
                <w:sz w:val="24"/>
                <w:szCs w:val="21"/>
                <w:highlight w:val="none"/>
              </w:rPr>
            </w:pPr>
            <w:r>
              <w:rPr>
                <w:rFonts w:hint="eastAsia"/>
                <w:color w:val="auto"/>
                <w:sz w:val="24"/>
                <w:szCs w:val="21"/>
                <w:highlight w:val="none"/>
              </w:rPr>
              <w:t>条款号</w:t>
            </w:r>
          </w:p>
        </w:tc>
        <w:tc>
          <w:tcPr>
            <w:tcW w:w="2335" w:type="dxa"/>
            <w:noWrap w:val="0"/>
            <w:vAlign w:val="center"/>
          </w:tcPr>
          <w:p w14:paraId="24BC5E62">
            <w:pPr>
              <w:snapToGrid w:val="0"/>
              <w:jc w:val="center"/>
              <w:outlineLvl w:val="9"/>
              <w:rPr>
                <w:color w:val="auto"/>
                <w:sz w:val="24"/>
                <w:szCs w:val="21"/>
                <w:highlight w:val="none"/>
              </w:rPr>
            </w:pPr>
            <w:r>
              <w:rPr>
                <w:color w:val="auto"/>
                <w:sz w:val="24"/>
                <w:szCs w:val="21"/>
                <w:highlight w:val="none"/>
              </w:rPr>
              <w:t>招标要求</w:t>
            </w:r>
          </w:p>
        </w:tc>
        <w:tc>
          <w:tcPr>
            <w:tcW w:w="1475" w:type="dxa"/>
            <w:noWrap w:val="0"/>
            <w:vAlign w:val="center"/>
          </w:tcPr>
          <w:p w14:paraId="36AC16C6">
            <w:pPr>
              <w:widowControl/>
              <w:snapToGrid w:val="0"/>
              <w:jc w:val="center"/>
              <w:outlineLvl w:val="9"/>
              <w:rPr>
                <w:color w:val="auto"/>
                <w:sz w:val="24"/>
                <w:szCs w:val="21"/>
                <w:highlight w:val="none"/>
              </w:rPr>
            </w:pPr>
            <w:r>
              <w:rPr>
                <w:color w:val="auto"/>
                <w:sz w:val="24"/>
                <w:szCs w:val="21"/>
                <w:highlight w:val="none"/>
              </w:rPr>
              <w:t>投标应答</w:t>
            </w:r>
          </w:p>
        </w:tc>
        <w:tc>
          <w:tcPr>
            <w:tcW w:w="1394" w:type="dxa"/>
            <w:noWrap w:val="0"/>
            <w:vAlign w:val="center"/>
          </w:tcPr>
          <w:p w14:paraId="3713AF7C">
            <w:pPr>
              <w:widowControl/>
              <w:snapToGrid w:val="0"/>
              <w:jc w:val="center"/>
              <w:outlineLvl w:val="9"/>
              <w:rPr>
                <w:color w:val="auto"/>
                <w:sz w:val="24"/>
                <w:szCs w:val="21"/>
                <w:highlight w:val="none"/>
              </w:rPr>
            </w:pPr>
            <w:r>
              <w:rPr>
                <w:color w:val="auto"/>
                <w:sz w:val="24"/>
                <w:szCs w:val="21"/>
                <w:highlight w:val="none"/>
              </w:rPr>
              <w:t>偏离</w:t>
            </w:r>
          </w:p>
          <w:p w14:paraId="32DE39C1">
            <w:pPr>
              <w:widowControl/>
              <w:snapToGrid w:val="0"/>
              <w:jc w:val="center"/>
              <w:outlineLvl w:val="9"/>
              <w:rPr>
                <w:color w:val="auto"/>
                <w:sz w:val="24"/>
                <w:szCs w:val="21"/>
                <w:highlight w:val="none"/>
              </w:rPr>
            </w:pPr>
            <w:r>
              <w:rPr>
                <w:color w:val="auto"/>
                <w:sz w:val="24"/>
                <w:szCs w:val="21"/>
                <w:highlight w:val="none"/>
              </w:rPr>
              <w:t>说明</w:t>
            </w:r>
          </w:p>
        </w:tc>
        <w:tc>
          <w:tcPr>
            <w:tcW w:w="1927" w:type="dxa"/>
            <w:noWrap w:val="0"/>
            <w:vAlign w:val="center"/>
          </w:tcPr>
          <w:p w14:paraId="0522859A">
            <w:pPr>
              <w:widowControl/>
              <w:snapToGrid w:val="0"/>
              <w:jc w:val="center"/>
              <w:outlineLvl w:val="9"/>
              <w:rPr>
                <w:color w:val="auto"/>
                <w:sz w:val="24"/>
                <w:szCs w:val="21"/>
                <w:highlight w:val="none"/>
              </w:rPr>
            </w:pPr>
            <w:r>
              <w:rPr>
                <w:rFonts w:hint="eastAsia"/>
                <w:color w:val="auto"/>
                <w:sz w:val="24"/>
                <w:szCs w:val="21"/>
                <w:highlight w:val="none"/>
              </w:rPr>
              <w:t>技术支撑材料所在页码</w:t>
            </w:r>
          </w:p>
        </w:tc>
      </w:tr>
      <w:tr w14:paraId="5F72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69" w:type="dxa"/>
            <w:noWrap w:val="0"/>
            <w:vAlign w:val="center"/>
          </w:tcPr>
          <w:p w14:paraId="26759868">
            <w:pPr>
              <w:widowControl/>
              <w:snapToGrid w:val="0"/>
              <w:jc w:val="center"/>
              <w:outlineLvl w:val="9"/>
              <w:rPr>
                <w:color w:val="auto"/>
                <w:sz w:val="24"/>
                <w:szCs w:val="21"/>
                <w:highlight w:val="none"/>
              </w:rPr>
            </w:pPr>
          </w:p>
        </w:tc>
        <w:tc>
          <w:tcPr>
            <w:tcW w:w="2335" w:type="dxa"/>
            <w:noWrap w:val="0"/>
            <w:vAlign w:val="center"/>
          </w:tcPr>
          <w:p w14:paraId="5381FE37">
            <w:pPr>
              <w:widowControl/>
              <w:snapToGrid w:val="0"/>
              <w:jc w:val="center"/>
              <w:outlineLvl w:val="9"/>
              <w:rPr>
                <w:color w:val="auto"/>
                <w:sz w:val="24"/>
                <w:szCs w:val="21"/>
                <w:highlight w:val="none"/>
              </w:rPr>
            </w:pPr>
          </w:p>
        </w:tc>
        <w:tc>
          <w:tcPr>
            <w:tcW w:w="1475" w:type="dxa"/>
            <w:noWrap w:val="0"/>
            <w:vAlign w:val="center"/>
          </w:tcPr>
          <w:p w14:paraId="0B1DA776">
            <w:pPr>
              <w:widowControl/>
              <w:snapToGrid w:val="0"/>
              <w:jc w:val="center"/>
              <w:outlineLvl w:val="9"/>
              <w:rPr>
                <w:color w:val="auto"/>
                <w:sz w:val="24"/>
                <w:szCs w:val="21"/>
                <w:highlight w:val="none"/>
              </w:rPr>
            </w:pPr>
          </w:p>
        </w:tc>
        <w:tc>
          <w:tcPr>
            <w:tcW w:w="1394" w:type="dxa"/>
            <w:noWrap w:val="0"/>
            <w:vAlign w:val="center"/>
          </w:tcPr>
          <w:p w14:paraId="2858E86D">
            <w:pPr>
              <w:widowControl/>
              <w:snapToGrid w:val="0"/>
              <w:jc w:val="center"/>
              <w:outlineLvl w:val="9"/>
              <w:rPr>
                <w:color w:val="auto"/>
                <w:sz w:val="24"/>
                <w:szCs w:val="21"/>
                <w:highlight w:val="none"/>
              </w:rPr>
            </w:pPr>
          </w:p>
        </w:tc>
        <w:tc>
          <w:tcPr>
            <w:tcW w:w="1927" w:type="dxa"/>
            <w:noWrap w:val="0"/>
            <w:vAlign w:val="center"/>
          </w:tcPr>
          <w:p w14:paraId="68FC7C8B">
            <w:pPr>
              <w:widowControl/>
              <w:snapToGrid w:val="0"/>
              <w:jc w:val="center"/>
              <w:outlineLvl w:val="9"/>
              <w:rPr>
                <w:color w:val="auto"/>
                <w:sz w:val="24"/>
                <w:szCs w:val="21"/>
                <w:highlight w:val="none"/>
              </w:rPr>
            </w:pPr>
          </w:p>
        </w:tc>
      </w:tr>
      <w:tr w14:paraId="1547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69" w:type="dxa"/>
            <w:noWrap w:val="0"/>
            <w:vAlign w:val="center"/>
          </w:tcPr>
          <w:p w14:paraId="55A290B4">
            <w:pPr>
              <w:widowControl/>
              <w:snapToGrid w:val="0"/>
              <w:jc w:val="center"/>
              <w:outlineLvl w:val="9"/>
              <w:rPr>
                <w:color w:val="auto"/>
                <w:sz w:val="24"/>
                <w:szCs w:val="21"/>
                <w:highlight w:val="none"/>
              </w:rPr>
            </w:pPr>
          </w:p>
        </w:tc>
        <w:tc>
          <w:tcPr>
            <w:tcW w:w="2335" w:type="dxa"/>
            <w:noWrap w:val="0"/>
            <w:vAlign w:val="center"/>
          </w:tcPr>
          <w:p w14:paraId="644B8376">
            <w:pPr>
              <w:widowControl/>
              <w:snapToGrid w:val="0"/>
              <w:jc w:val="center"/>
              <w:outlineLvl w:val="9"/>
              <w:rPr>
                <w:color w:val="auto"/>
                <w:sz w:val="24"/>
                <w:szCs w:val="21"/>
                <w:highlight w:val="none"/>
              </w:rPr>
            </w:pPr>
          </w:p>
        </w:tc>
        <w:tc>
          <w:tcPr>
            <w:tcW w:w="1475" w:type="dxa"/>
            <w:noWrap w:val="0"/>
            <w:vAlign w:val="center"/>
          </w:tcPr>
          <w:p w14:paraId="5F4D78AA">
            <w:pPr>
              <w:widowControl/>
              <w:snapToGrid w:val="0"/>
              <w:jc w:val="center"/>
              <w:outlineLvl w:val="9"/>
              <w:rPr>
                <w:color w:val="auto"/>
                <w:sz w:val="24"/>
                <w:szCs w:val="21"/>
                <w:highlight w:val="none"/>
              </w:rPr>
            </w:pPr>
          </w:p>
        </w:tc>
        <w:tc>
          <w:tcPr>
            <w:tcW w:w="1394" w:type="dxa"/>
            <w:noWrap w:val="0"/>
            <w:vAlign w:val="center"/>
          </w:tcPr>
          <w:p w14:paraId="045DFAF0">
            <w:pPr>
              <w:widowControl/>
              <w:snapToGrid w:val="0"/>
              <w:jc w:val="center"/>
              <w:outlineLvl w:val="9"/>
              <w:rPr>
                <w:color w:val="auto"/>
                <w:sz w:val="24"/>
                <w:szCs w:val="21"/>
                <w:highlight w:val="none"/>
              </w:rPr>
            </w:pPr>
          </w:p>
        </w:tc>
        <w:tc>
          <w:tcPr>
            <w:tcW w:w="1927" w:type="dxa"/>
            <w:noWrap w:val="0"/>
            <w:vAlign w:val="center"/>
          </w:tcPr>
          <w:p w14:paraId="79C3C736">
            <w:pPr>
              <w:widowControl/>
              <w:snapToGrid w:val="0"/>
              <w:outlineLvl w:val="9"/>
              <w:rPr>
                <w:color w:val="auto"/>
                <w:sz w:val="24"/>
                <w:szCs w:val="21"/>
                <w:highlight w:val="none"/>
              </w:rPr>
            </w:pPr>
          </w:p>
        </w:tc>
      </w:tr>
      <w:tr w14:paraId="3A6D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69" w:type="dxa"/>
            <w:noWrap w:val="0"/>
            <w:vAlign w:val="center"/>
          </w:tcPr>
          <w:p w14:paraId="593AC1D0">
            <w:pPr>
              <w:widowControl/>
              <w:snapToGrid w:val="0"/>
              <w:jc w:val="center"/>
              <w:outlineLvl w:val="9"/>
              <w:rPr>
                <w:color w:val="auto"/>
                <w:sz w:val="24"/>
                <w:szCs w:val="21"/>
                <w:highlight w:val="none"/>
              </w:rPr>
            </w:pPr>
          </w:p>
        </w:tc>
        <w:tc>
          <w:tcPr>
            <w:tcW w:w="2335" w:type="dxa"/>
            <w:noWrap w:val="0"/>
            <w:vAlign w:val="center"/>
          </w:tcPr>
          <w:p w14:paraId="71868D60">
            <w:pPr>
              <w:widowControl/>
              <w:snapToGrid w:val="0"/>
              <w:jc w:val="center"/>
              <w:outlineLvl w:val="9"/>
              <w:rPr>
                <w:color w:val="auto"/>
                <w:sz w:val="24"/>
                <w:szCs w:val="21"/>
                <w:highlight w:val="none"/>
              </w:rPr>
            </w:pPr>
          </w:p>
        </w:tc>
        <w:tc>
          <w:tcPr>
            <w:tcW w:w="1475" w:type="dxa"/>
            <w:noWrap w:val="0"/>
            <w:vAlign w:val="center"/>
          </w:tcPr>
          <w:p w14:paraId="41243D06">
            <w:pPr>
              <w:widowControl/>
              <w:snapToGrid w:val="0"/>
              <w:jc w:val="center"/>
              <w:outlineLvl w:val="9"/>
              <w:rPr>
                <w:color w:val="auto"/>
                <w:sz w:val="24"/>
                <w:szCs w:val="21"/>
                <w:highlight w:val="none"/>
              </w:rPr>
            </w:pPr>
          </w:p>
        </w:tc>
        <w:tc>
          <w:tcPr>
            <w:tcW w:w="1394" w:type="dxa"/>
            <w:noWrap w:val="0"/>
            <w:vAlign w:val="center"/>
          </w:tcPr>
          <w:p w14:paraId="4F85E960">
            <w:pPr>
              <w:widowControl/>
              <w:snapToGrid w:val="0"/>
              <w:jc w:val="center"/>
              <w:outlineLvl w:val="9"/>
              <w:rPr>
                <w:color w:val="auto"/>
                <w:sz w:val="24"/>
                <w:szCs w:val="21"/>
                <w:highlight w:val="none"/>
              </w:rPr>
            </w:pPr>
          </w:p>
        </w:tc>
        <w:tc>
          <w:tcPr>
            <w:tcW w:w="1927" w:type="dxa"/>
            <w:noWrap w:val="0"/>
            <w:vAlign w:val="center"/>
          </w:tcPr>
          <w:p w14:paraId="6CC254F8">
            <w:pPr>
              <w:widowControl/>
              <w:snapToGrid w:val="0"/>
              <w:outlineLvl w:val="9"/>
              <w:rPr>
                <w:color w:val="auto"/>
                <w:sz w:val="24"/>
                <w:szCs w:val="21"/>
                <w:highlight w:val="none"/>
              </w:rPr>
            </w:pPr>
          </w:p>
        </w:tc>
      </w:tr>
      <w:tr w14:paraId="70CB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69" w:type="dxa"/>
            <w:noWrap w:val="0"/>
            <w:vAlign w:val="center"/>
          </w:tcPr>
          <w:p w14:paraId="57EBFE35">
            <w:pPr>
              <w:widowControl/>
              <w:snapToGrid w:val="0"/>
              <w:jc w:val="center"/>
              <w:outlineLvl w:val="9"/>
              <w:rPr>
                <w:color w:val="auto"/>
                <w:sz w:val="24"/>
                <w:szCs w:val="21"/>
                <w:highlight w:val="none"/>
              </w:rPr>
            </w:pPr>
          </w:p>
        </w:tc>
        <w:tc>
          <w:tcPr>
            <w:tcW w:w="2335" w:type="dxa"/>
            <w:noWrap w:val="0"/>
            <w:vAlign w:val="center"/>
          </w:tcPr>
          <w:p w14:paraId="2D265EE9">
            <w:pPr>
              <w:widowControl/>
              <w:snapToGrid w:val="0"/>
              <w:jc w:val="center"/>
              <w:outlineLvl w:val="9"/>
              <w:rPr>
                <w:color w:val="auto"/>
                <w:sz w:val="24"/>
                <w:szCs w:val="21"/>
                <w:highlight w:val="none"/>
              </w:rPr>
            </w:pPr>
          </w:p>
        </w:tc>
        <w:tc>
          <w:tcPr>
            <w:tcW w:w="1475" w:type="dxa"/>
            <w:noWrap w:val="0"/>
            <w:vAlign w:val="center"/>
          </w:tcPr>
          <w:p w14:paraId="688B4F0E">
            <w:pPr>
              <w:widowControl/>
              <w:snapToGrid w:val="0"/>
              <w:jc w:val="center"/>
              <w:outlineLvl w:val="9"/>
              <w:rPr>
                <w:color w:val="auto"/>
                <w:sz w:val="24"/>
                <w:szCs w:val="21"/>
                <w:highlight w:val="none"/>
              </w:rPr>
            </w:pPr>
          </w:p>
        </w:tc>
        <w:tc>
          <w:tcPr>
            <w:tcW w:w="1394" w:type="dxa"/>
            <w:noWrap w:val="0"/>
            <w:vAlign w:val="center"/>
          </w:tcPr>
          <w:p w14:paraId="6F468CF3">
            <w:pPr>
              <w:widowControl/>
              <w:snapToGrid w:val="0"/>
              <w:jc w:val="center"/>
              <w:outlineLvl w:val="9"/>
              <w:rPr>
                <w:color w:val="auto"/>
                <w:sz w:val="24"/>
                <w:szCs w:val="21"/>
                <w:highlight w:val="none"/>
              </w:rPr>
            </w:pPr>
          </w:p>
        </w:tc>
        <w:tc>
          <w:tcPr>
            <w:tcW w:w="1927" w:type="dxa"/>
            <w:noWrap w:val="0"/>
            <w:vAlign w:val="center"/>
          </w:tcPr>
          <w:p w14:paraId="1746F1F0">
            <w:pPr>
              <w:widowControl/>
              <w:snapToGrid w:val="0"/>
              <w:outlineLvl w:val="9"/>
              <w:rPr>
                <w:color w:val="auto"/>
                <w:sz w:val="24"/>
                <w:szCs w:val="21"/>
                <w:highlight w:val="none"/>
              </w:rPr>
            </w:pPr>
          </w:p>
        </w:tc>
      </w:tr>
    </w:tbl>
    <w:p w14:paraId="0F198E26">
      <w:pPr>
        <w:snapToGrid w:val="0"/>
        <w:spacing w:line="480" w:lineRule="exact"/>
        <w:outlineLvl w:val="9"/>
        <w:rPr>
          <w:color w:val="auto"/>
          <w:sz w:val="24"/>
          <w:highlight w:val="none"/>
        </w:rPr>
      </w:pPr>
    </w:p>
    <w:p w14:paraId="18255780">
      <w:pPr>
        <w:keepNext w:val="0"/>
        <w:keepLines w:val="0"/>
        <w:pageBreakBefore w:val="0"/>
        <w:widowControl w:val="0"/>
        <w:kinsoku/>
        <w:wordWrap/>
        <w:overflowPunct/>
        <w:topLinePunct w:val="0"/>
        <w:autoSpaceDE/>
        <w:autoSpaceDN/>
        <w:bidi w:val="0"/>
        <w:adjustRightInd/>
        <w:spacing w:line="360" w:lineRule="auto"/>
        <w:textAlignment w:val="auto"/>
        <w:outlineLvl w:val="9"/>
        <w:rPr>
          <w:color w:val="auto"/>
          <w:sz w:val="24"/>
          <w:highlight w:val="none"/>
        </w:rPr>
      </w:pPr>
      <w:r>
        <w:rPr>
          <w:color w:val="auto"/>
          <w:sz w:val="24"/>
          <w:highlight w:val="none"/>
        </w:rPr>
        <w:t>注：</w:t>
      </w:r>
      <w:r>
        <w:rPr>
          <w:rFonts w:hint="eastAsia"/>
          <w:color w:val="auto"/>
          <w:sz w:val="24"/>
          <w:highlight w:val="none"/>
          <w:lang w:val="en-US" w:eastAsia="zh-CN"/>
        </w:rPr>
        <w:t>1.</w:t>
      </w:r>
      <w:r>
        <w:rPr>
          <w:rFonts w:hint="eastAsia"/>
          <w:color w:val="auto"/>
          <w:sz w:val="24"/>
          <w:highlight w:val="none"/>
          <w:lang w:eastAsia="zh-CN"/>
        </w:rPr>
        <w:t>不提供此表视为无效投标。</w:t>
      </w:r>
    </w:p>
    <w:p w14:paraId="0A9366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2.</w:t>
      </w:r>
      <w:r>
        <w:rPr>
          <w:color w:val="auto"/>
          <w:sz w:val="24"/>
          <w:highlight w:val="none"/>
        </w:rPr>
        <w:t>不如实填写偏离情况的视为虚假材料。</w:t>
      </w:r>
    </w:p>
    <w:p w14:paraId="71D0C99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3.</w:t>
      </w:r>
      <w:r>
        <w:rPr>
          <w:rFonts w:hint="eastAsia"/>
          <w:color w:val="auto"/>
          <w:sz w:val="24"/>
          <w:highlight w:val="none"/>
        </w:rPr>
        <w:t>条款号指项目需求书中的序号或者编号，项目需求书中标注“</w:t>
      </w:r>
      <w:r>
        <w:rPr>
          <w:rFonts w:hint="eastAsia" w:hAnsi="宋体" w:cs="宋体"/>
          <w:color w:val="auto"/>
          <w:sz w:val="24"/>
          <w:szCs w:val="24"/>
          <w:highlight w:val="none"/>
        </w:rPr>
        <w:t>●</w:t>
      </w:r>
      <w:r>
        <w:rPr>
          <w:rFonts w:hint="eastAsia"/>
          <w:color w:val="auto"/>
          <w:sz w:val="24"/>
          <w:highlight w:val="none"/>
        </w:rPr>
        <w:t>”的条款， 也必须在“条款号”中标注“</w:t>
      </w:r>
      <w:r>
        <w:rPr>
          <w:rFonts w:hint="eastAsia" w:hAnsi="宋体" w:cs="宋体"/>
          <w:color w:val="auto"/>
          <w:sz w:val="24"/>
          <w:szCs w:val="24"/>
          <w:highlight w:val="none"/>
        </w:rPr>
        <w:t>●</w:t>
      </w:r>
      <w:r>
        <w:rPr>
          <w:rFonts w:hint="eastAsia"/>
          <w:color w:val="auto"/>
          <w:sz w:val="24"/>
          <w:highlight w:val="none"/>
        </w:rPr>
        <w:t>”。</w:t>
      </w:r>
    </w:p>
    <w:p w14:paraId="3E3D385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4</w:t>
      </w:r>
      <w:r>
        <w:rPr>
          <w:color w:val="auto"/>
          <w:sz w:val="24"/>
          <w:highlight w:val="none"/>
        </w:rPr>
        <w:t>. 偏离说明指招标要求与投标应答之间的不同之处</w:t>
      </w:r>
      <w:r>
        <w:rPr>
          <w:rFonts w:hint="eastAsia"/>
          <w:color w:val="auto"/>
          <w:sz w:val="24"/>
          <w:highlight w:val="none"/>
          <w:lang w:eastAsia="zh-CN"/>
        </w:rPr>
        <w:t>，如：正偏离、负偏离、无偏离</w:t>
      </w:r>
      <w:r>
        <w:rPr>
          <w:color w:val="auto"/>
          <w:sz w:val="24"/>
          <w:highlight w:val="none"/>
        </w:rPr>
        <w:t>。</w:t>
      </w:r>
    </w:p>
    <w:p w14:paraId="3377B35F">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color w:val="auto"/>
          <w:sz w:val="24"/>
          <w:highlight w:val="none"/>
        </w:rPr>
      </w:pPr>
      <w:r>
        <w:rPr>
          <w:rFonts w:hint="eastAsia"/>
          <w:color w:val="auto"/>
          <w:sz w:val="24"/>
          <w:highlight w:val="none"/>
          <w:lang w:val="en-US" w:eastAsia="zh-CN"/>
        </w:rPr>
        <w:t xml:space="preserve">    5</w:t>
      </w:r>
      <w:r>
        <w:rPr>
          <w:rFonts w:hint="eastAsia"/>
          <w:color w:val="auto"/>
          <w:sz w:val="24"/>
          <w:highlight w:val="none"/>
        </w:rPr>
        <w:t>. 投标人在《技术响应表》的投标应答中必须列出具体数值或内容。如投标人未应答或只注明“符合”、“满足”等类似无具体内容的表述，将被视为不符合招标文件要求。投标人自行承担由此造成的一切后果。</w:t>
      </w:r>
    </w:p>
    <w:p w14:paraId="785A6A1A">
      <w:pPr>
        <w:keepNext w:val="0"/>
        <w:keepLines w:val="0"/>
        <w:pageBreakBefore w:val="0"/>
        <w:widowControl w:val="0"/>
        <w:kinsoku/>
        <w:wordWrap/>
        <w:overflowPunct/>
        <w:topLinePunct w:val="0"/>
        <w:autoSpaceDE/>
        <w:autoSpaceDN/>
        <w:bidi w:val="0"/>
        <w:adjustRightInd/>
        <w:spacing w:line="360" w:lineRule="auto"/>
        <w:ind w:firstLine="4080" w:firstLineChars="1700"/>
        <w:textAlignment w:val="auto"/>
        <w:outlineLvl w:val="9"/>
        <w:rPr>
          <w:color w:val="auto"/>
          <w:sz w:val="24"/>
          <w:highlight w:val="none"/>
        </w:rPr>
      </w:pPr>
    </w:p>
    <w:p w14:paraId="52B32CE5">
      <w:pPr>
        <w:spacing w:line="360" w:lineRule="auto"/>
        <w:ind w:firstLine="4080" w:firstLineChars="1700"/>
        <w:outlineLvl w:val="9"/>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rPr>
        <w:t>公章</w:t>
      </w:r>
      <w:r>
        <w:rPr>
          <w:rFonts w:hint="eastAsia"/>
          <w:color w:val="auto"/>
          <w:sz w:val="24"/>
          <w:highlight w:val="none"/>
        </w:rPr>
        <w:t>）</w:t>
      </w:r>
      <w:r>
        <w:rPr>
          <w:color w:val="auto"/>
          <w:sz w:val="24"/>
          <w:highlight w:val="none"/>
        </w:rPr>
        <w:t>：</w:t>
      </w:r>
    </w:p>
    <w:p w14:paraId="4F5823B6">
      <w:pPr>
        <w:spacing w:line="360" w:lineRule="auto"/>
        <w:ind w:firstLine="4080" w:firstLineChars="1700"/>
        <w:outlineLvl w:val="9"/>
        <w:rPr>
          <w:rFonts w:hAnsi="宋体"/>
          <w:b/>
          <w:color w:val="auto"/>
          <w:sz w:val="24"/>
          <w:szCs w:val="24"/>
          <w:highlight w:val="none"/>
        </w:rPr>
      </w:pPr>
      <w:r>
        <w:rPr>
          <w:color w:val="auto"/>
          <w:sz w:val="24"/>
          <w:highlight w:val="none"/>
        </w:rPr>
        <w:t>日期：</w:t>
      </w:r>
      <w:r>
        <w:rPr>
          <w:rFonts w:hint="eastAsia"/>
          <w:color w:val="auto"/>
          <w:sz w:val="24"/>
          <w:highlight w:val="none"/>
          <w:lang w:val="en-US" w:eastAsia="zh-CN"/>
        </w:rPr>
        <w:t xml:space="preserve"> </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w:t>
      </w:r>
    </w:p>
    <w:p w14:paraId="279078FD">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Times New Roman"/>
          <w:b/>
          <w:bCs/>
          <w:color w:val="auto"/>
          <w:sz w:val="30"/>
          <w:szCs w:val="30"/>
          <w:highlight w:val="none"/>
          <w:lang w:eastAsia="zh-CN"/>
        </w:rPr>
      </w:pPr>
      <w:bookmarkStart w:id="260" w:name="_Toc15869"/>
      <w:bookmarkStart w:id="261" w:name="_Toc997"/>
      <w:bookmarkStart w:id="262" w:name="_Toc14264"/>
      <w:bookmarkStart w:id="263" w:name="_Toc2914"/>
      <w:r>
        <w:rPr>
          <w:rFonts w:hint="eastAsia" w:ascii="宋体" w:hAnsi="宋体" w:cs="Times New Roman"/>
          <w:b/>
          <w:bCs/>
          <w:color w:val="auto"/>
          <w:sz w:val="30"/>
          <w:szCs w:val="30"/>
          <w:highlight w:val="none"/>
          <w:lang w:val="en-US" w:eastAsia="zh-CN"/>
        </w:rPr>
        <w:t>九、</w:t>
      </w:r>
      <w:r>
        <w:rPr>
          <w:rFonts w:hint="eastAsia" w:ascii="宋体" w:hAnsi="宋体" w:eastAsia="宋体" w:cs="Times New Roman"/>
          <w:b/>
          <w:bCs/>
          <w:color w:val="auto"/>
          <w:sz w:val="30"/>
          <w:szCs w:val="30"/>
          <w:highlight w:val="none"/>
          <w:lang w:eastAsia="zh-CN"/>
        </w:rPr>
        <w:t>详细的技术服务方案</w:t>
      </w:r>
      <w:bookmarkEnd w:id="260"/>
      <w:bookmarkEnd w:id="261"/>
      <w:bookmarkEnd w:id="262"/>
      <w:bookmarkEnd w:id="263"/>
    </w:p>
    <w:p w14:paraId="27EDEEEA">
      <w:pPr>
        <w:spacing w:line="460" w:lineRule="exact"/>
        <w:rPr>
          <w:color w:val="auto"/>
          <w:sz w:val="24"/>
          <w:highlight w:val="none"/>
        </w:rPr>
      </w:pPr>
    </w:p>
    <w:p w14:paraId="6067EE24">
      <w:pPr>
        <w:spacing w:line="560" w:lineRule="exact"/>
        <w:jc w:val="left"/>
        <w:rPr>
          <w:rFonts w:hint="eastAsia" w:eastAsia="宋体"/>
          <w:color w:val="auto"/>
          <w:sz w:val="24"/>
          <w:highlight w:val="none"/>
          <w:lang w:val="en-US" w:eastAsia="zh-CN"/>
        </w:rPr>
      </w:pPr>
      <w:r>
        <w:rPr>
          <w:rFonts w:hint="eastAsia"/>
          <w:color w:val="auto"/>
          <w:sz w:val="24"/>
          <w:highlight w:val="none"/>
          <w:lang w:val="en-US" w:eastAsia="zh-CN"/>
        </w:rPr>
        <w:t xml:space="preserve">  注：格式由投标人自定</w:t>
      </w:r>
    </w:p>
    <w:p w14:paraId="26362EC0">
      <w:pPr>
        <w:spacing w:line="360" w:lineRule="auto"/>
        <w:ind w:firstLine="4080" w:firstLineChars="1700"/>
        <w:rPr>
          <w:color w:val="auto"/>
          <w:sz w:val="24"/>
          <w:highlight w:val="none"/>
        </w:rPr>
      </w:pPr>
      <w:r>
        <w:rPr>
          <w:color w:val="auto"/>
          <w:sz w:val="24"/>
          <w:highlight w:val="none"/>
        </w:rPr>
        <w:t>投标人</w:t>
      </w:r>
      <w:r>
        <w:rPr>
          <w:rFonts w:hint="eastAsia"/>
          <w:color w:val="auto"/>
          <w:sz w:val="24"/>
          <w:highlight w:val="none"/>
        </w:rPr>
        <w:t>（</w:t>
      </w:r>
      <w:r>
        <w:rPr>
          <w:rFonts w:hint="eastAsia" w:hAnsi="宋体"/>
          <w:color w:val="auto"/>
          <w:sz w:val="24"/>
          <w:szCs w:val="24"/>
          <w:highlight w:val="none"/>
          <w:lang w:eastAsia="zh-CN"/>
        </w:rPr>
        <w:t>公章</w:t>
      </w:r>
      <w:r>
        <w:rPr>
          <w:rFonts w:hint="eastAsia"/>
          <w:color w:val="auto"/>
          <w:sz w:val="24"/>
          <w:highlight w:val="none"/>
        </w:rPr>
        <w:t>）</w:t>
      </w:r>
      <w:r>
        <w:rPr>
          <w:color w:val="auto"/>
          <w:sz w:val="24"/>
          <w:highlight w:val="none"/>
        </w:rPr>
        <w:t>：</w:t>
      </w:r>
    </w:p>
    <w:p w14:paraId="3BBA7372">
      <w:pPr>
        <w:spacing w:line="360" w:lineRule="auto"/>
        <w:ind w:firstLine="4080" w:firstLineChars="1700"/>
        <w:rPr>
          <w:color w:val="auto"/>
          <w:sz w:val="24"/>
          <w:highlight w:val="none"/>
        </w:rPr>
      </w:pPr>
      <w:r>
        <w:rPr>
          <w:color w:val="auto"/>
          <w:sz w:val="24"/>
          <w:highlight w:val="none"/>
        </w:rPr>
        <w:t>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7F2C565D">
      <w:pPr>
        <w:autoSpaceDN w:val="0"/>
        <w:spacing w:line="360" w:lineRule="auto"/>
        <w:jc w:val="center"/>
        <w:rPr>
          <w:b/>
          <w:bCs/>
          <w:color w:val="auto"/>
          <w:sz w:val="24"/>
          <w:highlight w:val="none"/>
        </w:rPr>
      </w:pPr>
    </w:p>
    <w:p w14:paraId="6FAAE4B0">
      <w:pPr>
        <w:keepNext w:val="0"/>
        <w:keepLines w:val="0"/>
        <w:pageBreakBefore/>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宋体" w:hAnsi="宋体" w:eastAsia="宋体"/>
          <w:b/>
          <w:color w:val="auto"/>
          <w:kern w:val="2"/>
          <w:sz w:val="28"/>
          <w:szCs w:val="28"/>
          <w:highlight w:val="none"/>
          <w:lang w:val="en-US" w:eastAsia="zh-CN" w:bidi="ar-SA"/>
        </w:rPr>
      </w:pPr>
      <w:bookmarkStart w:id="264" w:name="_Toc6295"/>
      <w:bookmarkStart w:id="265" w:name="_Toc25957"/>
      <w:bookmarkStart w:id="266" w:name="_Toc26512"/>
      <w:bookmarkStart w:id="267" w:name="_Toc23848"/>
      <w:r>
        <w:rPr>
          <w:rFonts w:hint="eastAsia" w:ascii="宋体" w:hAnsi="宋体"/>
          <w:b/>
          <w:bCs w:val="0"/>
          <w:kern w:val="2"/>
          <w:sz w:val="28"/>
          <w:szCs w:val="32"/>
          <w:lang w:val="en-US" w:eastAsia="zh-CN"/>
        </w:rPr>
        <w:t>十</w:t>
      </w:r>
      <w:r>
        <w:rPr>
          <w:rFonts w:hint="eastAsia" w:ascii="宋体" w:hAnsi="宋体"/>
          <w:b/>
          <w:bCs w:val="0"/>
          <w:kern w:val="2"/>
          <w:sz w:val="28"/>
          <w:szCs w:val="32"/>
        </w:rPr>
        <w:t>、</w:t>
      </w:r>
      <w:bookmarkEnd w:id="258"/>
      <w:bookmarkEnd w:id="259"/>
      <w:bookmarkStart w:id="268" w:name="_Toc2153"/>
      <w:r>
        <w:rPr>
          <w:rFonts w:hint="eastAsia" w:ascii="宋体" w:hAnsi="宋体" w:eastAsia="宋体"/>
          <w:b/>
          <w:color w:val="auto"/>
          <w:kern w:val="2"/>
          <w:sz w:val="28"/>
          <w:szCs w:val="28"/>
          <w:highlight w:val="none"/>
          <w:lang w:val="en-US" w:eastAsia="zh-CN" w:bidi="ar-SA"/>
        </w:rPr>
        <w:t>投标人相关资料和业绩证明材料</w:t>
      </w:r>
      <w:bookmarkEnd w:id="264"/>
      <w:bookmarkEnd w:id="265"/>
      <w:bookmarkEnd w:id="266"/>
      <w:bookmarkEnd w:id="267"/>
    </w:p>
    <w:p w14:paraId="3858F685">
      <w:pPr>
        <w:pStyle w:val="19"/>
        <w:spacing w:line="360" w:lineRule="auto"/>
        <w:ind w:firstLine="422" w:firstLineChars="150"/>
        <w:jc w:val="center"/>
        <w:outlineLvl w:val="9"/>
        <w:rPr>
          <w:rFonts w:hint="eastAsia" w:ascii="宋体" w:hAnsi="宋体" w:eastAsia="宋体" w:cs="Times New Roman"/>
          <w:b/>
          <w:color w:val="auto"/>
          <w:kern w:val="2"/>
          <w:sz w:val="28"/>
          <w:szCs w:val="28"/>
          <w:highlight w:val="none"/>
          <w:lang w:val="en-US" w:eastAsia="zh-CN" w:bidi="ar-SA"/>
        </w:rPr>
      </w:pPr>
    </w:p>
    <w:p w14:paraId="61ACA5D8">
      <w:pPr>
        <w:pStyle w:val="19"/>
        <w:spacing w:line="360" w:lineRule="auto"/>
        <w:ind w:firstLine="422" w:firstLineChars="150"/>
        <w:jc w:val="center"/>
        <w:outlineLvl w:val="9"/>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Times New Roman"/>
          <w:b/>
          <w:color w:val="auto"/>
          <w:kern w:val="2"/>
          <w:sz w:val="28"/>
          <w:szCs w:val="28"/>
          <w:highlight w:val="none"/>
          <w:lang w:val="en-US" w:eastAsia="zh-CN" w:bidi="ar-SA"/>
        </w:rPr>
        <w:t>（1）投标人类似项目业绩一览表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90"/>
        <w:gridCol w:w="699"/>
        <w:gridCol w:w="1122"/>
        <w:gridCol w:w="1316"/>
        <w:gridCol w:w="1025"/>
        <w:gridCol w:w="696"/>
        <w:gridCol w:w="2359"/>
      </w:tblGrid>
      <w:tr w14:paraId="2FDF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B1BCF23">
            <w:pPr>
              <w:snapToGrid w:val="0"/>
              <w:jc w:val="center"/>
              <w:outlineLvl w:val="9"/>
              <w:rPr>
                <w:color w:val="auto"/>
                <w:sz w:val="24"/>
                <w:highlight w:val="none"/>
              </w:rPr>
            </w:pPr>
            <w:r>
              <w:rPr>
                <w:color w:val="auto"/>
                <w:sz w:val="24"/>
                <w:highlight w:val="none"/>
              </w:rPr>
              <w:t>序号</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D4D7E93">
            <w:pPr>
              <w:snapToGrid w:val="0"/>
              <w:jc w:val="center"/>
              <w:outlineLvl w:val="9"/>
              <w:rPr>
                <w:color w:val="auto"/>
                <w:sz w:val="24"/>
                <w:highlight w:val="none"/>
              </w:rPr>
            </w:pPr>
            <w:r>
              <w:rPr>
                <w:color w:val="auto"/>
                <w:sz w:val="24"/>
                <w:highlight w:val="none"/>
              </w:rPr>
              <w:t>用户单位名称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A493B6F">
            <w:pPr>
              <w:snapToGrid w:val="0"/>
              <w:jc w:val="center"/>
              <w:outlineLvl w:val="9"/>
              <w:rPr>
                <w:color w:val="auto"/>
                <w:sz w:val="24"/>
                <w:highlight w:val="none"/>
              </w:rPr>
            </w:pPr>
            <w:r>
              <w:rPr>
                <w:color w:val="auto"/>
                <w:sz w:val="24"/>
                <w:highlight w:val="none"/>
              </w:rPr>
              <w:t>项目内容</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90623F7">
            <w:pPr>
              <w:snapToGrid w:val="0"/>
              <w:jc w:val="center"/>
              <w:outlineLvl w:val="9"/>
              <w:rPr>
                <w:color w:val="auto"/>
                <w:sz w:val="24"/>
                <w:highlight w:val="none"/>
              </w:rPr>
            </w:pPr>
            <w:r>
              <w:rPr>
                <w:color w:val="auto"/>
                <w:sz w:val="24"/>
                <w:highlight w:val="none"/>
              </w:rPr>
              <w:t>实施地点</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E5C8B1F">
            <w:pPr>
              <w:snapToGrid w:val="0"/>
              <w:jc w:val="center"/>
              <w:outlineLvl w:val="9"/>
              <w:rPr>
                <w:color w:val="auto"/>
                <w:sz w:val="24"/>
                <w:highlight w:val="none"/>
              </w:rPr>
            </w:pPr>
            <w:r>
              <w:rPr>
                <w:rFonts w:hint="eastAsia"/>
                <w:color w:val="auto"/>
                <w:sz w:val="24"/>
                <w:highlight w:val="none"/>
              </w:rPr>
              <w:t>用户</w:t>
            </w:r>
            <w:r>
              <w:rPr>
                <w:color w:val="auto"/>
                <w:sz w:val="24"/>
                <w:highlight w:val="none"/>
              </w:rPr>
              <w:t>联系人及联系方式</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5F02573">
            <w:pPr>
              <w:snapToGrid w:val="0"/>
              <w:jc w:val="center"/>
              <w:outlineLvl w:val="9"/>
              <w:rPr>
                <w:color w:val="auto"/>
                <w:sz w:val="24"/>
                <w:highlight w:val="none"/>
              </w:rPr>
            </w:pPr>
            <w:r>
              <w:rPr>
                <w:color w:val="auto"/>
                <w:sz w:val="24"/>
                <w:highlight w:val="none"/>
              </w:rPr>
              <w:t>项目起止时间</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BEE3254">
            <w:pPr>
              <w:snapToGrid w:val="0"/>
              <w:jc w:val="center"/>
              <w:outlineLvl w:val="9"/>
              <w:rPr>
                <w:color w:val="auto"/>
                <w:sz w:val="24"/>
                <w:highlight w:val="none"/>
              </w:rPr>
            </w:pPr>
            <w:r>
              <w:rPr>
                <w:color w:val="auto"/>
                <w:sz w:val="24"/>
                <w:highlight w:val="none"/>
              </w:rPr>
              <w:t>合同金额</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8A91681">
            <w:pPr>
              <w:keepNext w:val="0"/>
              <w:keepLines w:val="0"/>
              <w:pageBreakBefore w:val="0"/>
              <w:widowControl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napToGrid/>
              <w:spacing w:line="440" w:lineRule="exact"/>
              <w:textAlignment w:val="auto"/>
              <w:outlineLvl w:val="9"/>
              <w:rPr>
                <w:color w:val="auto"/>
                <w:sz w:val="24"/>
                <w:highlight w:val="none"/>
              </w:rPr>
            </w:pPr>
            <w:r>
              <w:rPr>
                <w:rFonts w:hint="eastAsia"/>
                <w:color w:val="auto"/>
                <w:sz w:val="24"/>
                <w:highlight w:val="none"/>
              </w:rPr>
              <w:t>用户盖章的成功履行合同</w:t>
            </w:r>
            <w:r>
              <w:rPr>
                <w:rFonts w:hint="eastAsia"/>
                <w:color w:val="auto"/>
                <w:sz w:val="24"/>
                <w:highlight w:val="none"/>
                <w:lang w:eastAsia="zh-CN"/>
              </w:rPr>
              <w:t>或</w:t>
            </w:r>
            <w:r>
              <w:rPr>
                <w:rFonts w:hint="eastAsia" w:ascii="宋体" w:hAnsi="宋体" w:cs="Arial"/>
                <w:color w:val="auto"/>
                <w:sz w:val="24"/>
                <w:szCs w:val="24"/>
                <w:highlight w:val="none"/>
              </w:rPr>
              <w:t>中标（成交）通知书</w:t>
            </w:r>
            <w:r>
              <w:rPr>
                <w:rFonts w:hint="eastAsia"/>
                <w:color w:val="auto"/>
                <w:sz w:val="24"/>
                <w:highlight w:val="none"/>
              </w:rPr>
              <w:t>的</w:t>
            </w:r>
            <w:r>
              <w:rPr>
                <w:rFonts w:hint="eastAsia"/>
                <w:color w:val="auto"/>
                <w:sz w:val="24"/>
                <w:highlight w:val="none"/>
                <w:lang w:eastAsia="zh-CN"/>
              </w:rPr>
              <w:t>原件彩色扫描件</w:t>
            </w:r>
            <w:r>
              <w:rPr>
                <w:rFonts w:hint="eastAsia" w:hAnsi="宋体" w:cs="Arial"/>
                <w:color w:val="auto"/>
                <w:sz w:val="24"/>
                <w:szCs w:val="24"/>
                <w:highlight w:val="none"/>
                <w:lang w:eastAsia="zh-CN"/>
              </w:rPr>
              <w:t>等</w:t>
            </w:r>
            <w:r>
              <w:rPr>
                <w:rFonts w:hint="eastAsia"/>
                <w:color w:val="auto"/>
                <w:sz w:val="24"/>
                <w:highlight w:val="none"/>
              </w:rPr>
              <w:t>相关证明材料</w:t>
            </w:r>
            <w:r>
              <w:rPr>
                <w:rFonts w:hint="eastAsia"/>
                <w:bCs/>
                <w:color w:val="auto"/>
                <w:sz w:val="24"/>
                <w:highlight w:val="none"/>
              </w:rPr>
              <w:t>所在页码</w:t>
            </w:r>
            <w:r>
              <w:rPr>
                <w:rFonts w:hint="eastAsia" w:ascii="宋体" w:hAnsi="宋体" w:cs="Arial"/>
                <w:color w:val="auto"/>
                <w:sz w:val="24"/>
                <w:szCs w:val="24"/>
                <w:highlight w:val="none"/>
              </w:rPr>
              <w:t xml:space="preserve"> </w:t>
            </w:r>
          </w:p>
        </w:tc>
      </w:tr>
      <w:tr w14:paraId="7DE0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6A0FBAE">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16F9FBAE">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59DCC346">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D709B87">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205952BD">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95E9217">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60F47CCD">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0DECD953">
            <w:pPr>
              <w:snapToGrid w:val="0"/>
              <w:jc w:val="center"/>
              <w:outlineLvl w:val="9"/>
              <w:rPr>
                <w:color w:val="auto"/>
                <w:sz w:val="24"/>
                <w:highlight w:val="none"/>
              </w:rPr>
            </w:pPr>
          </w:p>
        </w:tc>
      </w:tr>
      <w:tr w14:paraId="5EFC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5472EBAA">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7D1EE895">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6D713545">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E1D3FA6">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5866671">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7D1A5D6">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45A4148">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326289DB">
            <w:pPr>
              <w:snapToGrid w:val="0"/>
              <w:jc w:val="center"/>
              <w:outlineLvl w:val="9"/>
              <w:rPr>
                <w:color w:val="auto"/>
                <w:sz w:val="24"/>
                <w:highlight w:val="none"/>
              </w:rPr>
            </w:pPr>
          </w:p>
        </w:tc>
      </w:tr>
      <w:tr w14:paraId="1293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79C2BE4">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3B3060CB">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03AB39FB">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CD70521">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7DBF2CB">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97A4814">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60FB1FD">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675EA8AD">
            <w:pPr>
              <w:snapToGrid w:val="0"/>
              <w:jc w:val="center"/>
              <w:outlineLvl w:val="9"/>
              <w:rPr>
                <w:color w:val="auto"/>
                <w:sz w:val="24"/>
                <w:highlight w:val="none"/>
              </w:rPr>
            </w:pPr>
          </w:p>
        </w:tc>
      </w:tr>
      <w:tr w14:paraId="27B7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80B21A7">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1B00E5ED">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43BA839B">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0D3A9AA">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62C643C">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9B27793">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6310A4A">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49E78CFD">
            <w:pPr>
              <w:snapToGrid w:val="0"/>
              <w:jc w:val="center"/>
              <w:outlineLvl w:val="9"/>
              <w:rPr>
                <w:color w:val="auto"/>
                <w:sz w:val="24"/>
                <w:highlight w:val="none"/>
              </w:rPr>
            </w:pPr>
          </w:p>
        </w:tc>
      </w:tr>
      <w:tr w14:paraId="5EA2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DD57233">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DC41585">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78E636C6">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8EC7026">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33563F7">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BE19966">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FD303EB">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2CE7F6E">
            <w:pPr>
              <w:snapToGrid w:val="0"/>
              <w:jc w:val="center"/>
              <w:outlineLvl w:val="9"/>
              <w:rPr>
                <w:color w:val="auto"/>
                <w:sz w:val="24"/>
                <w:highlight w:val="none"/>
              </w:rPr>
            </w:pPr>
          </w:p>
        </w:tc>
      </w:tr>
      <w:tr w14:paraId="25E6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213A476">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ADD3B48">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3E548C36">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27C35C6">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50A985CF">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8590A8F">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27290CD">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1D8AE823">
            <w:pPr>
              <w:snapToGrid w:val="0"/>
              <w:jc w:val="center"/>
              <w:outlineLvl w:val="9"/>
              <w:rPr>
                <w:color w:val="auto"/>
                <w:sz w:val="24"/>
                <w:highlight w:val="none"/>
              </w:rPr>
            </w:pPr>
          </w:p>
        </w:tc>
      </w:tr>
      <w:tr w14:paraId="531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55167F7">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18CAD750">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2C6EA4F0">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D0F99A1">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0F453089">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7965C26">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375E602">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085C9F01">
            <w:pPr>
              <w:snapToGrid w:val="0"/>
              <w:jc w:val="center"/>
              <w:outlineLvl w:val="9"/>
              <w:rPr>
                <w:color w:val="auto"/>
                <w:sz w:val="24"/>
                <w:highlight w:val="none"/>
              </w:rPr>
            </w:pPr>
          </w:p>
        </w:tc>
      </w:tr>
      <w:tr w14:paraId="3030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CDA09E8">
            <w:pPr>
              <w:snapToGrid w:val="0"/>
              <w:jc w:val="center"/>
              <w:outlineLvl w:val="9"/>
              <w:rPr>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0CC797C7">
            <w:pPr>
              <w:snapToGrid w:val="0"/>
              <w:jc w:val="center"/>
              <w:outlineLvl w:val="9"/>
              <w:rPr>
                <w:color w:val="auto"/>
                <w:sz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16FDAC35">
            <w:pPr>
              <w:snapToGrid w:val="0"/>
              <w:jc w:val="center"/>
              <w:outlineLvl w:val="9"/>
              <w:rPr>
                <w:color w:val="auto"/>
                <w:sz w:val="24"/>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A4A32CD">
            <w:pPr>
              <w:snapToGrid w:val="0"/>
              <w:jc w:val="center"/>
              <w:outlineLvl w:val="9"/>
              <w:rPr>
                <w:color w:val="auto"/>
                <w:sz w:val="24"/>
                <w:highlight w:val="none"/>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14:paraId="0F813B9F">
            <w:pPr>
              <w:snapToGrid w:val="0"/>
              <w:jc w:val="center"/>
              <w:outlineLvl w:val="9"/>
              <w:rPr>
                <w:color w:val="auto"/>
                <w:sz w:val="24"/>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1FE95F7">
            <w:pPr>
              <w:snapToGrid w:val="0"/>
              <w:jc w:val="center"/>
              <w:outlineLvl w:val="9"/>
              <w:rPr>
                <w:color w:val="auto"/>
                <w:sz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EC79459">
            <w:pPr>
              <w:snapToGrid w:val="0"/>
              <w:jc w:val="center"/>
              <w:outlineLvl w:val="9"/>
              <w:rPr>
                <w:color w:val="auto"/>
                <w:sz w:val="24"/>
                <w:highlight w:val="none"/>
              </w:rPr>
            </w:pPr>
          </w:p>
        </w:tc>
        <w:tc>
          <w:tcPr>
            <w:tcW w:w="2359" w:type="dxa"/>
            <w:tcBorders>
              <w:top w:val="single" w:color="auto" w:sz="4" w:space="0"/>
              <w:left w:val="single" w:color="auto" w:sz="4" w:space="0"/>
              <w:bottom w:val="single" w:color="auto" w:sz="4" w:space="0"/>
              <w:right w:val="single" w:color="auto" w:sz="4" w:space="0"/>
            </w:tcBorders>
            <w:noWrap w:val="0"/>
            <w:vAlign w:val="center"/>
          </w:tcPr>
          <w:p w14:paraId="7F37AAD5">
            <w:pPr>
              <w:snapToGrid w:val="0"/>
              <w:jc w:val="center"/>
              <w:outlineLvl w:val="9"/>
              <w:rPr>
                <w:color w:val="auto"/>
                <w:sz w:val="24"/>
                <w:highlight w:val="none"/>
              </w:rPr>
            </w:pPr>
          </w:p>
        </w:tc>
      </w:tr>
    </w:tbl>
    <w:p w14:paraId="3DCF819F">
      <w:pPr>
        <w:spacing w:line="560" w:lineRule="exact"/>
        <w:jc w:val="both"/>
        <w:outlineLvl w:val="9"/>
        <w:rPr>
          <w:color w:val="auto"/>
          <w:sz w:val="24"/>
          <w:highlight w:val="none"/>
        </w:rPr>
      </w:pPr>
    </w:p>
    <w:p w14:paraId="3EE1E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highlight w:val="none"/>
        </w:rPr>
      </w:pPr>
      <w:r>
        <w:rPr>
          <w:color w:val="auto"/>
          <w:sz w:val="24"/>
          <w:highlight w:val="none"/>
        </w:rPr>
        <w:t>备注：若</w:t>
      </w:r>
      <w:r>
        <w:rPr>
          <w:rFonts w:hint="eastAsia"/>
          <w:color w:val="auto"/>
          <w:sz w:val="24"/>
          <w:highlight w:val="none"/>
        </w:rPr>
        <w:t>招标文件评分因素及评标标准中</w:t>
      </w:r>
      <w:r>
        <w:rPr>
          <w:color w:val="auto"/>
          <w:sz w:val="24"/>
          <w:highlight w:val="none"/>
        </w:rPr>
        <w:t>要求提供</w:t>
      </w:r>
      <w:r>
        <w:rPr>
          <w:rFonts w:hint="eastAsia"/>
          <w:color w:val="auto"/>
          <w:sz w:val="24"/>
          <w:highlight w:val="none"/>
        </w:rPr>
        <w:t>业绩</w:t>
      </w:r>
      <w:r>
        <w:rPr>
          <w:color w:val="auto"/>
          <w:sz w:val="24"/>
          <w:highlight w:val="none"/>
        </w:rPr>
        <w:t>的，投标人所列业绩应按其要求将证明材料按顺序附后</w:t>
      </w:r>
      <w:r>
        <w:rPr>
          <w:rFonts w:hint="eastAsia"/>
          <w:color w:val="auto"/>
          <w:sz w:val="24"/>
          <w:highlight w:val="none"/>
          <w:lang w:eastAsia="zh-CN"/>
        </w:rPr>
        <w:t>，并在表中标明材料所在页码</w:t>
      </w:r>
      <w:r>
        <w:rPr>
          <w:color w:val="auto"/>
          <w:sz w:val="24"/>
          <w:highlight w:val="none"/>
        </w:rPr>
        <w:t>。</w:t>
      </w:r>
    </w:p>
    <w:p w14:paraId="664B8F04">
      <w:pPr>
        <w:spacing w:line="360" w:lineRule="auto"/>
        <w:jc w:val="both"/>
        <w:outlineLvl w:val="9"/>
        <w:rPr>
          <w:rFonts w:hint="eastAsia" w:ascii="宋体" w:hAnsi="宋体" w:cs="Arial"/>
          <w:color w:val="auto"/>
          <w:sz w:val="24"/>
          <w:szCs w:val="24"/>
          <w:highlight w:val="none"/>
        </w:rPr>
      </w:pPr>
    </w:p>
    <w:p w14:paraId="47AD41E0">
      <w:pPr>
        <w:keepNext w:val="0"/>
        <w:keepLines w:val="0"/>
        <w:pageBreakBefore w:val="0"/>
        <w:widowControl w:val="0"/>
        <w:kinsoku/>
        <w:wordWrap/>
        <w:overflowPunct/>
        <w:topLinePunct w:val="0"/>
        <w:autoSpaceDE/>
        <w:autoSpaceDN/>
        <w:bidi w:val="0"/>
        <w:adjustRightInd w:val="0"/>
        <w:snapToGrid/>
        <w:spacing w:line="360" w:lineRule="auto"/>
        <w:ind w:firstLine="3600" w:firstLineChars="1500"/>
        <w:jc w:val="lef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hAnsi="宋体"/>
          <w:color w:val="auto"/>
          <w:sz w:val="24"/>
          <w:szCs w:val="24"/>
          <w:highlight w:val="none"/>
          <w:lang w:eastAsia="zh-CN"/>
        </w:rPr>
        <w:t>公</w:t>
      </w:r>
      <w:r>
        <w:rPr>
          <w:rFonts w:ascii="宋体" w:hAnsi="宋体"/>
          <w:color w:val="auto"/>
          <w:sz w:val="24"/>
          <w:szCs w:val="24"/>
          <w:highlight w:val="none"/>
        </w:rPr>
        <w:t>章</w:t>
      </w:r>
      <w:r>
        <w:rPr>
          <w:rFonts w:hint="eastAsia" w:ascii="宋体" w:hAnsi="宋体"/>
          <w:color w:val="auto"/>
          <w:sz w:val="24"/>
          <w:szCs w:val="24"/>
          <w:highlight w:val="none"/>
        </w:rPr>
        <w:t xml:space="preserve">）：         </w:t>
      </w:r>
    </w:p>
    <w:p w14:paraId="14494940">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ascii="宋体" w:hAnsi="宋体"/>
          <w:bCs/>
          <w:color w:val="auto"/>
          <w:sz w:val="24"/>
          <w:szCs w:val="24"/>
          <w:highlight w:val="none"/>
        </w:rPr>
      </w:pPr>
      <w:r>
        <w:rPr>
          <w:rFonts w:hint="eastAsia" w:ascii="宋体"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（签字</w:t>
      </w:r>
      <w:r>
        <w:rPr>
          <w:rFonts w:hint="eastAsia" w:hAnsi="宋体"/>
          <w:color w:val="auto"/>
          <w:sz w:val="24"/>
          <w:szCs w:val="24"/>
          <w:highlight w:val="none"/>
          <w:lang w:eastAsia="zh-CN"/>
        </w:rPr>
        <w:t>或盖章</w:t>
      </w:r>
      <w:r>
        <w:rPr>
          <w:rFonts w:hint="eastAsia" w:ascii="宋体" w:hAnsi="宋体"/>
          <w:color w:val="auto"/>
          <w:sz w:val="24"/>
          <w:szCs w:val="24"/>
          <w:highlight w:val="none"/>
        </w:rPr>
        <w:t>）：</w:t>
      </w:r>
    </w:p>
    <w:p w14:paraId="01633BCF">
      <w:pPr>
        <w:pStyle w:val="19"/>
        <w:keepNext w:val="0"/>
        <w:keepLines w:val="0"/>
        <w:pageBreakBefore w:val="0"/>
        <w:widowControl w:val="0"/>
        <w:kinsoku/>
        <w:wordWrap/>
        <w:overflowPunct/>
        <w:topLinePunct w:val="0"/>
        <w:autoSpaceDE/>
        <w:autoSpaceDN/>
        <w:bidi w:val="0"/>
        <w:snapToGrid/>
        <w:spacing w:line="360" w:lineRule="auto"/>
        <w:ind w:left="0" w:leftChars="0" w:firstLine="3600" w:firstLineChars="1500"/>
        <w:jc w:val="left"/>
        <w:textAlignment w:val="auto"/>
        <w:outlineLvl w:val="9"/>
        <w:rPr>
          <w:rFonts w:hint="eastAsia" w:hAnsi="宋体" w:eastAsia="宋体"/>
          <w:b/>
          <w:color w:val="auto"/>
          <w:kern w:val="2"/>
          <w:sz w:val="28"/>
          <w:szCs w:val="28"/>
          <w:highlight w:val="none"/>
          <w:lang w:val="en-US" w:eastAsia="zh-CN" w:bidi="ar-SA"/>
        </w:rPr>
      </w:pPr>
      <w:r>
        <w:rPr>
          <w:rFonts w:hint="eastAsia" w:ascii="宋体" w:hAnsi="宋体"/>
          <w:bCs/>
          <w:color w:val="auto"/>
          <w:sz w:val="24"/>
          <w:szCs w:val="24"/>
          <w:highlight w:val="none"/>
        </w:rPr>
        <w:t>日  期</w:t>
      </w:r>
      <w:r>
        <w:rPr>
          <w:rFonts w:ascii="宋体" w:hAnsi="宋体"/>
          <w:bCs/>
          <w:color w:val="auto"/>
          <w:sz w:val="24"/>
          <w:szCs w:val="24"/>
          <w:highlight w:val="none"/>
        </w:rPr>
        <w:t>:</w:t>
      </w:r>
      <w:r>
        <w:rPr>
          <w:rFonts w:hint="eastAsia" w:hAnsi="宋体"/>
          <w:bCs/>
          <w:color w:val="auto"/>
          <w:sz w:val="24"/>
          <w:szCs w:val="24"/>
          <w:highlight w:val="none"/>
          <w:u w:val="single"/>
          <w:lang w:val="en-US" w:eastAsia="zh-CN"/>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eastAsia="宋体"/>
          <w:b/>
          <w:color w:val="auto"/>
          <w:kern w:val="2"/>
          <w:sz w:val="28"/>
          <w:szCs w:val="28"/>
          <w:highlight w:val="none"/>
          <w:lang w:val="en-US" w:eastAsia="zh-CN" w:bidi="ar-SA"/>
        </w:rPr>
        <w:br w:type="textWrapping"/>
      </w:r>
      <w:r>
        <w:rPr>
          <w:rFonts w:hint="eastAsia" w:hAnsi="宋体" w:eastAsia="宋体"/>
          <w:b/>
          <w:color w:val="auto"/>
          <w:kern w:val="2"/>
          <w:sz w:val="28"/>
          <w:szCs w:val="28"/>
          <w:highlight w:val="none"/>
          <w:lang w:val="en-US" w:eastAsia="zh-CN" w:bidi="ar-SA"/>
        </w:rPr>
        <w:t xml:space="preserve"> </w:t>
      </w:r>
    </w:p>
    <w:p w14:paraId="0D0C4D6D">
      <w:pPr>
        <w:pStyle w:val="19"/>
        <w:spacing w:line="360" w:lineRule="auto"/>
        <w:ind w:firstLine="422" w:firstLineChars="150"/>
        <w:outlineLvl w:val="9"/>
        <w:rPr>
          <w:rFonts w:hint="eastAsia" w:ascii="宋体" w:hAnsi="宋体"/>
          <w:color w:val="auto"/>
          <w:sz w:val="24"/>
          <w:szCs w:val="24"/>
          <w:highlight w:val="none"/>
        </w:rPr>
      </w:pPr>
      <w:r>
        <w:rPr>
          <w:rFonts w:hint="eastAsia" w:ascii="宋体" w:hAnsi="宋体" w:eastAsia="宋体" w:cs="Times New Roman"/>
          <w:b/>
          <w:color w:val="auto"/>
          <w:kern w:val="2"/>
          <w:sz w:val="28"/>
          <w:szCs w:val="28"/>
          <w:highlight w:val="none"/>
          <w:lang w:val="en-US" w:eastAsia="zh-CN" w:bidi="ar-SA"/>
        </w:rPr>
        <w:t>（2）投标人认为有必要提供的其他有关资料</w:t>
      </w:r>
    </w:p>
    <w:p w14:paraId="79FF08E9">
      <w:pPr>
        <w:pStyle w:val="19"/>
        <w:spacing w:line="360" w:lineRule="auto"/>
        <w:ind w:firstLine="360" w:firstLineChars="150"/>
        <w:outlineLvl w:val="9"/>
        <w:rPr>
          <w:rFonts w:hint="eastAsia" w:ascii="宋体" w:hAnsi="宋体"/>
          <w:color w:val="auto"/>
          <w:sz w:val="24"/>
          <w:szCs w:val="24"/>
          <w:highlight w:val="none"/>
        </w:rPr>
      </w:pPr>
    </w:p>
    <w:p w14:paraId="4B05693B">
      <w:pPr>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b/>
          <w:color w:val="auto"/>
          <w:kern w:val="2"/>
          <w:sz w:val="28"/>
          <w:szCs w:val="28"/>
          <w:highlight w:val="none"/>
          <w:lang w:val="en-US" w:eastAsia="zh-CN" w:bidi="ar-SA"/>
        </w:rPr>
      </w:pPr>
      <w:bookmarkStart w:id="269" w:name="_Toc14400"/>
      <w:bookmarkStart w:id="270" w:name="_Toc16734"/>
      <w:bookmarkStart w:id="271" w:name="_Toc24244"/>
      <w:r>
        <w:rPr>
          <w:rFonts w:hint="eastAsia" w:ascii="宋体" w:hAnsi="宋体" w:eastAsia="宋体"/>
          <w:b/>
          <w:color w:val="auto"/>
          <w:kern w:val="2"/>
          <w:sz w:val="28"/>
          <w:szCs w:val="28"/>
          <w:highlight w:val="none"/>
          <w:lang w:val="en-US" w:eastAsia="zh-CN" w:bidi="ar-SA"/>
        </w:rPr>
        <w:t>三、投标人本项目管理、技术、服务人员情况表</w:t>
      </w:r>
      <w:bookmarkEnd w:id="269"/>
      <w:bookmarkEnd w:id="270"/>
      <w:bookmarkEnd w:id="271"/>
    </w:p>
    <w:p w14:paraId="67953FD6">
      <w:pPr>
        <w:spacing w:line="360" w:lineRule="auto"/>
        <w:outlineLvl w:val="9"/>
        <w:rPr>
          <w:rFonts w:hint="eastAsia" w:ascii="宋体" w:hAnsi="宋体" w:cs="Arial"/>
          <w:bCs/>
          <w:color w:val="auto"/>
          <w:sz w:val="24"/>
          <w:szCs w:val="24"/>
          <w:highlight w:val="none"/>
          <w:lang w:val="en-US" w:eastAsia="zh-CN"/>
        </w:rPr>
      </w:pPr>
      <w:r>
        <w:rPr>
          <w:rFonts w:hint="eastAsia" w:ascii="宋体" w:hAnsi="宋体" w:cs="Arial"/>
          <w:bCs/>
          <w:color w:val="auto"/>
          <w:sz w:val="24"/>
          <w:szCs w:val="24"/>
          <w:highlight w:val="none"/>
          <w:lang w:val="en-US" w:eastAsia="zh-CN"/>
        </w:rPr>
        <w:t xml:space="preserve">    </w:t>
      </w:r>
    </w:p>
    <w:p w14:paraId="63260437">
      <w:pPr>
        <w:spacing w:line="360" w:lineRule="auto"/>
        <w:outlineLvl w:val="9"/>
        <w:rPr>
          <w:rFonts w:hint="eastAsia" w:ascii="宋体" w:hAnsi="宋体"/>
          <w:b/>
          <w:color w:val="auto"/>
          <w:kern w:val="2"/>
          <w:sz w:val="24"/>
          <w:szCs w:val="24"/>
          <w:highlight w:val="none"/>
          <w:lang w:val="en-US" w:eastAsia="zh-CN" w:bidi="ar-SA"/>
        </w:rPr>
      </w:pPr>
      <w:r>
        <w:rPr>
          <w:rFonts w:hint="eastAsia" w:ascii="宋体" w:hAnsi="宋体" w:cs="Arial"/>
          <w:bCs/>
          <w:color w:val="auto"/>
          <w:sz w:val="24"/>
          <w:szCs w:val="24"/>
          <w:highlight w:val="none"/>
        </w:rPr>
        <w:t>招标文件编号：</w:t>
      </w:r>
    </w:p>
    <w:tbl>
      <w:tblPr>
        <w:tblStyle w:val="46"/>
        <w:tblpPr w:leftFromText="180" w:rightFromText="180" w:vertAnchor="text" w:horzAnchor="page" w:tblpX="1742" w:tblpY="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810"/>
        <w:gridCol w:w="811"/>
        <w:gridCol w:w="811"/>
        <w:gridCol w:w="938"/>
        <w:gridCol w:w="930"/>
        <w:gridCol w:w="743"/>
        <w:gridCol w:w="846"/>
        <w:gridCol w:w="969"/>
      </w:tblGrid>
      <w:tr w14:paraId="2C2A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42" w:type="dxa"/>
            <w:vMerge w:val="restart"/>
            <w:noWrap w:val="0"/>
            <w:vAlign w:val="center"/>
          </w:tcPr>
          <w:p w14:paraId="21770E35">
            <w:pPr>
              <w:spacing w:line="360" w:lineRule="auto"/>
              <w:outlineLvl w:val="9"/>
              <w:rPr>
                <w:rFonts w:hint="eastAsia" w:ascii="宋体" w:hAnsi="宋体" w:cs="Arial"/>
                <w:color w:val="auto"/>
                <w:sz w:val="24"/>
                <w:szCs w:val="24"/>
                <w:highlight w:val="none"/>
              </w:rPr>
            </w:pPr>
            <w:r>
              <w:rPr>
                <w:rFonts w:hint="eastAsia" w:ascii="宋体" w:hAnsi="宋体" w:cs="Arial"/>
                <w:b/>
                <w:bCs/>
                <w:color w:val="auto"/>
                <w:sz w:val="24"/>
                <w:szCs w:val="24"/>
                <w:highlight w:val="none"/>
              </w:rPr>
              <w:t xml:space="preserve"> </w:t>
            </w:r>
            <w:r>
              <w:rPr>
                <w:rFonts w:hint="eastAsia" w:ascii="宋体" w:hAnsi="宋体" w:cs="Arial"/>
                <w:color w:val="auto"/>
                <w:sz w:val="24"/>
                <w:szCs w:val="24"/>
                <w:highlight w:val="none"/>
              </w:rPr>
              <w:t>类别</w:t>
            </w:r>
          </w:p>
        </w:tc>
        <w:tc>
          <w:tcPr>
            <w:tcW w:w="810" w:type="dxa"/>
            <w:vMerge w:val="restart"/>
            <w:noWrap w:val="0"/>
            <w:vAlign w:val="center"/>
          </w:tcPr>
          <w:p w14:paraId="67BF46B0">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职务</w:t>
            </w:r>
          </w:p>
        </w:tc>
        <w:tc>
          <w:tcPr>
            <w:tcW w:w="811" w:type="dxa"/>
            <w:vMerge w:val="restart"/>
            <w:noWrap w:val="0"/>
            <w:vAlign w:val="center"/>
          </w:tcPr>
          <w:p w14:paraId="6C4E88CD">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姓名</w:t>
            </w:r>
          </w:p>
        </w:tc>
        <w:tc>
          <w:tcPr>
            <w:tcW w:w="811" w:type="dxa"/>
            <w:vMerge w:val="restart"/>
            <w:noWrap w:val="0"/>
            <w:vAlign w:val="center"/>
          </w:tcPr>
          <w:p w14:paraId="793B3B6C">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职称</w:t>
            </w:r>
          </w:p>
        </w:tc>
        <w:tc>
          <w:tcPr>
            <w:tcW w:w="938" w:type="dxa"/>
            <w:vMerge w:val="restart"/>
            <w:noWrap w:val="0"/>
            <w:vAlign w:val="center"/>
          </w:tcPr>
          <w:p w14:paraId="3D30929F">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常住地</w:t>
            </w:r>
          </w:p>
        </w:tc>
        <w:tc>
          <w:tcPr>
            <w:tcW w:w="3488" w:type="dxa"/>
            <w:gridSpan w:val="4"/>
            <w:noWrap w:val="0"/>
            <w:vAlign w:val="center"/>
          </w:tcPr>
          <w:p w14:paraId="21692E6A">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资格证明（附</w:t>
            </w:r>
            <w:r>
              <w:rPr>
                <w:rFonts w:hint="eastAsia" w:hAnsi="宋体" w:cs="Arial"/>
                <w:color w:val="auto"/>
                <w:sz w:val="24"/>
                <w:szCs w:val="24"/>
                <w:highlight w:val="none"/>
                <w:lang w:eastAsia="zh-CN"/>
              </w:rPr>
              <w:t>原件彩色扫描件</w:t>
            </w:r>
            <w:r>
              <w:rPr>
                <w:rFonts w:hint="eastAsia" w:ascii="宋体" w:hAnsi="宋体" w:cs="Arial"/>
                <w:color w:val="auto"/>
                <w:sz w:val="24"/>
                <w:szCs w:val="24"/>
                <w:highlight w:val="none"/>
              </w:rPr>
              <w:t>）</w:t>
            </w:r>
          </w:p>
        </w:tc>
      </w:tr>
      <w:tr w14:paraId="3ED4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42" w:type="dxa"/>
            <w:vMerge w:val="continue"/>
            <w:noWrap w:val="0"/>
            <w:vAlign w:val="center"/>
          </w:tcPr>
          <w:p w14:paraId="13507EB3">
            <w:pPr>
              <w:spacing w:line="360" w:lineRule="auto"/>
              <w:jc w:val="center"/>
              <w:outlineLvl w:val="9"/>
              <w:rPr>
                <w:rFonts w:hint="eastAsia" w:ascii="宋体" w:hAnsi="宋体" w:cs="Arial"/>
                <w:color w:val="auto"/>
                <w:sz w:val="24"/>
                <w:szCs w:val="24"/>
                <w:highlight w:val="none"/>
              </w:rPr>
            </w:pPr>
          </w:p>
        </w:tc>
        <w:tc>
          <w:tcPr>
            <w:tcW w:w="810" w:type="dxa"/>
            <w:vMerge w:val="continue"/>
            <w:noWrap w:val="0"/>
            <w:vAlign w:val="center"/>
          </w:tcPr>
          <w:p w14:paraId="576FC2E5">
            <w:pPr>
              <w:spacing w:line="360" w:lineRule="auto"/>
              <w:jc w:val="center"/>
              <w:outlineLvl w:val="9"/>
              <w:rPr>
                <w:rFonts w:hint="eastAsia" w:ascii="宋体" w:hAnsi="宋体" w:cs="Arial"/>
                <w:color w:val="auto"/>
                <w:sz w:val="24"/>
                <w:szCs w:val="24"/>
                <w:highlight w:val="none"/>
              </w:rPr>
            </w:pPr>
          </w:p>
        </w:tc>
        <w:tc>
          <w:tcPr>
            <w:tcW w:w="811" w:type="dxa"/>
            <w:vMerge w:val="continue"/>
            <w:noWrap w:val="0"/>
            <w:vAlign w:val="center"/>
          </w:tcPr>
          <w:p w14:paraId="72700D89">
            <w:pPr>
              <w:spacing w:line="360" w:lineRule="auto"/>
              <w:jc w:val="center"/>
              <w:outlineLvl w:val="9"/>
              <w:rPr>
                <w:rFonts w:hint="eastAsia" w:ascii="宋体" w:hAnsi="宋体" w:cs="Arial"/>
                <w:color w:val="auto"/>
                <w:sz w:val="24"/>
                <w:szCs w:val="24"/>
                <w:highlight w:val="none"/>
              </w:rPr>
            </w:pPr>
          </w:p>
        </w:tc>
        <w:tc>
          <w:tcPr>
            <w:tcW w:w="811" w:type="dxa"/>
            <w:vMerge w:val="continue"/>
            <w:noWrap w:val="0"/>
            <w:vAlign w:val="center"/>
          </w:tcPr>
          <w:p w14:paraId="69B13F9A">
            <w:pPr>
              <w:spacing w:line="360" w:lineRule="auto"/>
              <w:jc w:val="center"/>
              <w:outlineLvl w:val="9"/>
              <w:rPr>
                <w:rFonts w:hint="eastAsia" w:ascii="宋体" w:hAnsi="宋体" w:cs="Arial"/>
                <w:color w:val="auto"/>
                <w:sz w:val="24"/>
                <w:szCs w:val="24"/>
                <w:highlight w:val="none"/>
              </w:rPr>
            </w:pPr>
          </w:p>
        </w:tc>
        <w:tc>
          <w:tcPr>
            <w:tcW w:w="938" w:type="dxa"/>
            <w:vMerge w:val="continue"/>
            <w:noWrap w:val="0"/>
            <w:vAlign w:val="center"/>
          </w:tcPr>
          <w:p w14:paraId="44B15259">
            <w:pPr>
              <w:spacing w:line="360" w:lineRule="auto"/>
              <w:jc w:val="center"/>
              <w:outlineLvl w:val="9"/>
              <w:rPr>
                <w:rFonts w:ascii="宋体" w:hAnsi="宋体" w:cs="Arial"/>
                <w:color w:val="auto"/>
                <w:sz w:val="24"/>
                <w:szCs w:val="24"/>
                <w:highlight w:val="none"/>
              </w:rPr>
            </w:pPr>
          </w:p>
        </w:tc>
        <w:tc>
          <w:tcPr>
            <w:tcW w:w="930" w:type="dxa"/>
            <w:noWrap w:val="0"/>
            <w:vAlign w:val="center"/>
          </w:tcPr>
          <w:p w14:paraId="03FD4EC3">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证书</w:t>
            </w:r>
          </w:p>
          <w:p w14:paraId="2E2B4FD8">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名称</w:t>
            </w:r>
          </w:p>
        </w:tc>
        <w:tc>
          <w:tcPr>
            <w:tcW w:w="743" w:type="dxa"/>
            <w:noWrap w:val="0"/>
            <w:vAlign w:val="center"/>
          </w:tcPr>
          <w:p w14:paraId="6AFC6FE2">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级别</w:t>
            </w:r>
          </w:p>
        </w:tc>
        <w:tc>
          <w:tcPr>
            <w:tcW w:w="846" w:type="dxa"/>
            <w:noWrap w:val="0"/>
            <w:vAlign w:val="center"/>
          </w:tcPr>
          <w:p w14:paraId="0EB96500">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证号</w:t>
            </w:r>
          </w:p>
        </w:tc>
        <w:tc>
          <w:tcPr>
            <w:tcW w:w="969" w:type="dxa"/>
            <w:noWrap w:val="0"/>
            <w:vAlign w:val="center"/>
          </w:tcPr>
          <w:p w14:paraId="5AF8057C">
            <w:pPr>
              <w:spacing w:line="360" w:lineRule="auto"/>
              <w:jc w:val="center"/>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专业</w:t>
            </w:r>
          </w:p>
        </w:tc>
      </w:tr>
      <w:tr w14:paraId="4DEC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42" w:type="dxa"/>
            <w:vMerge w:val="restart"/>
            <w:noWrap w:val="0"/>
            <w:vAlign w:val="center"/>
          </w:tcPr>
          <w:p w14:paraId="6042C4B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管</w:t>
            </w:r>
          </w:p>
          <w:p w14:paraId="2E0FC8E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理</w:t>
            </w:r>
          </w:p>
          <w:p w14:paraId="48A0369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人</w:t>
            </w:r>
          </w:p>
          <w:p w14:paraId="65BCE3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员</w:t>
            </w:r>
          </w:p>
        </w:tc>
        <w:tc>
          <w:tcPr>
            <w:tcW w:w="810" w:type="dxa"/>
            <w:noWrap w:val="0"/>
            <w:vAlign w:val="top"/>
          </w:tcPr>
          <w:p w14:paraId="141E79C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17B8601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00C7F7C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8" w:type="dxa"/>
            <w:noWrap w:val="0"/>
            <w:vAlign w:val="top"/>
          </w:tcPr>
          <w:p w14:paraId="5E99DA5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0" w:type="dxa"/>
            <w:noWrap w:val="0"/>
            <w:vAlign w:val="top"/>
          </w:tcPr>
          <w:p w14:paraId="647BA97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743" w:type="dxa"/>
            <w:noWrap w:val="0"/>
            <w:vAlign w:val="top"/>
          </w:tcPr>
          <w:p w14:paraId="64F55C6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46" w:type="dxa"/>
            <w:noWrap w:val="0"/>
            <w:vAlign w:val="top"/>
          </w:tcPr>
          <w:p w14:paraId="23B6829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69" w:type="dxa"/>
            <w:noWrap w:val="0"/>
            <w:vAlign w:val="top"/>
          </w:tcPr>
          <w:p w14:paraId="0285107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r>
      <w:tr w14:paraId="7B7A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42" w:type="dxa"/>
            <w:vMerge w:val="continue"/>
            <w:noWrap w:val="0"/>
            <w:vAlign w:val="center"/>
          </w:tcPr>
          <w:p w14:paraId="6A2ECE8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p>
        </w:tc>
        <w:tc>
          <w:tcPr>
            <w:tcW w:w="810" w:type="dxa"/>
            <w:noWrap w:val="0"/>
            <w:vAlign w:val="top"/>
          </w:tcPr>
          <w:p w14:paraId="6F81B7C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6C3527B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2D6ED7B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8" w:type="dxa"/>
            <w:noWrap w:val="0"/>
            <w:vAlign w:val="top"/>
          </w:tcPr>
          <w:p w14:paraId="1522FEA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0" w:type="dxa"/>
            <w:noWrap w:val="0"/>
            <w:vAlign w:val="top"/>
          </w:tcPr>
          <w:p w14:paraId="40C2A40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743" w:type="dxa"/>
            <w:noWrap w:val="0"/>
            <w:vAlign w:val="top"/>
          </w:tcPr>
          <w:p w14:paraId="5AFF8CA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46" w:type="dxa"/>
            <w:noWrap w:val="0"/>
            <w:vAlign w:val="top"/>
          </w:tcPr>
          <w:p w14:paraId="025A4DB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69" w:type="dxa"/>
            <w:noWrap w:val="0"/>
            <w:vAlign w:val="top"/>
          </w:tcPr>
          <w:p w14:paraId="23BC118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r>
      <w:tr w14:paraId="49DB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942" w:type="dxa"/>
            <w:vMerge w:val="continue"/>
            <w:noWrap w:val="0"/>
            <w:vAlign w:val="center"/>
          </w:tcPr>
          <w:p w14:paraId="622A68E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p>
        </w:tc>
        <w:tc>
          <w:tcPr>
            <w:tcW w:w="810" w:type="dxa"/>
            <w:noWrap w:val="0"/>
            <w:vAlign w:val="top"/>
          </w:tcPr>
          <w:p w14:paraId="733CB59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77E30B4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3EA05CC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8" w:type="dxa"/>
            <w:noWrap w:val="0"/>
            <w:vAlign w:val="top"/>
          </w:tcPr>
          <w:p w14:paraId="11F799E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0" w:type="dxa"/>
            <w:noWrap w:val="0"/>
            <w:vAlign w:val="top"/>
          </w:tcPr>
          <w:p w14:paraId="3132797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743" w:type="dxa"/>
            <w:noWrap w:val="0"/>
            <w:vAlign w:val="top"/>
          </w:tcPr>
          <w:p w14:paraId="28CF5D4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46" w:type="dxa"/>
            <w:noWrap w:val="0"/>
            <w:vAlign w:val="top"/>
          </w:tcPr>
          <w:p w14:paraId="06B134E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69" w:type="dxa"/>
            <w:noWrap w:val="0"/>
            <w:vAlign w:val="top"/>
          </w:tcPr>
          <w:p w14:paraId="178D11C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r>
      <w:tr w14:paraId="5F0C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42" w:type="dxa"/>
            <w:vMerge w:val="restart"/>
            <w:noWrap w:val="0"/>
            <w:vAlign w:val="center"/>
          </w:tcPr>
          <w:p w14:paraId="0A47BEA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技</w:t>
            </w:r>
          </w:p>
          <w:p w14:paraId="3EC40E5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术</w:t>
            </w:r>
          </w:p>
          <w:p w14:paraId="574B066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人</w:t>
            </w:r>
          </w:p>
          <w:p w14:paraId="018224C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员</w:t>
            </w:r>
          </w:p>
        </w:tc>
        <w:tc>
          <w:tcPr>
            <w:tcW w:w="810" w:type="dxa"/>
            <w:noWrap w:val="0"/>
            <w:vAlign w:val="top"/>
          </w:tcPr>
          <w:p w14:paraId="2ABD9F1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0C1E32D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6E96691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8" w:type="dxa"/>
            <w:noWrap w:val="0"/>
            <w:vAlign w:val="top"/>
          </w:tcPr>
          <w:p w14:paraId="5B2C17A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0" w:type="dxa"/>
            <w:noWrap w:val="0"/>
            <w:vAlign w:val="top"/>
          </w:tcPr>
          <w:p w14:paraId="6ABB686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743" w:type="dxa"/>
            <w:noWrap w:val="0"/>
            <w:vAlign w:val="top"/>
          </w:tcPr>
          <w:p w14:paraId="2BB1B9A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46" w:type="dxa"/>
            <w:noWrap w:val="0"/>
            <w:vAlign w:val="top"/>
          </w:tcPr>
          <w:p w14:paraId="6D688F3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69" w:type="dxa"/>
            <w:noWrap w:val="0"/>
            <w:vAlign w:val="top"/>
          </w:tcPr>
          <w:p w14:paraId="033600C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r>
      <w:tr w14:paraId="68A8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42" w:type="dxa"/>
            <w:vMerge w:val="continue"/>
            <w:noWrap w:val="0"/>
            <w:vAlign w:val="center"/>
          </w:tcPr>
          <w:p w14:paraId="2232132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p>
        </w:tc>
        <w:tc>
          <w:tcPr>
            <w:tcW w:w="810" w:type="dxa"/>
            <w:noWrap w:val="0"/>
            <w:vAlign w:val="top"/>
          </w:tcPr>
          <w:p w14:paraId="023228E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05E5A04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71A98E4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8" w:type="dxa"/>
            <w:noWrap w:val="0"/>
            <w:vAlign w:val="top"/>
          </w:tcPr>
          <w:p w14:paraId="4DD3DDB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0" w:type="dxa"/>
            <w:noWrap w:val="0"/>
            <w:vAlign w:val="top"/>
          </w:tcPr>
          <w:p w14:paraId="0065232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743" w:type="dxa"/>
            <w:noWrap w:val="0"/>
            <w:vAlign w:val="top"/>
          </w:tcPr>
          <w:p w14:paraId="68B6BB3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46" w:type="dxa"/>
            <w:noWrap w:val="0"/>
            <w:vAlign w:val="top"/>
          </w:tcPr>
          <w:p w14:paraId="5D9D032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69" w:type="dxa"/>
            <w:noWrap w:val="0"/>
            <w:vAlign w:val="top"/>
          </w:tcPr>
          <w:p w14:paraId="07F779A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r>
      <w:tr w14:paraId="34C7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942" w:type="dxa"/>
            <w:vMerge w:val="continue"/>
            <w:noWrap w:val="0"/>
            <w:vAlign w:val="center"/>
          </w:tcPr>
          <w:p w14:paraId="69E75E9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p>
        </w:tc>
        <w:tc>
          <w:tcPr>
            <w:tcW w:w="810" w:type="dxa"/>
            <w:noWrap w:val="0"/>
            <w:vAlign w:val="top"/>
          </w:tcPr>
          <w:p w14:paraId="0173B41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78CDFA8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0D59DE2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8" w:type="dxa"/>
            <w:noWrap w:val="0"/>
            <w:vAlign w:val="top"/>
          </w:tcPr>
          <w:p w14:paraId="60248125">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0" w:type="dxa"/>
            <w:noWrap w:val="0"/>
            <w:vAlign w:val="top"/>
          </w:tcPr>
          <w:p w14:paraId="32C139C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743" w:type="dxa"/>
            <w:noWrap w:val="0"/>
            <w:vAlign w:val="top"/>
          </w:tcPr>
          <w:p w14:paraId="5709A4E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46" w:type="dxa"/>
            <w:noWrap w:val="0"/>
            <w:vAlign w:val="top"/>
          </w:tcPr>
          <w:p w14:paraId="44A27AD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69" w:type="dxa"/>
            <w:noWrap w:val="0"/>
            <w:vAlign w:val="top"/>
          </w:tcPr>
          <w:p w14:paraId="33EF9EA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r>
      <w:tr w14:paraId="425C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42" w:type="dxa"/>
            <w:vMerge w:val="restart"/>
            <w:noWrap w:val="0"/>
            <w:vAlign w:val="center"/>
          </w:tcPr>
          <w:p w14:paraId="54AD242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服务</w:t>
            </w:r>
          </w:p>
          <w:p w14:paraId="3107D87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r>
              <w:rPr>
                <w:rFonts w:hint="eastAsia" w:ascii="宋体" w:hAnsi="宋体" w:cs="Arial"/>
                <w:color w:val="auto"/>
                <w:sz w:val="24"/>
                <w:szCs w:val="24"/>
                <w:highlight w:val="none"/>
              </w:rPr>
              <w:t>人员</w:t>
            </w:r>
          </w:p>
        </w:tc>
        <w:tc>
          <w:tcPr>
            <w:tcW w:w="810" w:type="dxa"/>
            <w:noWrap w:val="0"/>
            <w:vAlign w:val="top"/>
          </w:tcPr>
          <w:p w14:paraId="202E78F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195B719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01406566">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8" w:type="dxa"/>
            <w:noWrap w:val="0"/>
            <w:vAlign w:val="top"/>
          </w:tcPr>
          <w:p w14:paraId="7669E8A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30" w:type="dxa"/>
            <w:noWrap w:val="0"/>
            <w:vAlign w:val="top"/>
          </w:tcPr>
          <w:p w14:paraId="18D5466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743" w:type="dxa"/>
            <w:noWrap w:val="0"/>
            <w:vAlign w:val="top"/>
          </w:tcPr>
          <w:p w14:paraId="32CEB18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46" w:type="dxa"/>
            <w:noWrap w:val="0"/>
            <w:vAlign w:val="top"/>
          </w:tcPr>
          <w:p w14:paraId="6365A18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969" w:type="dxa"/>
            <w:noWrap w:val="0"/>
            <w:vAlign w:val="top"/>
          </w:tcPr>
          <w:p w14:paraId="39AB05F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r>
      <w:tr w14:paraId="7BB8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42" w:type="dxa"/>
            <w:vMerge w:val="continue"/>
            <w:noWrap w:val="0"/>
            <w:vAlign w:val="top"/>
          </w:tcPr>
          <w:p w14:paraId="79BD8E3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p>
        </w:tc>
        <w:tc>
          <w:tcPr>
            <w:tcW w:w="810" w:type="dxa"/>
            <w:noWrap w:val="0"/>
            <w:vAlign w:val="top"/>
          </w:tcPr>
          <w:p w14:paraId="78CA018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7FAA394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811" w:type="dxa"/>
            <w:noWrap w:val="0"/>
            <w:vAlign w:val="top"/>
          </w:tcPr>
          <w:p w14:paraId="50C3573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938" w:type="dxa"/>
            <w:noWrap w:val="0"/>
            <w:vAlign w:val="top"/>
          </w:tcPr>
          <w:p w14:paraId="222DEF1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930" w:type="dxa"/>
            <w:noWrap w:val="0"/>
            <w:vAlign w:val="top"/>
          </w:tcPr>
          <w:p w14:paraId="2B8A46B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743" w:type="dxa"/>
            <w:noWrap w:val="0"/>
            <w:vAlign w:val="top"/>
          </w:tcPr>
          <w:p w14:paraId="6ACD567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846" w:type="dxa"/>
            <w:noWrap w:val="0"/>
            <w:vAlign w:val="top"/>
          </w:tcPr>
          <w:p w14:paraId="3F3ABAC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969" w:type="dxa"/>
            <w:noWrap w:val="0"/>
            <w:vAlign w:val="top"/>
          </w:tcPr>
          <w:p w14:paraId="16E917AF">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r>
      <w:tr w14:paraId="6495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42" w:type="dxa"/>
            <w:vMerge w:val="continue"/>
            <w:noWrap w:val="0"/>
            <w:vAlign w:val="top"/>
          </w:tcPr>
          <w:p w14:paraId="6150B70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cs="Arial"/>
                <w:color w:val="auto"/>
                <w:sz w:val="24"/>
                <w:szCs w:val="24"/>
                <w:highlight w:val="none"/>
              </w:rPr>
            </w:pPr>
          </w:p>
        </w:tc>
        <w:tc>
          <w:tcPr>
            <w:tcW w:w="810" w:type="dxa"/>
            <w:noWrap w:val="0"/>
            <w:vAlign w:val="top"/>
          </w:tcPr>
          <w:p w14:paraId="21B67C7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color w:val="auto"/>
                <w:sz w:val="24"/>
                <w:szCs w:val="24"/>
                <w:highlight w:val="none"/>
              </w:rPr>
            </w:pPr>
          </w:p>
        </w:tc>
        <w:tc>
          <w:tcPr>
            <w:tcW w:w="811" w:type="dxa"/>
            <w:noWrap w:val="0"/>
            <w:vAlign w:val="top"/>
          </w:tcPr>
          <w:p w14:paraId="108FC89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811" w:type="dxa"/>
            <w:noWrap w:val="0"/>
            <w:vAlign w:val="top"/>
          </w:tcPr>
          <w:p w14:paraId="371D2293">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938" w:type="dxa"/>
            <w:noWrap w:val="0"/>
            <w:vAlign w:val="top"/>
          </w:tcPr>
          <w:p w14:paraId="1EEB729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930" w:type="dxa"/>
            <w:noWrap w:val="0"/>
            <w:vAlign w:val="top"/>
          </w:tcPr>
          <w:p w14:paraId="0D2B814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743" w:type="dxa"/>
            <w:noWrap w:val="0"/>
            <w:vAlign w:val="top"/>
          </w:tcPr>
          <w:p w14:paraId="704844C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846" w:type="dxa"/>
            <w:noWrap w:val="0"/>
            <w:vAlign w:val="top"/>
          </w:tcPr>
          <w:p w14:paraId="04AEDBF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c>
          <w:tcPr>
            <w:tcW w:w="969" w:type="dxa"/>
            <w:noWrap w:val="0"/>
            <w:vAlign w:val="top"/>
          </w:tcPr>
          <w:p w14:paraId="3F15C5C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hAnsi="宋体" w:cs="Arial"/>
                <w:b/>
                <w:bCs/>
                <w:color w:val="auto"/>
                <w:sz w:val="24"/>
                <w:szCs w:val="24"/>
                <w:highlight w:val="none"/>
              </w:rPr>
            </w:pPr>
          </w:p>
        </w:tc>
      </w:tr>
    </w:tbl>
    <w:p w14:paraId="1107E0A6">
      <w:pPr>
        <w:spacing w:line="360" w:lineRule="auto"/>
        <w:outlineLvl w:val="9"/>
        <w:rPr>
          <w:rFonts w:hint="eastAsia" w:ascii="宋体" w:hAnsi="宋体" w:cs="Arial"/>
          <w:bCs/>
          <w:color w:val="auto"/>
          <w:sz w:val="24"/>
          <w:szCs w:val="24"/>
          <w:highlight w:val="none"/>
        </w:rPr>
      </w:pPr>
      <w:r>
        <w:rPr>
          <w:rFonts w:hint="eastAsia" w:ascii="宋体" w:hAnsi="宋体" w:cs="Arial"/>
          <w:b/>
          <w:bCs/>
          <w:color w:val="auto"/>
          <w:sz w:val="24"/>
          <w:szCs w:val="24"/>
          <w:highlight w:val="none"/>
        </w:rPr>
        <w:t xml:space="preserve">  </w:t>
      </w:r>
      <w:r>
        <w:rPr>
          <w:rFonts w:hint="eastAsia" w:ascii="宋体" w:hAnsi="宋体" w:cs="Arial"/>
          <w:bCs/>
          <w:color w:val="auto"/>
          <w:sz w:val="24"/>
          <w:szCs w:val="24"/>
          <w:highlight w:val="none"/>
        </w:rPr>
        <w:t xml:space="preserve"> </w:t>
      </w:r>
    </w:p>
    <w:p w14:paraId="3D65FE47">
      <w:pPr>
        <w:spacing w:line="360" w:lineRule="auto"/>
        <w:outlineLvl w:val="9"/>
        <w:rPr>
          <w:rFonts w:hint="eastAsia" w:ascii="宋体" w:hAnsi="宋体" w:cs="Arial"/>
          <w:bCs/>
          <w:color w:val="auto"/>
          <w:sz w:val="24"/>
          <w:szCs w:val="24"/>
          <w:highlight w:val="none"/>
        </w:rPr>
      </w:pPr>
    </w:p>
    <w:p w14:paraId="6AA87ACD">
      <w:pPr>
        <w:spacing w:line="360" w:lineRule="auto"/>
        <w:outlineLvl w:val="9"/>
        <w:rPr>
          <w:rFonts w:hint="eastAsia" w:ascii="宋体" w:hAnsi="宋体" w:cs="Arial"/>
          <w:bCs/>
          <w:color w:val="auto"/>
          <w:sz w:val="24"/>
          <w:szCs w:val="24"/>
          <w:highlight w:val="none"/>
        </w:rPr>
      </w:pPr>
    </w:p>
    <w:p w14:paraId="48F6DB01">
      <w:pPr>
        <w:spacing w:line="360" w:lineRule="auto"/>
        <w:outlineLvl w:val="9"/>
        <w:rPr>
          <w:rFonts w:hint="eastAsia" w:ascii="宋体" w:hAnsi="宋体" w:cs="Arial"/>
          <w:bCs/>
          <w:color w:val="auto"/>
          <w:sz w:val="24"/>
          <w:szCs w:val="24"/>
          <w:highlight w:val="none"/>
        </w:rPr>
      </w:pPr>
    </w:p>
    <w:p w14:paraId="79B3822A">
      <w:pPr>
        <w:spacing w:line="360" w:lineRule="auto"/>
        <w:outlineLvl w:val="9"/>
        <w:rPr>
          <w:rFonts w:hint="eastAsia" w:ascii="宋体" w:hAnsi="宋体" w:cs="Arial"/>
          <w:bCs/>
          <w:color w:val="auto"/>
          <w:sz w:val="24"/>
          <w:szCs w:val="24"/>
          <w:highlight w:val="none"/>
        </w:rPr>
      </w:pPr>
    </w:p>
    <w:p w14:paraId="74FCB5A6">
      <w:pPr>
        <w:spacing w:line="360" w:lineRule="auto"/>
        <w:outlineLvl w:val="9"/>
        <w:rPr>
          <w:rFonts w:hint="eastAsia" w:ascii="宋体" w:hAnsi="宋体" w:cs="Arial"/>
          <w:bCs/>
          <w:color w:val="auto"/>
          <w:sz w:val="24"/>
          <w:szCs w:val="24"/>
          <w:highlight w:val="none"/>
        </w:rPr>
      </w:pPr>
    </w:p>
    <w:p w14:paraId="664E50BF">
      <w:pPr>
        <w:spacing w:line="360" w:lineRule="auto"/>
        <w:outlineLvl w:val="9"/>
        <w:rPr>
          <w:rFonts w:hint="eastAsia" w:ascii="宋体" w:hAnsi="宋体" w:cs="Arial"/>
          <w:bCs/>
          <w:color w:val="auto"/>
          <w:sz w:val="24"/>
          <w:szCs w:val="24"/>
          <w:highlight w:val="none"/>
        </w:rPr>
      </w:pPr>
    </w:p>
    <w:p w14:paraId="24D79C0D">
      <w:pPr>
        <w:spacing w:line="360" w:lineRule="auto"/>
        <w:outlineLvl w:val="9"/>
        <w:rPr>
          <w:rFonts w:hint="eastAsia" w:ascii="宋体" w:hAnsi="宋体" w:cs="Arial"/>
          <w:bCs/>
          <w:color w:val="auto"/>
          <w:sz w:val="24"/>
          <w:szCs w:val="24"/>
          <w:highlight w:val="none"/>
        </w:rPr>
      </w:pPr>
    </w:p>
    <w:p w14:paraId="4C8AE8A4">
      <w:pPr>
        <w:spacing w:line="360" w:lineRule="auto"/>
        <w:outlineLvl w:val="9"/>
        <w:rPr>
          <w:rFonts w:hint="eastAsia" w:ascii="宋体" w:hAnsi="宋体" w:cs="Arial"/>
          <w:bCs/>
          <w:color w:val="auto"/>
          <w:sz w:val="24"/>
          <w:szCs w:val="24"/>
          <w:highlight w:val="none"/>
        </w:rPr>
      </w:pPr>
    </w:p>
    <w:p w14:paraId="7B1E5DFC">
      <w:pPr>
        <w:spacing w:line="360" w:lineRule="auto"/>
        <w:outlineLvl w:val="9"/>
        <w:rPr>
          <w:rFonts w:hint="eastAsia" w:ascii="宋体" w:hAnsi="宋体" w:cs="Arial"/>
          <w:bCs/>
          <w:color w:val="auto"/>
          <w:sz w:val="24"/>
          <w:szCs w:val="24"/>
          <w:highlight w:val="none"/>
        </w:rPr>
      </w:pPr>
    </w:p>
    <w:p w14:paraId="0A40E213">
      <w:pPr>
        <w:spacing w:line="360" w:lineRule="auto"/>
        <w:outlineLvl w:val="9"/>
        <w:rPr>
          <w:rFonts w:hint="eastAsia" w:ascii="宋体" w:hAnsi="宋体" w:cs="Arial"/>
          <w:bCs/>
          <w:color w:val="auto"/>
          <w:sz w:val="24"/>
          <w:szCs w:val="24"/>
          <w:highlight w:val="none"/>
        </w:rPr>
      </w:pPr>
    </w:p>
    <w:p w14:paraId="08AA9CCA">
      <w:pPr>
        <w:spacing w:line="360" w:lineRule="auto"/>
        <w:outlineLvl w:val="9"/>
        <w:rPr>
          <w:rFonts w:hint="eastAsia" w:ascii="宋体" w:hAnsi="宋体" w:cs="Arial"/>
          <w:bCs/>
          <w:color w:val="auto"/>
          <w:sz w:val="24"/>
          <w:szCs w:val="24"/>
          <w:highlight w:val="none"/>
        </w:rPr>
      </w:pPr>
    </w:p>
    <w:p w14:paraId="11162DBC">
      <w:pPr>
        <w:spacing w:line="360" w:lineRule="auto"/>
        <w:outlineLvl w:val="9"/>
        <w:rPr>
          <w:rFonts w:hint="eastAsia" w:ascii="宋体" w:hAnsi="宋体" w:cs="Arial"/>
          <w:bCs/>
          <w:color w:val="auto"/>
          <w:sz w:val="24"/>
          <w:szCs w:val="24"/>
          <w:highlight w:val="none"/>
        </w:rPr>
      </w:pPr>
    </w:p>
    <w:p w14:paraId="5336DFA7">
      <w:pPr>
        <w:pStyle w:val="27"/>
        <w:tabs>
          <w:tab w:val="left" w:pos="12780"/>
        </w:tabs>
        <w:spacing w:line="360" w:lineRule="auto"/>
        <w:outlineLvl w:val="9"/>
        <w:rPr>
          <w:rFonts w:ascii="宋体" w:hAnsi="宋体"/>
          <w:color w:val="auto"/>
          <w:sz w:val="24"/>
          <w:szCs w:val="24"/>
          <w:highlight w:val="none"/>
        </w:rPr>
      </w:pPr>
    </w:p>
    <w:p w14:paraId="6290C4AF">
      <w:pPr>
        <w:pStyle w:val="27"/>
        <w:tabs>
          <w:tab w:val="left" w:pos="12780"/>
        </w:tabs>
        <w:spacing w:line="360" w:lineRule="auto"/>
        <w:ind w:firstLine="3324" w:firstLineChars="1385"/>
        <w:outlineLvl w:val="9"/>
        <w:rPr>
          <w:rFonts w:ascii="宋体" w:hAnsi="宋体"/>
          <w:color w:val="auto"/>
          <w:sz w:val="24"/>
          <w:szCs w:val="24"/>
          <w:highlight w:val="none"/>
        </w:rPr>
      </w:pPr>
      <w:r>
        <w:rPr>
          <w:rFonts w:ascii="宋体" w:hAnsi="宋体"/>
          <w:color w:val="auto"/>
          <w:sz w:val="24"/>
          <w:szCs w:val="24"/>
          <w:highlight w:val="none"/>
        </w:rPr>
        <w:t>投标人（</w:t>
      </w:r>
      <w:r>
        <w:rPr>
          <w:rFonts w:hint="eastAsia" w:hAnsi="宋体"/>
          <w:color w:val="auto"/>
          <w:sz w:val="24"/>
          <w:szCs w:val="24"/>
          <w:highlight w:val="none"/>
          <w:lang w:eastAsia="zh-CN"/>
        </w:rPr>
        <w:t>公</w:t>
      </w:r>
      <w:r>
        <w:rPr>
          <w:rFonts w:ascii="宋体" w:hAnsi="宋体"/>
          <w:color w:val="auto"/>
          <w:sz w:val="24"/>
          <w:szCs w:val="24"/>
          <w:highlight w:val="none"/>
        </w:rPr>
        <w:t>章）：</w:t>
      </w:r>
    </w:p>
    <w:p w14:paraId="2814CE9C">
      <w:pPr>
        <w:pStyle w:val="27"/>
        <w:tabs>
          <w:tab w:val="left" w:pos="12780"/>
        </w:tabs>
        <w:spacing w:line="360" w:lineRule="auto"/>
        <w:ind w:firstLine="3324" w:firstLineChars="1385"/>
        <w:outlineLvl w:val="9"/>
        <w:rPr>
          <w:rFonts w:hint="eastAsia" w:ascii="宋体" w:hAnsi="宋体"/>
          <w:color w:val="auto"/>
          <w:sz w:val="24"/>
          <w:szCs w:val="24"/>
          <w:highlight w:val="none"/>
        </w:rPr>
      </w:pP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（签字</w:t>
      </w:r>
      <w:r>
        <w:rPr>
          <w:rFonts w:hint="eastAsia" w:hAnsi="宋体"/>
          <w:color w:val="auto"/>
          <w:sz w:val="24"/>
          <w:szCs w:val="24"/>
          <w:highlight w:val="none"/>
          <w:lang w:eastAsia="zh-CN"/>
        </w:rPr>
        <w:t>或盖章</w:t>
      </w:r>
      <w:r>
        <w:rPr>
          <w:rFonts w:hint="eastAsia" w:ascii="宋体" w:hAnsi="宋体"/>
          <w:color w:val="auto"/>
          <w:sz w:val="24"/>
          <w:szCs w:val="24"/>
          <w:highlight w:val="none"/>
        </w:rPr>
        <w:t>）：</w:t>
      </w:r>
    </w:p>
    <w:p w14:paraId="42C861F7">
      <w:pPr>
        <w:pStyle w:val="27"/>
        <w:tabs>
          <w:tab w:val="left" w:pos="12780"/>
        </w:tabs>
        <w:spacing w:line="360" w:lineRule="auto"/>
        <w:ind w:firstLine="3324" w:firstLineChars="1385"/>
        <w:outlineLvl w:val="9"/>
        <w:rPr>
          <w:rFonts w:ascii="宋体" w:hAnsi="宋体"/>
          <w:color w:val="auto"/>
          <w:sz w:val="24"/>
          <w:szCs w:val="24"/>
          <w:highlight w:val="none"/>
        </w:rPr>
      </w:pPr>
      <w:r>
        <w:rPr>
          <w:rFonts w:ascii="宋体" w:hAnsi="宋体"/>
          <w:color w:val="auto"/>
          <w:sz w:val="24"/>
          <w:szCs w:val="24"/>
          <w:highlight w:val="none"/>
        </w:rPr>
        <w:t>日</w:t>
      </w:r>
      <w:r>
        <w:rPr>
          <w:rFonts w:hint="eastAsia" w:ascii="宋体" w:hAnsi="宋体"/>
          <w:color w:val="auto"/>
          <w:sz w:val="24"/>
          <w:szCs w:val="24"/>
          <w:highlight w:val="none"/>
        </w:rPr>
        <w:t xml:space="preserve">   </w:t>
      </w:r>
      <w:r>
        <w:rPr>
          <w:rFonts w:ascii="宋体" w:hAnsi="宋体"/>
          <w:color w:val="auto"/>
          <w:sz w:val="24"/>
          <w:szCs w:val="24"/>
          <w:highlight w:val="none"/>
        </w:rPr>
        <w:t>期：</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bookmarkEnd w:id="200"/>
    <w:bookmarkEnd w:id="201"/>
    <w:bookmarkEnd w:id="268"/>
    <w:p w14:paraId="523667F8">
      <w:pPr>
        <w:pStyle w:val="27"/>
        <w:keepNext w:val="0"/>
        <w:keepLines w:val="0"/>
        <w:pageBreakBefore/>
        <w:widowControl w:val="0"/>
        <w:kinsoku/>
        <w:wordWrap/>
        <w:overflowPunct/>
        <w:topLinePunct w:val="0"/>
        <w:autoSpaceDE/>
        <w:autoSpaceDN/>
        <w:bidi w:val="0"/>
        <w:adjustRightInd/>
        <w:snapToGrid/>
        <w:spacing w:beforeAutospacing="0" w:after="0" w:afterAutospacing="0" w:line="560" w:lineRule="exact"/>
        <w:ind w:left="0" w:leftChars="0" w:firstLine="723" w:firstLineChars="200"/>
        <w:jc w:val="center"/>
        <w:textAlignment w:val="auto"/>
        <w:outlineLvl w:val="0"/>
        <w:rPr>
          <w:rFonts w:hint="eastAsia" w:hAnsi="宋体"/>
          <w:b/>
          <w:bCs w:val="0"/>
          <w:color w:val="auto"/>
          <w:sz w:val="36"/>
          <w:szCs w:val="36"/>
          <w:highlight w:val="none"/>
        </w:rPr>
      </w:pPr>
      <w:bookmarkStart w:id="272" w:name="_Toc9812"/>
      <w:bookmarkStart w:id="273" w:name="_Toc9296"/>
      <w:bookmarkStart w:id="274" w:name="_Toc4898"/>
      <w:bookmarkStart w:id="275" w:name="_Toc20191"/>
      <w:bookmarkStart w:id="276" w:name="_Toc457219504"/>
      <w:bookmarkStart w:id="277" w:name="_Toc15441"/>
      <w:bookmarkStart w:id="278" w:name="_Toc29608"/>
      <w:bookmarkStart w:id="279" w:name="_Toc31817"/>
      <w:bookmarkStart w:id="280" w:name="_Toc4220"/>
      <w:bookmarkStart w:id="281" w:name="_Toc1122"/>
      <w:r>
        <w:rPr>
          <w:rFonts w:hint="eastAsia" w:ascii="宋体" w:hAnsi="宋体" w:cs="宋体"/>
          <w:b/>
          <w:bCs/>
          <w:kern w:val="0"/>
          <w:sz w:val="36"/>
          <w:szCs w:val="36"/>
          <w:lang w:val="en-US" w:eastAsia="zh-CN"/>
        </w:rPr>
        <w:t>第六章</w:t>
      </w:r>
      <w:bookmarkEnd w:id="272"/>
      <w:bookmarkEnd w:id="273"/>
      <w:bookmarkEnd w:id="274"/>
      <w:bookmarkEnd w:id="275"/>
      <w:bookmarkEnd w:id="276"/>
      <w:r>
        <w:rPr>
          <w:rFonts w:hint="eastAsia" w:ascii="宋体" w:hAnsi="宋体" w:cs="宋体"/>
          <w:b/>
          <w:bCs/>
          <w:kern w:val="0"/>
          <w:sz w:val="36"/>
          <w:szCs w:val="36"/>
          <w:lang w:val="en-US" w:eastAsia="zh-CN"/>
        </w:rPr>
        <w:t xml:space="preserve"> </w:t>
      </w:r>
      <w:r>
        <w:rPr>
          <w:rFonts w:hint="eastAsia" w:hAnsi="宋体"/>
          <w:b/>
          <w:bCs w:val="0"/>
          <w:color w:val="auto"/>
          <w:sz w:val="36"/>
          <w:szCs w:val="36"/>
          <w:highlight w:val="none"/>
        </w:rPr>
        <w:t>合同条款及格式</w:t>
      </w:r>
      <w:bookmarkEnd w:id="277"/>
      <w:bookmarkEnd w:id="278"/>
      <w:bookmarkEnd w:id="279"/>
      <w:bookmarkEnd w:id="280"/>
      <w:bookmarkEnd w:id="281"/>
    </w:p>
    <w:p w14:paraId="6892F865">
      <w:pPr>
        <w:pStyle w:val="27"/>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723" w:firstLineChars="200"/>
        <w:jc w:val="center"/>
        <w:textAlignment w:val="auto"/>
        <w:outlineLvl w:val="9"/>
        <w:rPr>
          <w:rFonts w:hAnsi="宋体"/>
          <w:color w:val="auto"/>
          <w:sz w:val="36"/>
          <w:szCs w:val="36"/>
          <w:highlight w:val="none"/>
        </w:rPr>
      </w:pPr>
      <w:bookmarkStart w:id="282" w:name="_Toc2530"/>
      <w:bookmarkStart w:id="283" w:name="_Toc13681"/>
      <w:bookmarkStart w:id="284" w:name="_Toc16222"/>
      <w:r>
        <w:rPr>
          <w:rFonts w:hint="eastAsia" w:ascii="宋体" w:hAnsi="宋体" w:cs="宋体"/>
          <w:b/>
          <w:bCs/>
          <w:kern w:val="0"/>
          <w:sz w:val="36"/>
          <w:szCs w:val="36"/>
        </w:rPr>
        <w:t>（以实际签订的合同为准）</w:t>
      </w:r>
      <w:bookmarkEnd w:id="282"/>
      <w:bookmarkEnd w:id="283"/>
      <w:bookmarkEnd w:id="284"/>
    </w:p>
    <w:p w14:paraId="3D116821">
      <w:pPr>
        <w:spacing w:line="360" w:lineRule="auto"/>
        <w:outlineLvl w:val="9"/>
        <w:rPr>
          <w:rFonts w:hAnsi="宋体"/>
          <w:b/>
          <w:color w:val="auto"/>
          <w:sz w:val="24"/>
          <w:szCs w:val="24"/>
          <w:highlight w:val="none"/>
        </w:rPr>
      </w:pPr>
    </w:p>
    <w:p w14:paraId="4B8789D1">
      <w:pPr>
        <w:spacing w:line="360" w:lineRule="auto"/>
        <w:jc w:val="both"/>
        <w:outlineLvl w:val="9"/>
        <w:rPr>
          <w:rFonts w:hint="eastAsia" w:ascii="宋体" w:hAnsi="宋体"/>
          <w:b/>
          <w:color w:val="auto"/>
          <w:sz w:val="24"/>
          <w:szCs w:val="24"/>
          <w:highlight w:val="none"/>
        </w:rPr>
      </w:pPr>
      <w:r>
        <w:rPr>
          <w:rFonts w:hint="eastAsia" w:ascii="宋体" w:hAnsi="宋体"/>
          <w:b/>
          <w:color w:val="auto"/>
          <w:sz w:val="24"/>
          <w:szCs w:val="24"/>
          <w:highlight w:val="none"/>
        </w:rPr>
        <w:t>合同封面</w:t>
      </w:r>
      <w:r>
        <w:rPr>
          <w:rFonts w:hint="eastAsia" w:ascii="宋体" w:hAnsi="宋体"/>
          <w:b/>
          <w:color w:val="auto"/>
          <w:sz w:val="24"/>
          <w:szCs w:val="24"/>
          <w:highlight w:val="none"/>
          <w:lang w:eastAsia="zh-CN"/>
        </w:rPr>
        <w:t>格式</w:t>
      </w:r>
    </w:p>
    <w:p w14:paraId="5871525B">
      <w:pPr>
        <w:spacing w:line="360" w:lineRule="auto"/>
        <w:jc w:val="left"/>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A3634EE">
      <w:pPr>
        <w:spacing w:line="360" w:lineRule="auto"/>
        <w:jc w:val="left"/>
        <w:outlineLvl w:val="9"/>
        <w:rPr>
          <w:rFonts w:hint="eastAsia" w:ascii="宋体" w:hAnsi="宋体"/>
          <w:color w:val="auto"/>
          <w:sz w:val="24"/>
          <w:szCs w:val="24"/>
          <w:highlight w:val="none"/>
        </w:rPr>
      </w:pPr>
    </w:p>
    <w:p w14:paraId="69547E39">
      <w:pPr>
        <w:spacing w:line="360" w:lineRule="auto"/>
        <w:jc w:val="left"/>
        <w:outlineLvl w:val="9"/>
        <w:rPr>
          <w:rFonts w:hint="eastAsia" w:ascii="宋体" w:hAnsi="宋体"/>
          <w:color w:val="auto"/>
          <w:sz w:val="44"/>
          <w:szCs w:val="44"/>
          <w:highlight w:val="none"/>
          <w:u w:val="single"/>
        </w:rPr>
      </w:pPr>
      <w:r>
        <w:rPr>
          <w:rFonts w:hint="eastAsia" w:ascii="宋体" w:hAnsi="宋体"/>
          <w:color w:val="auto"/>
          <w:sz w:val="44"/>
          <w:szCs w:val="44"/>
          <w:highlight w:val="none"/>
        </w:rPr>
        <w:t xml:space="preserve"> </w:t>
      </w:r>
      <w:r>
        <w:rPr>
          <w:rFonts w:hint="eastAsia" w:ascii="宋体" w:hAnsi="宋体"/>
          <w:color w:val="auto"/>
          <w:sz w:val="44"/>
          <w:szCs w:val="44"/>
          <w:highlight w:val="none"/>
          <w:lang w:val="en-US" w:eastAsia="zh-CN"/>
        </w:rPr>
        <w:t xml:space="preserve">      </w:t>
      </w:r>
      <w:r>
        <w:rPr>
          <w:rFonts w:hint="eastAsia" w:ascii="宋体" w:hAnsi="宋体"/>
          <w:color w:val="auto"/>
          <w:sz w:val="44"/>
          <w:szCs w:val="44"/>
          <w:highlight w:val="none"/>
          <w:u w:val="single"/>
        </w:rPr>
        <w:t xml:space="preserve">                      </w:t>
      </w:r>
      <w:r>
        <w:rPr>
          <w:rFonts w:hint="eastAsia" w:ascii="宋体" w:hAnsi="宋体"/>
          <w:color w:val="auto"/>
          <w:sz w:val="44"/>
          <w:szCs w:val="44"/>
          <w:highlight w:val="none"/>
        </w:rPr>
        <w:t>项目</w:t>
      </w:r>
    </w:p>
    <w:p w14:paraId="3B5C3DB1">
      <w:pPr>
        <w:spacing w:line="360" w:lineRule="auto"/>
        <w:jc w:val="center"/>
        <w:outlineLvl w:val="9"/>
        <w:rPr>
          <w:rFonts w:hint="eastAsia" w:ascii="宋体" w:hAnsi="宋体"/>
          <w:color w:val="auto"/>
          <w:sz w:val="44"/>
          <w:szCs w:val="44"/>
          <w:highlight w:val="none"/>
        </w:rPr>
      </w:pPr>
      <w:r>
        <w:rPr>
          <w:rFonts w:hint="eastAsia" w:ascii="宋体" w:hAnsi="宋体"/>
          <w:color w:val="auto"/>
          <w:sz w:val="44"/>
          <w:szCs w:val="44"/>
          <w:highlight w:val="none"/>
        </w:rPr>
        <w:t>政府采购合同</w:t>
      </w:r>
    </w:p>
    <w:p w14:paraId="0EE5AC8A">
      <w:pPr>
        <w:spacing w:line="360" w:lineRule="auto"/>
        <w:jc w:val="center"/>
        <w:outlineLvl w:val="9"/>
        <w:rPr>
          <w:rFonts w:hint="eastAsia" w:ascii="宋体" w:hAnsi="宋体"/>
          <w:color w:val="auto"/>
          <w:sz w:val="24"/>
          <w:szCs w:val="24"/>
          <w:highlight w:val="none"/>
        </w:rPr>
      </w:pPr>
    </w:p>
    <w:p w14:paraId="34804B6E">
      <w:pPr>
        <w:spacing w:line="360" w:lineRule="auto"/>
        <w:jc w:val="center"/>
        <w:outlineLvl w:val="9"/>
        <w:rPr>
          <w:rFonts w:hint="eastAsia" w:ascii="宋体" w:hAnsi="宋体"/>
          <w:color w:val="auto"/>
          <w:sz w:val="24"/>
          <w:szCs w:val="24"/>
          <w:highlight w:val="none"/>
        </w:rPr>
      </w:pPr>
    </w:p>
    <w:p w14:paraId="6BDFBA91">
      <w:pPr>
        <w:spacing w:line="360" w:lineRule="auto"/>
        <w:jc w:val="center"/>
        <w:outlineLvl w:val="9"/>
        <w:rPr>
          <w:rFonts w:hint="eastAsia" w:ascii="宋体" w:hAnsi="宋体"/>
          <w:color w:val="auto"/>
          <w:sz w:val="24"/>
          <w:szCs w:val="24"/>
          <w:highlight w:val="none"/>
        </w:rPr>
      </w:pPr>
    </w:p>
    <w:p w14:paraId="002D5A56">
      <w:pPr>
        <w:tabs>
          <w:tab w:val="left" w:pos="709"/>
          <w:tab w:val="left" w:pos="1418"/>
        </w:tabs>
        <w:spacing w:line="360" w:lineRule="auto"/>
        <w:outlineLvl w:val="9"/>
        <w:rPr>
          <w:rFonts w:hint="eastAsia" w:ascii="宋体" w:hAnsi="宋体"/>
          <w:color w:val="auto"/>
          <w:sz w:val="36"/>
          <w:szCs w:val="36"/>
          <w:highlight w:val="none"/>
        </w:rPr>
      </w:pPr>
      <w:r>
        <w:rPr>
          <w:rFonts w:hint="eastAsia" w:ascii="宋体" w:hAnsi="宋体"/>
          <w:color w:val="auto"/>
          <w:sz w:val="24"/>
          <w:szCs w:val="24"/>
          <w:highlight w:val="none"/>
        </w:rPr>
        <w:t xml:space="preserve">      </w:t>
      </w:r>
      <w:r>
        <w:rPr>
          <w:rFonts w:hint="eastAsia" w:ascii="宋体" w:hAnsi="宋体"/>
          <w:color w:val="auto"/>
          <w:sz w:val="32"/>
          <w:szCs w:val="32"/>
          <w:highlight w:val="none"/>
          <w:lang w:val="en-US" w:eastAsia="zh-CN"/>
        </w:rPr>
        <w:t xml:space="preserve">       </w:t>
      </w:r>
      <w:r>
        <w:rPr>
          <w:rFonts w:hint="eastAsia" w:ascii="宋体" w:hAnsi="宋体"/>
          <w:color w:val="auto"/>
          <w:sz w:val="36"/>
          <w:szCs w:val="36"/>
          <w:highlight w:val="none"/>
        </w:rPr>
        <w:t>合同编号：</w:t>
      </w:r>
    </w:p>
    <w:p w14:paraId="40074771">
      <w:pPr>
        <w:spacing w:line="360" w:lineRule="auto"/>
        <w:outlineLvl w:val="9"/>
        <w:rPr>
          <w:rFonts w:hint="eastAsia" w:ascii="宋体" w:hAnsi="宋体"/>
          <w:color w:val="auto"/>
          <w:sz w:val="36"/>
          <w:szCs w:val="36"/>
          <w:highlight w:val="none"/>
        </w:rPr>
      </w:pPr>
      <w:r>
        <w:rPr>
          <w:rFonts w:hint="eastAsia"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项目名称：</w:t>
      </w:r>
    </w:p>
    <w:p w14:paraId="57063A0E">
      <w:pPr>
        <w:spacing w:line="360" w:lineRule="auto"/>
        <w:outlineLvl w:val="9"/>
        <w:rPr>
          <w:rFonts w:hint="eastAsia" w:ascii="宋体" w:hAnsi="宋体"/>
          <w:color w:val="auto"/>
          <w:sz w:val="36"/>
          <w:szCs w:val="36"/>
          <w:highlight w:val="none"/>
        </w:rPr>
      </w:pPr>
      <w:r>
        <w:rPr>
          <w:rFonts w:hint="eastAsia" w:ascii="宋体" w:hAnsi="宋体"/>
          <w:color w:val="auto"/>
          <w:sz w:val="36"/>
          <w:szCs w:val="36"/>
          <w:highlight w:val="none"/>
        </w:rPr>
        <w:t xml:space="preserve">       </w:t>
      </w:r>
    </w:p>
    <w:p w14:paraId="10FD5227">
      <w:pPr>
        <w:spacing w:line="360" w:lineRule="auto"/>
        <w:outlineLvl w:val="9"/>
        <w:rPr>
          <w:rFonts w:hint="eastAsia" w:ascii="宋体" w:hAnsi="宋体"/>
          <w:color w:val="auto"/>
          <w:sz w:val="36"/>
          <w:szCs w:val="36"/>
          <w:highlight w:val="none"/>
        </w:rPr>
      </w:pPr>
    </w:p>
    <w:p w14:paraId="306511E9">
      <w:pPr>
        <w:spacing w:line="360" w:lineRule="auto"/>
        <w:outlineLvl w:val="9"/>
        <w:rPr>
          <w:rFonts w:hint="eastAsia" w:ascii="宋体" w:hAnsi="宋体"/>
          <w:color w:val="auto"/>
          <w:sz w:val="36"/>
          <w:szCs w:val="36"/>
          <w:highlight w:val="none"/>
        </w:rPr>
      </w:pPr>
    </w:p>
    <w:p w14:paraId="46600D6A">
      <w:pPr>
        <w:spacing w:line="360" w:lineRule="auto"/>
        <w:outlineLvl w:val="9"/>
        <w:rPr>
          <w:rFonts w:hint="eastAsia" w:ascii="宋体" w:hAnsi="宋体"/>
          <w:color w:val="auto"/>
          <w:sz w:val="36"/>
          <w:szCs w:val="36"/>
          <w:highlight w:val="none"/>
        </w:rPr>
      </w:pPr>
      <w:r>
        <w:rPr>
          <w:rFonts w:hint="eastAsia"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甲方：</w:t>
      </w:r>
    </w:p>
    <w:p w14:paraId="0ABFFF1D">
      <w:pPr>
        <w:spacing w:line="360" w:lineRule="auto"/>
        <w:ind w:firstLine="720"/>
        <w:outlineLvl w:val="9"/>
        <w:rPr>
          <w:rFonts w:hint="eastAsia" w:ascii="宋体" w:hAnsi="宋体"/>
          <w:color w:val="auto"/>
          <w:sz w:val="36"/>
          <w:szCs w:val="36"/>
          <w:highlight w:val="none"/>
        </w:rPr>
      </w:pPr>
      <w:r>
        <w:rPr>
          <w:rFonts w:hint="eastAsia" w:ascii="宋体" w:hAnsi="宋体"/>
          <w:color w:val="auto"/>
          <w:sz w:val="36"/>
          <w:szCs w:val="36"/>
          <w:highlight w:val="none"/>
        </w:rPr>
        <w:t xml:space="preserve">   </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 xml:space="preserve"> 乙方：</w:t>
      </w:r>
    </w:p>
    <w:p w14:paraId="547F326B">
      <w:pPr>
        <w:spacing w:line="360" w:lineRule="auto"/>
        <w:ind w:firstLine="720"/>
        <w:outlineLvl w:val="9"/>
        <w:rPr>
          <w:rFonts w:hint="eastAsia" w:ascii="宋体" w:hAnsi="宋体" w:eastAsia="宋体"/>
          <w:color w:val="auto"/>
          <w:sz w:val="36"/>
          <w:szCs w:val="36"/>
          <w:highlight w:val="none"/>
          <w:lang w:eastAsia="zh-CN"/>
        </w:rPr>
      </w:pPr>
      <w:r>
        <w:rPr>
          <w:rFonts w:hint="eastAsia" w:hAnsi="宋体"/>
          <w:color w:val="auto"/>
          <w:sz w:val="36"/>
          <w:szCs w:val="36"/>
          <w:highlight w:val="none"/>
          <w:lang w:val="en-US" w:eastAsia="zh-CN"/>
        </w:rPr>
        <w:t xml:space="preserve">      </w:t>
      </w:r>
    </w:p>
    <w:p w14:paraId="116E5485">
      <w:pPr>
        <w:spacing w:line="360" w:lineRule="auto"/>
        <w:jc w:val="center"/>
        <w:outlineLvl w:val="9"/>
        <w:rPr>
          <w:rFonts w:hint="eastAsia" w:ascii="宋体" w:hAnsi="宋体"/>
          <w:color w:val="auto"/>
          <w:sz w:val="36"/>
          <w:szCs w:val="36"/>
          <w:highlight w:val="none"/>
        </w:rPr>
      </w:pPr>
      <w:r>
        <w:rPr>
          <w:rFonts w:hint="eastAsia" w:ascii="宋体" w:hAnsi="宋体"/>
          <w:color w:val="auto"/>
          <w:sz w:val="36"/>
          <w:szCs w:val="36"/>
          <w:highlight w:val="none"/>
          <w:lang w:val="en-US" w:eastAsia="zh-CN"/>
        </w:rPr>
        <w:t xml:space="preserve">     </w:t>
      </w:r>
    </w:p>
    <w:p w14:paraId="3B7615E2">
      <w:pPr>
        <w:spacing w:line="360" w:lineRule="auto"/>
        <w:jc w:val="center"/>
        <w:outlineLvl w:val="9"/>
        <w:rPr>
          <w:rFonts w:hint="eastAsia" w:ascii="宋体" w:hAnsi="宋体"/>
          <w:color w:val="auto"/>
          <w:sz w:val="36"/>
          <w:szCs w:val="36"/>
          <w:highlight w:val="none"/>
        </w:rPr>
      </w:pPr>
      <w:r>
        <w:rPr>
          <w:rFonts w:hint="eastAsia" w:ascii="宋体" w:hAnsi="宋体"/>
          <w:color w:val="auto"/>
          <w:sz w:val="36"/>
          <w:szCs w:val="36"/>
          <w:highlight w:val="none"/>
        </w:rPr>
        <w:t>年    月</w:t>
      </w:r>
    </w:p>
    <w:p w14:paraId="0F4E8D4C">
      <w:pPr>
        <w:spacing w:line="360" w:lineRule="auto"/>
        <w:jc w:val="center"/>
        <w:outlineLvl w:val="9"/>
        <w:rPr>
          <w:rFonts w:hint="eastAsia" w:ascii="宋体" w:hAnsi="宋体"/>
          <w:b/>
          <w:color w:val="auto"/>
          <w:sz w:val="32"/>
          <w:szCs w:val="32"/>
          <w:highlight w:val="none"/>
          <w:lang w:eastAsia="zh-CN"/>
        </w:rPr>
      </w:pPr>
    </w:p>
    <w:p w14:paraId="199F0EB2">
      <w:pPr>
        <w:spacing w:line="360" w:lineRule="auto"/>
        <w:jc w:val="center"/>
        <w:outlineLvl w:val="9"/>
        <w:rPr>
          <w:rFonts w:hint="eastAsia" w:ascii="宋体" w:hAnsi="宋体"/>
          <w:b/>
          <w:color w:val="auto"/>
          <w:sz w:val="32"/>
          <w:szCs w:val="32"/>
          <w:highlight w:val="none"/>
        </w:rPr>
      </w:pPr>
      <w:bookmarkStart w:id="285" w:name="_Toc24583"/>
      <w:bookmarkStart w:id="286" w:name="_Toc28910"/>
      <w:bookmarkStart w:id="287" w:name="_Toc16947"/>
      <w:r>
        <w:rPr>
          <w:rFonts w:hint="eastAsia" w:ascii="宋体" w:hAnsi="宋体"/>
          <w:b/>
          <w:color w:val="auto"/>
          <w:sz w:val="32"/>
          <w:szCs w:val="32"/>
          <w:highlight w:val="none"/>
          <w:lang w:eastAsia="zh-CN"/>
        </w:rPr>
        <w:t>一</w:t>
      </w:r>
      <w:r>
        <w:rPr>
          <w:rFonts w:hint="eastAsia" w:ascii="宋体" w:hAnsi="宋体"/>
          <w:b/>
          <w:color w:val="auto"/>
          <w:sz w:val="32"/>
          <w:szCs w:val="32"/>
          <w:highlight w:val="none"/>
        </w:rPr>
        <w:t>、政府采购合同协议书</w:t>
      </w:r>
      <w:bookmarkEnd w:id="285"/>
      <w:bookmarkEnd w:id="286"/>
      <w:bookmarkEnd w:id="287"/>
    </w:p>
    <w:p w14:paraId="730D63FB">
      <w:pPr>
        <w:spacing w:line="360" w:lineRule="auto"/>
        <w:jc w:val="center"/>
        <w:outlineLvl w:val="9"/>
        <w:rPr>
          <w:rFonts w:hint="eastAsia" w:ascii="宋体" w:hAnsi="宋体"/>
          <w:b/>
          <w:color w:val="auto"/>
          <w:sz w:val="24"/>
          <w:szCs w:val="24"/>
          <w:highlight w:val="none"/>
        </w:rPr>
      </w:pPr>
    </w:p>
    <w:p w14:paraId="6155BD68">
      <w:pPr>
        <w:spacing w:line="360" w:lineRule="auto"/>
        <w:ind w:firstLine="4560" w:firstLineChars="1900"/>
        <w:outlineLvl w:val="9"/>
        <w:rPr>
          <w:rFonts w:hint="eastAsia" w:ascii="宋体" w:hAnsi="宋体"/>
          <w:b/>
          <w:color w:val="auto"/>
          <w:sz w:val="24"/>
          <w:szCs w:val="24"/>
          <w:highlight w:val="none"/>
        </w:rPr>
      </w:pPr>
      <w:r>
        <w:rPr>
          <w:rFonts w:hint="eastAsia" w:ascii="宋体" w:hAnsi="宋体"/>
          <w:color w:val="auto"/>
          <w:sz w:val="24"/>
          <w:szCs w:val="24"/>
          <w:highlight w:val="none"/>
        </w:rPr>
        <w:t>采购合同编号：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HT-(招标文件编号)</w:t>
      </w:r>
      <w:r>
        <w:rPr>
          <w:rFonts w:ascii="宋体" w:hAnsi="宋体"/>
          <w:color w:val="auto"/>
          <w:sz w:val="24"/>
          <w:szCs w:val="24"/>
          <w:highlight w:val="none"/>
          <w:u w:val="single"/>
        </w:rPr>
        <w:t xml:space="preserve"> </w:t>
      </w:r>
    </w:p>
    <w:p w14:paraId="00AF109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采购人（全称）：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（甲方）</w:t>
      </w:r>
    </w:p>
    <w:p w14:paraId="6696EA9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供应商（全称）：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（乙方）</w:t>
      </w:r>
    </w:p>
    <w:p w14:paraId="2D917D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为了保护甲、乙双方合法权益，根据《中华人民共和国合同法》、《中华人民共和国政府采购法》和《中华人民共和国政府采购法实施条例》及其他有关法律、法规、规章，双方签订本合同协议书。</w:t>
      </w:r>
    </w:p>
    <w:p w14:paraId="5E8B2FD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1.项目信息</w:t>
      </w:r>
    </w:p>
    <w:p w14:paraId="177E81D9">
      <w:pPr>
        <w:pStyle w:val="1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（1）项目名称：</w:t>
      </w:r>
      <w:r>
        <w:rPr>
          <w:rFonts w:ascii="宋体" w:hAnsi="宋体"/>
          <w:color w:val="auto"/>
          <w:sz w:val="24"/>
          <w:szCs w:val="24"/>
          <w:highlight w:val="none"/>
          <w:u w:val="single"/>
        </w:rPr>
        <w:t xml:space="preserve">                                          </w:t>
      </w:r>
    </w:p>
    <w:p w14:paraId="3A67771F">
      <w:pPr>
        <w:pStyle w:val="160"/>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（2）招标文件编号：</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01D1D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（3）项目内容：</w:t>
      </w:r>
      <w:r>
        <w:rPr>
          <w:rFonts w:hint="eastAsia" w:ascii="宋体" w:hAnsi="宋体"/>
          <w:color w:val="auto"/>
          <w:sz w:val="24"/>
          <w:szCs w:val="24"/>
          <w:highlight w:val="none"/>
          <w:u w:val="single"/>
        </w:rPr>
        <w:t xml:space="preserve">                             </w:t>
      </w:r>
    </w:p>
    <w:p w14:paraId="40CF6073">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2.合同金额</w:t>
      </w:r>
    </w:p>
    <w:p w14:paraId="6AE329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（1）合同金额小写：</w:t>
      </w:r>
      <w:r>
        <w:rPr>
          <w:rFonts w:hint="eastAsia" w:ascii="宋体" w:hAnsi="宋体"/>
          <w:color w:val="auto"/>
          <w:sz w:val="24"/>
          <w:szCs w:val="24"/>
          <w:highlight w:val="none"/>
          <w:u w:val="single"/>
        </w:rPr>
        <w:t xml:space="preserve">                      </w:t>
      </w:r>
    </w:p>
    <w:p w14:paraId="22BABF93">
      <w:pPr>
        <w:keepNext w:val="0"/>
        <w:keepLines w:val="0"/>
        <w:pageBreakBefore w:val="0"/>
        <w:widowControl w:val="0"/>
        <w:kinsoku/>
        <w:wordWrap/>
        <w:overflowPunct/>
        <w:topLinePunct w:val="0"/>
        <w:autoSpaceDE/>
        <w:autoSpaceDN/>
        <w:bidi w:val="0"/>
        <w:adjustRightInd w:val="0"/>
        <w:snapToGrid w:val="0"/>
        <w:spacing w:line="360" w:lineRule="auto"/>
        <w:ind w:firstLine="1080" w:firstLineChars="450"/>
        <w:textAlignment w:val="auto"/>
        <w:outlineLvl w:val="9"/>
        <w:rPr>
          <w:rFonts w:hint="eastAsia" w:ascii="宋体" w:hAnsi="宋体"/>
          <w:b/>
          <w:color w:val="auto"/>
          <w:sz w:val="24"/>
          <w:szCs w:val="24"/>
          <w:highlight w:val="none"/>
        </w:rPr>
      </w:pPr>
      <w:r>
        <w:rPr>
          <w:rFonts w:hint="eastAsia" w:ascii="宋体" w:hAnsi="宋体"/>
          <w:color w:val="auto"/>
          <w:sz w:val="24"/>
          <w:szCs w:val="24"/>
          <w:highlight w:val="none"/>
        </w:rPr>
        <w:t>大        写：</w:t>
      </w:r>
      <w:r>
        <w:rPr>
          <w:rFonts w:hint="eastAsia" w:ascii="宋体" w:hAnsi="宋体"/>
          <w:color w:val="auto"/>
          <w:sz w:val="24"/>
          <w:szCs w:val="24"/>
          <w:highlight w:val="none"/>
          <w:u w:val="single"/>
        </w:rPr>
        <w:t xml:space="preserve">                      </w:t>
      </w:r>
    </w:p>
    <w:p w14:paraId="434FDF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（2）合同价格形式：</w:t>
      </w:r>
      <w:r>
        <w:rPr>
          <w:rFonts w:hint="eastAsia" w:hAnsi="宋体"/>
          <w:color w:val="auto"/>
          <w:sz w:val="24"/>
          <w:szCs w:val="24"/>
          <w:highlight w:val="none"/>
          <w:lang w:val="en-US" w:eastAsia="zh-CN"/>
        </w:rPr>
        <w:t xml:space="preserve">             </w:t>
      </w:r>
    </w:p>
    <w:p w14:paraId="693A256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color w:val="auto"/>
          <w:sz w:val="24"/>
          <w:szCs w:val="24"/>
          <w:highlight w:val="none"/>
          <w:u w:val="single"/>
        </w:rPr>
      </w:pPr>
      <w:r>
        <w:rPr>
          <w:rFonts w:hint="eastAsia" w:ascii="宋体" w:hAnsi="宋体"/>
          <w:b/>
          <w:color w:val="auto"/>
          <w:sz w:val="24"/>
          <w:szCs w:val="24"/>
          <w:highlight w:val="none"/>
        </w:rPr>
        <w:t>3.履行合同的时间、地点及方式</w:t>
      </w:r>
      <w:r>
        <w:rPr>
          <w:rFonts w:hint="eastAsia" w:ascii="宋体" w:hAnsi="宋体"/>
          <w:color w:val="auto"/>
          <w:sz w:val="24"/>
          <w:szCs w:val="24"/>
          <w:highlight w:val="none"/>
          <w:u w:val="single"/>
        </w:rPr>
        <w:t xml:space="preserve"> </w:t>
      </w:r>
    </w:p>
    <w:p w14:paraId="6769C30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outlineLvl w:val="9"/>
        <w:rPr>
          <w:rFonts w:hint="eastAsia" w:hAnsi="宋体"/>
          <w:color w:val="auto"/>
          <w:sz w:val="24"/>
          <w:szCs w:val="24"/>
          <w:highlight w:val="none"/>
          <w:lang w:eastAsia="zh-CN"/>
        </w:rPr>
      </w:pPr>
      <w:r>
        <w:rPr>
          <w:rFonts w:hint="eastAsia" w:hAnsi="宋体"/>
          <w:color w:val="auto"/>
          <w:sz w:val="24"/>
          <w:szCs w:val="24"/>
          <w:highlight w:val="none"/>
          <w:lang w:eastAsia="zh-CN"/>
        </w:rPr>
        <w:t>时间：</w:t>
      </w:r>
    </w:p>
    <w:p w14:paraId="6084FD3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color w:val="auto"/>
          <w:sz w:val="24"/>
          <w:szCs w:val="24"/>
          <w:highlight w:val="none"/>
          <w:u w:val="single"/>
        </w:rPr>
      </w:pPr>
      <w:r>
        <w:rPr>
          <w:rFonts w:hint="eastAsia" w:ascii="宋体" w:hAnsi="宋体"/>
          <w:color w:val="auto"/>
          <w:sz w:val="24"/>
          <w:szCs w:val="24"/>
          <w:highlight w:val="none"/>
        </w:rPr>
        <w:t>地点</w:t>
      </w:r>
      <w:r>
        <w:rPr>
          <w:rFonts w:hint="eastAsia" w:ascii="宋体" w:hAnsi="宋体"/>
          <w:b/>
          <w:color w:val="auto"/>
          <w:sz w:val="24"/>
          <w:szCs w:val="24"/>
          <w:highlight w:val="none"/>
        </w:rPr>
        <w:t>：</w:t>
      </w:r>
      <w:r>
        <w:rPr>
          <w:rFonts w:hint="eastAsia" w:ascii="宋体" w:hAnsi="宋体"/>
          <w:color w:val="auto"/>
          <w:sz w:val="24"/>
          <w:szCs w:val="24"/>
          <w:highlight w:val="none"/>
          <w:u w:val="single"/>
        </w:rPr>
        <w:t xml:space="preserve">                             </w:t>
      </w:r>
    </w:p>
    <w:p w14:paraId="1C7D9BD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方式：</w:t>
      </w:r>
      <w:r>
        <w:rPr>
          <w:rFonts w:hint="eastAsia" w:ascii="宋体" w:hAnsi="宋体"/>
          <w:color w:val="auto"/>
          <w:sz w:val="24"/>
          <w:szCs w:val="24"/>
          <w:highlight w:val="none"/>
          <w:u w:val="single"/>
        </w:rPr>
        <w:t xml:space="preserve">                             </w:t>
      </w:r>
    </w:p>
    <w:p w14:paraId="79C4CFF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4.付款：</w:t>
      </w:r>
    </w:p>
    <w:p w14:paraId="6764C6B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5.解决合同纠纷方式</w:t>
      </w:r>
    </w:p>
    <w:p w14:paraId="6768E3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首先通过双方协商解决，协商解决不成，则通过以下途径之一解决纠纷：</w:t>
      </w:r>
    </w:p>
    <w:p w14:paraId="5EA34EFD">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提请仲裁       □ 向人民法院提起诉讼</w:t>
      </w:r>
    </w:p>
    <w:p w14:paraId="533259D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6.组成合同的文件</w:t>
      </w:r>
    </w:p>
    <w:p w14:paraId="5D5EFE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本协议书与下列文件一起构成合同文件，如下述文件之间有任何抵触、矛盾或歧义，应按以下顺序解释：</w:t>
      </w:r>
    </w:p>
    <w:p w14:paraId="55F8BE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（1）在采购或合同履行过程中乙方做出的承诺以及双方协商达成的变更或补充协议</w:t>
      </w:r>
    </w:p>
    <w:p w14:paraId="5F7AAB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（2）中标通知书</w:t>
      </w:r>
    </w:p>
    <w:p w14:paraId="42FF9F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（3）投标文件</w:t>
      </w:r>
    </w:p>
    <w:p w14:paraId="0E0A9F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（4）政府采购合同格式条款及其附件</w:t>
      </w:r>
    </w:p>
    <w:p w14:paraId="2ACBBE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（5）专用合同条款</w:t>
      </w:r>
    </w:p>
    <w:p w14:paraId="1A9DA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（6）通用合同条款</w:t>
      </w:r>
    </w:p>
    <w:p w14:paraId="532D7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（7）标准、规范及有关技术文件</w:t>
      </w:r>
    </w:p>
    <w:p w14:paraId="2FD651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（8）其他合同文件。</w:t>
      </w:r>
    </w:p>
    <w:p w14:paraId="60538147">
      <w:pPr>
        <w:keepNext w:val="0"/>
        <w:keepLines w:val="0"/>
        <w:pageBreakBefore w:val="0"/>
        <w:widowControl w:val="0"/>
        <w:kinsoku/>
        <w:wordWrap/>
        <w:overflowPunct/>
        <w:topLinePunct w:val="0"/>
        <w:autoSpaceDE/>
        <w:autoSpaceDN/>
        <w:bidi w:val="0"/>
        <w:adjustRightInd w:val="0"/>
        <w:snapToGrid w:val="0"/>
        <w:spacing w:line="360" w:lineRule="auto"/>
        <w:ind w:firstLine="354" w:firstLineChars="147"/>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7.合同生效</w:t>
      </w:r>
    </w:p>
    <w:p w14:paraId="24EF3A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p>
    <w:p w14:paraId="5401DC04">
      <w:pPr>
        <w:keepNext w:val="0"/>
        <w:keepLines w:val="0"/>
        <w:pageBreakBefore w:val="0"/>
        <w:widowControl w:val="0"/>
        <w:kinsoku/>
        <w:wordWrap/>
        <w:overflowPunct/>
        <w:topLinePunct w:val="0"/>
        <w:autoSpaceDE/>
        <w:autoSpaceDN/>
        <w:bidi w:val="0"/>
        <w:adjustRightInd w:val="0"/>
        <w:snapToGrid w:val="0"/>
        <w:spacing w:line="360" w:lineRule="auto"/>
        <w:ind w:firstLine="354" w:firstLineChars="147"/>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8.合同份数</w:t>
      </w:r>
    </w:p>
    <w:p w14:paraId="167C6D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份，采购人执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份，供应商执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份，均具有同等法律效力。</w:t>
      </w:r>
    </w:p>
    <w:p w14:paraId="630ED95B">
      <w:pPr>
        <w:adjustRightInd w:val="0"/>
        <w:snapToGrid w:val="0"/>
        <w:spacing w:line="360" w:lineRule="auto"/>
        <w:outlineLvl w:val="9"/>
        <w:rPr>
          <w:rFonts w:hint="eastAsia" w:ascii="宋体" w:hAnsi="宋体"/>
          <w:color w:val="auto"/>
          <w:sz w:val="24"/>
          <w:szCs w:val="24"/>
          <w:highlight w:val="none"/>
        </w:rPr>
      </w:pPr>
    </w:p>
    <w:p w14:paraId="4E8DF155">
      <w:pPr>
        <w:adjustRightInd w:val="0"/>
        <w:snapToGri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合同订立时间：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D1E85C0">
      <w:pPr>
        <w:adjustRightInd w:val="0"/>
        <w:snapToGrid w:val="0"/>
        <w:spacing w:line="360" w:lineRule="auto"/>
        <w:outlineLvl w:val="9"/>
        <w:rPr>
          <w:rFonts w:hint="eastAsia" w:ascii="宋体" w:hAnsi="宋体"/>
          <w:color w:val="auto"/>
          <w:sz w:val="24"/>
          <w:szCs w:val="24"/>
          <w:highlight w:val="none"/>
          <w:u w:val="single"/>
        </w:rPr>
      </w:pPr>
      <w:r>
        <w:rPr>
          <w:rFonts w:hint="eastAsia" w:ascii="宋体" w:hAnsi="宋体"/>
          <w:color w:val="auto"/>
          <w:sz w:val="24"/>
          <w:szCs w:val="24"/>
          <w:highlight w:val="none"/>
        </w:rPr>
        <w:t>合同订立地点：</w:t>
      </w:r>
      <w:r>
        <w:rPr>
          <w:rFonts w:hint="eastAsia" w:ascii="宋体" w:hAnsi="宋体"/>
          <w:color w:val="auto"/>
          <w:sz w:val="24"/>
          <w:szCs w:val="24"/>
          <w:highlight w:val="none"/>
          <w:u w:val="single"/>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4212"/>
      </w:tblGrid>
      <w:tr w14:paraId="2008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3" w:hRule="atLeast"/>
          <w:jc w:val="center"/>
        </w:trPr>
        <w:tc>
          <w:tcPr>
            <w:tcW w:w="4396" w:type="dxa"/>
            <w:noWrap w:val="0"/>
            <w:vAlign w:val="center"/>
          </w:tcPr>
          <w:p w14:paraId="2568DB2C">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甲方（公章）： </w:t>
            </w:r>
          </w:p>
          <w:p w14:paraId="5AE72A5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地址： </w:t>
            </w:r>
          </w:p>
          <w:p w14:paraId="3D9F7EA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电话:</w:t>
            </w:r>
          </w:p>
          <w:p w14:paraId="3266E1E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highlight w:val="none"/>
              </w:rPr>
            </w:pPr>
            <w:r>
              <w:rPr>
                <w:rFonts w:hint="eastAsia" w:ascii="宋体" w:hAnsi="宋体"/>
                <w:color w:val="auto"/>
                <w:sz w:val="24"/>
                <w:szCs w:val="24"/>
                <w:highlight w:val="none"/>
              </w:rPr>
              <w:t>邮编:</w:t>
            </w:r>
          </w:p>
          <w:p w14:paraId="52C8930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w:t>
            </w:r>
          </w:p>
          <w:p w14:paraId="3B7544C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highlight w:val="none"/>
              </w:rPr>
            </w:pPr>
            <w:r>
              <w:rPr>
                <w:rFonts w:hint="eastAsia" w:ascii="宋体" w:hAnsi="宋体"/>
                <w:color w:val="auto"/>
                <w:sz w:val="24"/>
                <w:szCs w:val="24"/>
                <w:highlight w:val="none"/>
              </w:rPr>
              <w:t>签字日期:       年     月     日</w:t>
            </w:r>
          </w:p>
          <w:p w14:paraId="02EC4C97">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经 办 人:</w:t>
            </w:r>
          </w:p>
          <w:p w14:paraId="38BE98B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highlight w:val="none"/>
              </w:rPr>
            </w:pPr>
            <w:r>
              <w:rPr>
                <w:rFonts w:hint="eastAsia" w:ascii="宋体" w:hAnsi="宋体"/>
                <w:color w:val="auto"/>
                <w:sz w:val="24"/>
                <w:szCs w:val="24"/>
                <w:highlight w:val="none"/>
              </w:rPr>
              <w:t>签字日期：      年     月     日</w:t>
            </w:r>
          </w:p>
          <w:p w14:paraId="1DADCA3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开户行： </w:t>
            </w:r>
          </w:p>
          <w:p w14:paraId="46EF533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账号：</w:t>
            </w:r>
          </w:p>
        </w:tc>
        <w:tc>
          <w:tcPr>
            <w:tcW w:w="4212" w:type="dxa"/>
            <w:noWrap w:val="0"/>
            <w:vAlign w:val="center"/>
          </w:tcPr>
          <w:p w14:paraId="6303D5F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乙方（公章）： </w:t>
            </w:r>
          </w:p>
          <w:p w14:paraId="587FC0B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地址：</w:t>
            </w:r>
          </w:p>
          <w:p w14:paraId="2577561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电话:</w:t>
            </w:r>
          </w:p>
          <w:p w14:paraId="76209F9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highlight w:val="none"/>
              </w:rPr>
            </w:pPr>
            <w:r>
              <w:rPr>
                <w:rFonts w:hint="eastAsia" w:ascii="宋体" w:hAnsi="宋体"/>
                <w:color w:val="auto"/>
                <w:sz w:val="24"/>
                <w:szCs w:val="24"/>
                <w:highlight w:val="none"/>
              </w:rPr>
              <w:t>邮编:</w:t>
            </w:r>
          </w:p>
          <w:p w14:paraId="3194203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法定代表人或</w:t>
            </w:r>
            <w:r>
              <w:rPr>
                <w:rFonts w:hint="default" w:hAnsi="宋体"/>
                <w:color w:val="auto"/>
                <w:sz w:val="24"/>
                <w:szCs w:val="24"/>
                <w:highlight w:val="none"/>
                <w:lang w:val="en" w:eastAsia="zh-CN"/>
              </w:rPr>
              <w:t>授权代表</w:t>
            </w:r>
            <w:r>
              <w:rPr>
                <w:rFonts w:hint="eastAsia" w:ascii="宋体" w:hAnsi="宋体"/>
                <w:color w:val="auto"/>
                <w:sz w:val="24"/>
                <w:szCs w:val="24"/>
                <w:highlight w:val="none"/>
              </w:rPr>
              <w:t>：</w:t>
            </w:r>
          </w:p>
          <w:p w14:paraId="44A9327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highlight w:val="none"/>
              </w:rPr>
            </w:pPr>
            <w:r>
              <w:rPr>
                <w:rFonts w:hint="eastAsia" w:ascii="宋体" w:hAnsi="宋体"/>
                <w:color w:val="auto"/>
                <w:sz w:val="24"/>
                <w:szCs w:val="24"/>
                <w:highlight w:val="none"/>
              </w:rPr>
              <w:t>签字日期:      年     月     日</w:t>
            </w:r>
          </w:p>
          <w:p w14:paraId="44073B95">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经 办 人:</w:t>
            </w:r>
          </w:p>
          <w:p w14:paraId="52EE712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olor w:val="auto"/>
                <w:sz w:val="24"/>
                <w:szCs w:val="24"/>
                <w:highlight w:val="none"/>
              </w:rPr>
            </w:pPr>
            <w:r>
              <w:rPr>
                <w:rFonts w:hint="eastAsia" w:ascii="宋体" w:hAnsi="宋体"/>
                <w:color w:val="auto"/>
                <w:sz w:val="24"/>
                <w:szCs w:val="24"/>
                <w:highlight w:val="none"/>
              </w:rPr>
              <w:t>签字日期：      年     月     日</w:t>
            </w:r>
          </w:p>
          <w:p w14:paraId="560194A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开户行：</w:t>
            </w:r>
          </w:p>
          <w:p w14:paraId="340F9B0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账号：</w:t>
            </w:r>
          </w:p>
        </w:tc>
      </w:tr>
    </w:tbl>
    <w:p w14:paraId="5021A1A9">
      <w:pPr>
        <w:adjustRightInd w:val="0"/>
        <w:snapToGrid w:val="0"/>
        <w:spacing w:line="360" w:lineRule="auto"/>
        <w:ind w:firstLine="480" w:firstLineChars="200"/>
        <w:outlineLvl w:val="9"/>
        <w:rPr>
          <w:rFonts w:hint="eastAsia" w:ascii="宋体" w:hAnsi="宋体"/>
          <w:bCs/>
          <w:color w:val="auto"/>
          <w:sz w:val="24"/>
          <w:szCs w:val="24"/>
          <w:highlight w:val="none"/>
        </w:rPr>
      </w:pPr>
    </w:p>
    <w:p w14:paraId="7FE19988">
      <w:pPr>
        <w:adjustRightInd w:val="0"/>
        <w:snapToGrid w:val="0"/>
        <w:spacing w:line="360" w:lineRule="auto"/>
        <w:ind w:firstLine="480" w:firstLineChars="200"/>
        <w:outlineLvl w:val="9"/>
        <w:rPr>
          <w:rFonts w:hint="eastAsia" w:ascii="宋体" w:hAnsi="宋体"/>
          <w:b/>
          <w:color w:val="auto"/>
          <w:sz w:val="24"/>
          <w:szCs w:val="24"/>
          <w:highlight w:val="none"/>
        </w:rPr>
      </w:pPr>
      <w:r>
        <w:rPr>
          <w:rFonts w:hint="eastAsia" w:ascii="宋体" w:hAnsi="宋体"/>
          <w:bCs/>
          <w:color w:val="auto"/>
          <w:sz w:val="24"/>
          <w:szCs w:val="24"/>
          <w:highlight w:val="none"/>
        </w:rPr>
        <w:t>服务类政府采购合同格式文本</w:t>
      </w:r>
      <w:r>
        <w:rPr>
          <w:rFonts w:hint="eastAsia" w:ascii="宋体" w:hAnsi="宋体"/>
          <w:color w:val="auto"/>
          <w:sz w:val="24"/>
          <w:szCs w:val="24"/>
          <w:highlight w:val="none"/>
        </w:rPr>
        <w:t>省级以上政府部门或行业组织有标准或</w:t>
      </w:r>
      <w:r>
        <w:rPr>
          <w:rFonts w:ascii="宋体" w:hAnsi="宋体"/>
          <w:color w:val="auto"/>
          <w:sz w:val="24"/>
          <w:szCs w:val="24"/>
          <w:highlight w:val="none"/>
        </w:rPr>
        <w:t>示范</w:t>
      </w:r>
      <w:r>
        <w:rPr>
          <w:rFonts w:hint="eastAsia" w:ascii="宋体" w:hAnsi="宋体"/>
          <w:color w:val="auto"/>
          <w:sz w:val="24"/>
          <w:szCs w:val="24"/>
          <w:highlight w:val="none"/>
        </w:rPr>
        <w:t>文本的，应按照其文本确定</w:t>
      </w:r>
      <w:r>
        <w:rPr>
          <w:rFonts w:hint="eastAsia" w:ascii="宋体" w:hAnsi="宋体"/>
          <w:bCs/>
          <w:color w:val="auto"/>
          <w:sz w:val="24"/>
          <w:szCs w:val="24"/>
          <w:highlight w:val="none"/>
        </w:rPr>
        <w:t>合同格式</w:t>
      </w:r>
      <w:r>
        <w:rPr>
          <w:rFonts w:hint="eastAsia" w:ascii="宋体" w:hAnsi="宋体"/>
          <w:color w:val="auto"/>
          <w:sz w:val="24"/>
          <w:szCs w:val="24"/>
          <w:highlight w:val="none"/>
        </w:rPr>
        <w:t>。没有文本的，按照《中华人民共和国合同法》及采购项目特点自行拟定特定文本确定</w:t>
      </w:r>
      <w:r>
        <w:rPr>
          <w:rFonts w:hint="eastAsia" w:ascii="宋体" w:hAnsi="宋体"/>
          <w:bCs/>
          <w:color w:val="auto"/>
          <w:sz w:val="24"/>
          <w:szCs w:val="24"/>
          <w:highlight w:val="none"/>
        </w:rPr>
        <w:t>合同格式</w:t>
      </w:r>
      <w:r>
        <w:rPr>
          <w:rFonts w:hint="eastAsia" w:ascii="宋体" w:hAnsi="宋体"/>
          <w:color w:val="auto"/>
          <w:sz w:val="24"/>
          <w:szCs w:val="24"/>
          <w:highlight w:val="none"/>
        </w:rPr>
        <w:t>。</w:t>
      </w:r>
    </w:p>
    <w:p w14:paraId="34E0CE9E">
      <w:pPr>
        <w:pStyle w:val="18"/>
        <w:ind w:left="0"/>
        <w:outlineLvl w:val="9"/>
        <w:rPr>
          <w:rFonts w:hint="eastAsia" w:ascii="宋体" w:hAnsi="宋体"/>
        </w:rPr>
      </w:pPr>
    </w:p>
    <w:sectPr>
      <w:headerReference r:id="rId6" w:type="first"/>
      <w:footerReference r:id="rId8" w:type="first"/>
      <w:headerReference r:id="rId5" w:type="default"/>
      <w:footerReference r:id="rId7" w:type="default"/>
      <w:pgSz w:w="11907" w:h="16839"/>
      <w:pgMar w:top="1440" w:right="1559" w:bottom="1440" w:left="1797" w:header="851" w:footer="56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DokChampa">
    <w:altName w:val="Segoe Print"/>
    <w:panose1 w:val="020B0604020202020204"/>
    <w:charset w:val="00"/>
    <w:family w:val="swiss"/>
    <w:pitch w:val="default"/>
    <w:sig w:usb0="00000000" w:usb1="00000000" w:usb2="00000000" w:usb3="00000000" w:csb0="4001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D7BC">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A323B">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A323B">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0970">
    <w:pPr>
      <w:pStyle w:val="30"/>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74495">
                          <w:pPr>
                            <w:pStyle w:val="3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GwTS8oBAACb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oiSWG5z4+fu3849f559f&#10;ybJMAvUeKsx78pgZhzs34NrMfkBn4j20waQvMiIYR6zTRV45RCLSo3JVlgWGBMbmC+Kz5+c+QHwv&#10;nSHJqGnA+WVZ+fER4pg6p6Rq1t0rrfMMtf3LgZjJw1LvY4/JisNumAjtXHNCPj2OvqYWN50S/WBR&#10;WewvzkaYjd1sHHxQ+y6vUaoH/vYQsYncW6owwk6FcWaZ3bRfaSn+vOes53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GwTS8oBAACbAwAADgAAAAAAAAABACAAAAAeAQAAZHJzL2Uyb0Rv&#10;Yy54bWxQSwUGAAAAAAYABgBZAQAAWgUAAAAA&#10;">
              <v:fill on="f" focussize="0,0"/>
              <v:stroke on="f"/>
              <v:imagedata o:title=""/>
              <o:lock v:ext="edit" aspectratio="f"/>
              <v:textbox inset="0mm,0mm,0mm,0mm" style="mso-fit-shape-to-text:t;">
                <w:txbxContent>
                  <w:p w14:paraId="00C74495">
                    <w:pPr>
                      <w:pStyle w:val="3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9041">
    <w:pPr>
      <w:pStyle w:val="30"/>
      <w:pBdr>
        <w:top w:val="single" w:color="auto" w:sz="4"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27F61D">
                          <w:pPr>
                            <w:pStyle w:val="3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A/WmsoBAACb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lxS4rjFiV++f7v8+HX5+ZUs&#10;X2e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A/WmsoBAACbAwAADgAAAAAAAAABACAAAAAeAQAAZHJzL2Uyb0Rv&#10;Yy54bWxQSwUGAAAAAAYABgBZAQAAWgUAAAAA&#10;">
              <v:fill on="f" focussize="0,0"/>
              <v:stroke on="f"/>
              <v:imagedata o:title=""/>
              <o:lock v:ext="edit" aspectratio="f"/>
              <v:textbox inset="0mm,0mm,0mm,0mm" style="mso-fit-shape-to-text:t;">
                <w:txbxContent>
                  <w:p w14:paraId="0E27F61D">
                    <w:pPr>
                      <w:pStyle w:val="3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93FE">
    <w:pPr>
      <w:pStyle w:val="32"/>
      <w:pBdr>
        <w:bottom w:val="none" w:color="auto" w:sz="0" w:space="1"/>
      </w:pBdr>
    </w:pPr>
  </w:p>
  <w:p w14:paraId="5A6B3A44">
    <w:pPr>
      <w:pStyle w:val="32"/>
      <w:pBdr>
        <w:bottom w:val="none" w:color="auto" w:sz="0" w:space="1"/>
      </w:pBdr>
    </w:pPr>
  </w:p>
  <w:p w14:paraId="161B0345">
    <w:pPr>
      <w:pStyle w:val="32"/>
      <w:pBdr>
        <w:bottom w:val="none" w:color="auto" w:sz="0" w:space="1"/>
      </w:pBdr>
    </w:pPr>
  </w:p>
  <w:p w14:paraId="1B6EBFF1">
    <w:pPr>
      <w:pStyle w:val="32"/>
      <w:pBdr>
        <w:bottom w:val="none" w:color="auto" w:sz="0" w:space="1"/>
      </w:pBdr>
    </w:pPr>
  </w:p>
  <w:p w14:paraId="54FFA6CD">
    <w:pPr>
      <w:pStyle w:val="32"/>
      <w:pBdr>
        <w:bottom w:val="none" w:color="auto" w:sz="0" w:space="1"/>
      </w:pBdr>
      <w:jc w:val="both"/>
    </w:pPr>
  </w:p>
  <w:p w14:paraId="1299BB34">
    <w:pPr>
      <w:pStyle w:val="32"/>
      <w:pBdr>
        <w:bottom w:val="double" w:color="auto" w:sz="8" w:space="1"/>
      </w:pBdr>
      <w:jc w:val="left"/>
    </w:pPr>
    <w:r>
      <w:rPr>
        <w:rFonts w:hint="eastAsia"/>
      </w:rPr>
      <w:t>陇南市公共资源交易中心                                                              招标文件</w:t>
    </w:r>
  </w:p>
  <w:p w14:paraId="0E8111AE">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92D8C">
    <w:pPr>
      <w:pStyle w:val="3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09A54">
    <w:pPr>
      <w:pStyle w:val="32"/>
      <w:pBdr>
        <w:bottom w:val="none" w:color="auto" w:sz="0" w:space="0"/>
      </w:pBdr>
      <w:ind w:right="2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98DC4"/>
    <w:multiLevelType w:val="singleLevel"/>
    <w:tmpl w:val="AED98DC4"/>
    <w:lvl w:ilvl="0" w:tentative="0">
      <w:start w:val="1"/>
      <w:numFmt w:val="decimal"/>
      <w:suff w:val="nothing"/>
      <w:lvlText w:val="（%1）"/>
      <w:lvlJc w:val="left"/>
    </w:lvl>
  </w:abstractNum>
  <w:abstractNum w:abstractNumId="1">
    <w:nsid w:val="F5069743"/>
    <w:multiLevelType w:val="singleLevel"/>
    <w:tmpl w:val="F5069743"/>
    <w:lvl w:ilvl="0" w:tentative="0">
      <w:start w:val="3"/>
      <w:numFmt w:val="decimal"/>
      <w:suff w:val="nothing"/>
      <w:lvlText w:val="（%1）"/>
      <w:lvlJc w:val="left"/>
      <w:pPr>
        <w:ind w:left="360" w:leftChars="0" w:firstLine="0" w:firstLineChars="0"/>
      </w:p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0000000B"/>
    <w:multiLevelType w:val="singleLevel"/>
    <w:tmpl w:val="0000000B"/>
    <w:lvl w:ilvl="0" w:tentative="0">
      <w:start w:val="3"/>
      <w:numFmt w:val="chineseCounting"/>
      <w:suff w:val="nothing"/>
      <w:lvlText w:val="%1、"/>
      <w:lvlJc w:val="left"/>
    </w:lvl>
  </w:abstractNum>
  <w:abstractNum w:abstractNumId="4">
    <w:nsid w:val="00000011"/>
    <w:multiLevelType w:val="singleLevel"/>
    <w:tmpl w:val="00000011"/>
    <w:lvl w:ilvl="0" w:tentative="0">
      <w:start w:val="1"/>
      <w:numFmt w:val="decimal"/>
      <w:suff w:val="nothing"/>
      <w:lvlText w:val="（%1）"/>
      <w:lvlJc w:val="left"/>
    </w:lvl>
  </w:abstractNum>
  <w:abstractNum w:abstractNumId="5">
    <w:nsid w:val="0B44F91A"/>
    <w:multiLevelType w:val="singleLevel"/>
    <w:tmpl w:val="0B44F91A"/>
    <w:lvl w:ilvl="0" w:tentative="0">
      <w:start w:val="3"/>
      <w:numFmt w:val="chineseCounting"/>
      <w:suff w:val="space"/>
      <w:lvlText w:val="第%1章"/>
      <w:lvlJc w:val="left"/>
      <w:rPr>
        <w:rFonts w:hint="eastAsia"/>
      </w:rPr>
    </w:lvl>
  </w:abstractNum>
  <w:abstractNum w:abstractNumId="6">
    <w:nsid w:val="39D4F3AE"/>
    <w:multiLevelType w:val="singleLevel"/>
    <w:tmpl w:val="39D4F3AE"/>
    <w:lvl w:ilvl="0" w:tentative="0">
      <w:start w:val="1"/>
      <w:numFmt w:val="decimal"/>
      <w:suff w:val="nothing"/>
      <w:lvlText w:val="%1、"/>
      <w:lvlJc w:val="left"/>
    </w:lvl>
  </w:abstractNum>
  <w:abstractNum w:abstractNumId="7">
    <w:nsid w:val="55FCC359"/>
    <w:multiLevelType w:val="singleLevel"/>
    <w:tmpl w:val="55FCC359"/>
    <w:lvl w:ilvl="0" w:tentative="0">
      <w:start w:val="8"/>
      <w:numFmt w:val="chineseCounting"/>
      <w:suff w:val="nothing"/>
      <w:lvlText w:val="%1、"/>
      <w:lvlJc w:val="left"/>
      <w:pPr>
        <w:ind w:left="522" w:leftChars="0" w:firstLine="0" w:firstLineChars="0"/>
      </w:pPr>
      <w:rPr>
        <w:rFonts w:hint="eastAsia"/>
      </w:rPr>
    </w:lvl>
  </w:abstractNum>
  <w:abstractNum w:abstractNumId="8">
    <w:nsid w:val="5F8D43E3"/>
    <w:multiLevelType w:val="singleLevel"/>
    <w:tmpl w:val="5F8D43E3"/>
    <w:lvl w:ilvl="0" w:tentative="0">
      <w:start w:val="2"/>
      <w:numFmt w:val="decimal"/>
      <w:suff w:val="space"/>
      <w:lvlText w:val="%1."/>
      <w:lvlJc w:val="left"/>
    </w:lvl>
  </w:abstractNum>
  <w:abstractNum w:abstractNumId="9">
    <w:nsid w:val="60643E30"/>
    <w:multiLevelType w:val="singleLevel"/>
    <w:tmpl w:val="60643E30"/>
    <w:lvl w:ilvl="0" w:tentative="0">
      <w:start w:val="1"/>
      <w:numFmt w:val="decimal"/>
      <w:suff w:val="nothing"/>
      <w:lvlText w:val="%1."/>
      <w:lvlJc w:val="left"/>
    </w:lvl>
  </w:abstractNum>
  <w:abstractNum w:abstractNumId="10">
    <w:nsid w:val="6F7B0A6F"/>
    <w:multiLevelType w:val="multilevel"/>
    <w:tmpl w:val="6F7B0A6F"/>
    <w:lvl w:ilvl="0" w:tentative="0">
      <w:start w:val="4"/>
      <w:numFmt w:val="japaneseCounting"/>
      <w:pStyle w:val="102"/>
      <w:lvlText w:val="第%1章"/>
      <w:lvlJc w:val="left"/>
      <w:pPr>
        <w:tabs>
          <w:tab w:val="left" w:pos="1200"/>
        </w:tabs>
        <w:ind w:left="1200" w:hanging="1200"/>
      </w:pPr>
      <w:rPr>
        <w:rFonts w:hint="eastAsia"/>
      </w:rPr>
    </w:lvl>
    <w:lvl w:ilvl="1" w:tentative="0">
      <w:start w:val="5"/>
      <w:numFmt w:val="japaneseCounting"/>
      <w:lvlText w:val="%2）"/>
      <w:lvlJc w:val="left"/>
      <w:pPr>
        <w:tabs>
          <w:tab w:val="left" w:pos="840"/>
        </w:tabs>
        <w:ind w:left="840" w:hanging="420"/>
      </w:pPr>
      <w:rPr>
        <w:rFonts w:hint="default" w:ascii="Times New Roman" w:hAnsi="Times New Roman"/>
        <w:sz w:val="21"/>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
  </w:num>
  <w:num w:numId="3">
    <w:abstractNumId w:val="3"/>
  </w:num>
  <w:num w:numId="4">
    <w:abstractNumId w:val="2"/>
  </w:num>
  <w:num w:numId="5">
    <w:abstractNumId w:val="4"/>
  </w:num>
  <w:num w:numId="6">
    <w:abstractNumId w:val="5"/>
  </w:num>
  <w:num w:numId="7">
    <w:abstractNumId w:val="8"/>
  </w:num>
  <w:num w:numId="8">
    <w:abstractNumId w:val="0"/>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jhhZTY3ODRjNTg5ODdjZmM1YmMzYTliZDQwN2UifQ=="/>
  </w:docVars>
  <w:rsids>
    <w:rsidRoot w:val="00D750CD"/>
    <w:rsid w:val="0000031A"/>
    <w:rsid w:val="0000066E"/>
    <w:rsid w:val="0000207C"/>
    <w:rsid w:val="00003535"/>
    <w:rsid w:val="0000443B"/>
    <w:rsid w:val="00004634"/>
    <w:rsid w:val="000048EA"/>
    <w:rsid w:val="00005F29"/>
    <w:rsid w:val="00007015"/>
    <w:rsid w:val="00011118"/>
    <w:rsid w:val="0001222C"/>
    <w:rsid w:val="00012470"/>
    <w:rsid w:val="00012CB3"/>
    <w:rsid w:val="00013317"/>
    <w:rsid w:val="0001398E"/>
    <w:rsid w:val="00014458"/>
    <w:rsid w:val="000146DB"/>
    <w:rsid w:val="00015314"/>
    <w:rsid w:val="00016EE2"/>
    <w:rsid w:val="00017113"/>
    <w:rsid w:val="0001744E"/>
    <w:rsid w:val="00020C3B"/>
    <w:rsid w:val="00021C9D"/>
    <w:rsid w:val="00022230"/>
    <w:rsid w:val="000225FF"/>
    <w:rsid w:val="0002280F"/>
    <w:rsid w:val="00023015"/>
    <w:rsid w:val="0002378B"/>
    <w:rsid w:val="00023FA0"/>
    <w:rsid w:val="0002468D"/>
    <w:rsid w:val="0002574F"/>
    <w:rsid w:val="0002575B"/>
    <w:rsid w:val="00025B91"/>
    <w:rsid w:val="00025C6F"/>
    <w:rsid w:val="000308D2"/>
    <w:rsid w:val="00030B6E"/>
    <w:rsid w:val="00030C0D"/>
    <w:rsid w:val="00031026"/>
    <w:rsid w:val="000317BE"/>
    <w:rsid w:val="000328F2"/>
    <w:rsid w:val="00032A9E"/>
    <w:rsid w:val="00033261"/>
    <w:rsid w:val="0003333F"/>
    <w:rsid w:val="00036171"/>
    <w:rsid w:val="00036860"/>
    <w:rsid w:val="00036B4D"/>
    <w:rsid w:val="00036C56"/>
    <w:rsid w:val="00036FC7"/>
    <w:rsid w:val="0003738A"/>
    <w:rsid w:val="00037C20"/>
    <w:rsid w:val="00040B47"/>
    <w:rsid w:val="00040FC0"/>
    <w:rsid w:val="00041950"/>
    <w:rsid w:val="00042A62"/>
    <w:rsid w:val="00042B8B"/>
    <w:rsid w:val="00043066"/>
    <w:rsid w:val="0004319F"/>
    <w:rsid w:val="00043CB9"/>
    <w:rsid w:val="00044423"/>
    <w:rsid w:val="00044A12"/>
    <w:rsid w:val="0004652B"/>
    <w:rsid w:val="000474CA"/>
    <w:rsid w:val="00047AE9"/>
    <w:rsid w:val="00050207"/>
    <w:rsid w:val="00050C24"/>
    <w:rsid w:val="00051B9D"/>
    <w:rsid w:val="000527D0"/>
    <w:rsid w:val="00053E50"/>
    <w:rsid w:val="00053EEC"/>
    <w:rsid w:val="00055903"/>
    <w:rsid w:val="0005654A"/>
    <w:rsid w:val="0005667E"/>
    <w:rsid w:val="00056BA7"/>
    <w:rsid w:val="00056C15"/>
    <w:rsid w:val="00057651"/>
    <w:rsid w:val="000576DF"/>
    <w:rsid w:val="00057CC3"/>
    <w:rsid w:val="0006021D"/>
    <w:rsid w:val="00060692"/>
    <w:rsid w:val="000609C4"/>
    <w:rsid w:val="00061CE2"/>
    <w:rsid w:val="000621C5"/>
    <w:rsid w:val="000622C5"/>
    <w:rsid w:val="0006250A"/>
    <w:rsid w:val="00063774"/>
    <w:rsid w:val="00063A0A"/>
    <w:rsid w:val="00063CF3"/>
    <w:rsid w:val="000648A3"/>
    <w:rsid w:val="00065042"/>
    <w:rsid w:val="00065BCC"/>
    <w:rsid w:val="0006603F"/>
    <w:rsid w:val="00070920"/>
    <w:rsid w:val="00070C29"/>
    <w:rsid w:val="000714DE"/>
    <w:rsid w:val="00071522"/>
    <w:rsid w:val="00071970"/>
    <w:rsid w:val="00072134"/>
    <w:rsid w:val="00072E30"/>
    <w:rsid w:val="0007405C"/>
    <w:rsid w:val="00074502"/>
    <w:rsid w:val="000748CA"/>
    <w:rsid w:val="000756D6"/>
    <w:rsid w:val="00075702"/>
    <w:rsid w:val="00075ED1"/>
    <w:rsid w:val="00076781"/>
    <w:rsid w:val="00077160"/>
    <w:rsid w:val="0007745C"/>
    <w:rsid w:val="00077ABA"/>
    <w:rsid w:val="00077B41"/>
    <w:rsid w:val="00080D6E"/>
    <w:rsid w:val="00081376"/>
    <w:rsid w:val="00081A2B"/>
    <w:rsid w:val="00082B37"/>
    <w:rsid w:val="000833BB"/>
    <w:rsid w:val="000849BF"/>
    <w:rsid w:val="000855D2"/>
    <w:rsid w:val="000904A6"/>
    <w:rsid w:val="0009147B"/>
    <w:rsid w:val="000934B7"/>
    <w:rsid w:val="00093B04"/>
    <w:rsid w:val="00094189"/>
    <w:rsid w:val="00095455"/>
    <w:rsid w:val="00095706"/>
    <w:rsid w:val="000959AC"/>
    <w:rsid w:val="000963A5"/>
    <w:rsid w:val="00096762"/>
    <w:rsid w:val="000973B0"/>
    <w:rsid w:val="00097BD5"/>
    <w:rsid w:val="000A102F"/>
    <w:rsid w:val="000A14EE"/>
    <w:rsid w:val="000A1A8E"/>
    <w:rsid w:val="000A23E4"/>
    <w:rsid w:val="000A2DAF"/>
    <w:rsid w:val="000A41EC"/>
    <w:rsid w:val="000A437F"/>
    <w:rsid w:val="000A639D"/>
    <w:rsid w:val="000A6D3E"/>
    <w:rsid w:val="000A7728"/>
    <w:rsid w:val="000A78D8"/>
    <w:rsid w:val="000A793D"/>
    <w:rsid w:val="000B2449"/>
    <w:rsid w:val="000B28AC"/>
    <w:rsid w:val="000B33EC"/>
    <w:rsid w:val="000B38F9"/>
    <w:rsid w:val="000B3BCD"/>
    <w:rsid w:val="000B6287"/>
    <w:rsid w:val="000B6FC3"/>
    <w:rsid w:val="000B701B"/>
    <w:rsid w:val="000C11EA"/>
    <w:rsid w:val="000C2718"/>
    <w:rsid w:val="000C28AC"/>
    <w:rsid w:val="000C32CF"/>
    <w:rsid w:val="000C34A9"/>
    <w:rsid w:val="000C387F"/>
    <w:rsid w:val="000C3AE9"/>
    <w:rsid w:val="000C3F11"/>
    <w:rsid w:val="000C4184"/>
    <w:rsid w:val="000C430A"/>
    <w:rsid w:val="000C447B"/>
    <w:rsid w:val="000C44EC"/>
    <w:rsid w:val="000C45DD"/>
    <w:rsid w:val="000C5723"/>
    <w:rsid w:val="000C77C2"/>
    <w:rsid w:val="000D14B3"/>
    <w:rsid w:val="000D18F7"/>
    <w:rsid w:val="000D2369"/>
    <w:rsid w:val="000D50E3"/>
    <w:rsid w:val="000D5627"/>
    <w:rsid w:val="000D5C20"/>
    <w:rsid w:val="000D5D94"/>
    <w:rsid w:val="000D5E80"/>
    <w:rsid w:val="000D5EC6"/>
    <w:rsid w:val="000D745D"/>
    <w:rsid w:val="000D758E"/>
    <w:rsid w:val="000E042B"/>
    <w:rsid w:val="000E0776"/>
    <w:rsid w:val="000E0792"/>
    <w:rsid w:val="000E0BE7"/>
    <w:rsid w:val="000E0FCA"/>
    <w:rsid w:val="000E14EC"/>
    <w:rsid w:val="000E184E"/>
    <w:rsid w:val="000E1F85"/>
    <w:rsid w:val="000E490E"/>
    <w:rsid w:val="000E49A1"/>
    <w:rsid w:val="000E52B8"/>
    <w:rsid w:val="000E561E"/>
    <w:rsid w:val="000E6266"/>
    <w:rsid w:val="000E7E6D"/>
    <w:rsid w:val="000E7FBE"/>
    <w:rsid w:val="000F006D"/>
    <w:rsid w:val="000F302A"/>
    <w:rsid w:val="000F391D"/>
    <w:rsid w:val="000F3BFE"/>
    <w:rsid w:val="000F3C07"/>
    <w:rsid w:val="000F517A"/>
    <w:rsid w:val="000F522F"/>
    <w:rsid w:val="000F5484"/>
    <w:rsid w:val="000F58D0"/>
    <w:rsid w:val="000F6636"/>
    <w:rsid w:val="000F70EF"/>
    <w:rsid w:val="000F723E"/>
    <w:rsid w:val="001008F2"/>
    <w:rsid w:val="0010134E"/>
    <w:rsid w:val="001014C4"/>
    <w:rsid w:val="00101C4B"/>
    <w:rsid w:val="0010275B"/>
    <w:rsid w:val="00102B0C"/>
    <w:rsid w:val="00102DAD"/>
    <w:rsid w:val="00103208"/>
    <w:rsid w:val="001047BF"/>
    <w:rsid w:val="00104947"/>
    <w:rsid w:val="00105144"/>
    <w:rsid w:val="001054F7"/>
    <w:rsid w:val="00105510"/>
    <w:rsid w:val="0010563D"/>
    <w:rsid w:val="00106911"/>
    <w:rsid w:val="001072AD"/>
    <w:rsid w:val="001103CB"/>
    <w:rsid w:val="00110AAB"/>
    <w:rsid w:val="00111163"/>
    <w:rsid w:val="00111633"/>
    <w:rsid w:val="0011326A"/>
    <w:rsid w:val="0011337E"/>
    <w:rsid w:val="00113A34"/>
    <w:rsid w:val="00114261"/>
    <w:rsid w:val="00114A75"/>
    <w:rsid w:val="001155F2"/>
    <w:rsid w:val="00115E3A"/>
    <w:rsid w:val="0011743E"/>
    <w:rsid w:val="00120CD5"/>
    <w:rsid w:val="00121E1C"/>
    <w:rsid w:val="00122D49"/>
    <w:rsid w:val="001232AA"/>
    <w:rsid w:val="00123BC4"/>
    <w:rsid w:val="00123D91"/>
    <w:rsid w:val="00124C96"/>
    <w:rsid w:val="00125980"/>
    <w:rsid w:val="00126041"/>
    <w:rsid w:val="00127660"/>
    <w:rsid w:val="00131082"/>
    <w:rsid w:val="0013147A"/>
    <w:rsid w:val="001321FA"/>
    <w:rsid w:val="001325AC"/>
    <w:rsid w:val="00132C61"/>
    <w:rsid w:val="00132F82"/>
    <w:rsid w:val="00133B24"/>
    <w:rsid w:val="00134060"/>
    <w:rsid w:val="001365BD"/>
    <w:rsid w:val="001371F6"/>
    <w:rsid w:val="00137F5F"/>
    <w:rsid w:val="00140C6E"/>
    <w:rsid w:val="00142006"/>
    <w:rsid w:val="00142B53"/>
    <w:rsid w:val="00143FD9"/>
    <w:rsid w:val="00144979"/>
    <w:rsid w:val="001453CA"/>
    <w:rsid w:val="001453FD"/>
    <w:rsid w:val="00145CB5"/>
    <w:rsid w:val="00146191"/>
    <w:rsid w:val="00146627"/>
    <w:rsid w:val="00146708"/>
    <w:rsid w:val="00147E2F"/>
    <w:rsid w:val="00147FBD"/>
    <w:rsid w:val="00150B85"/>
    <w:rsid w:val="00150CDA"/>
    <w:rsid w:val="0015110F"/>
    <w:rsid w:val="001517AD"/>
    <w:rsid w:val="001521B0"/>
    <w:rsid w:val="00152874"/>
    <w:rsid w:val="00152DF3"/>
    <w:rsid w:val="00153D7D"/>
    <w:rsid w:val="001549EE"/>
    <w:rsid w:val="001555D2"/>
    <w:rsid w:val="00155F3D"/>
    <w:rsid w:val="001561A5"/>
    <w:rsid w:val="001567E5"/>
    <w:rsid w:val="00156FED"/>
    <w:rsid w:val="001572FE"/>
    <w:rsid w:val="001579B4"/>
    <w:rsid w:val="001603D6"/>
    <w:rsid w:val="0016077E"/>
    <w:rsid w:val="00161825"/>
    <w:rsid w:val="001630A8"/>
    <w:rsid w:val="00163970"/>
    <w:rsid w:val="0016424C"/>
    <w:rsid w:val="001645C7"/>
    <w:rsid w:val="00164A11"/>
    <w:rsid w:val="00164B62"/>
    <w:rsid w:val="0016517F"/>
    <w:rsid w:val="0016584F"/>
    <w:rsid w:val="001671D3"/>
    <w:rsid w:val="00167AB3"/>
    <w:rsid w:val="00170B08"/>
    <w:rsid w:val="00170C68"/>
    <w:rsid w:val="00171F87"/>
    <w:rsid w:val="001721E0"/>
    <w:rsid w:val="001726A9"/>
    <w:rsid w:val="00172C86"/>
    <w:rsid w:val="00174281"/>
    <w:rsid w:val="001749F8"/>
    <w:rsid w:val="00175C53"/>
    <w:rsid w:val="00180517"/>
    <w:rsid w:val="001813E6"/>
    <w:rsid w:val="001818C0"/>
    <w:rsid w:val="00181966"/>
    <w:rsid w:val="00181BBA"/>
    <w:rsid w:val="00181F6A"/>
    <w:rsid w:val="00182079"/>
    <w:rsid w:val="00182727"/>
    <w:rsid w:val="00182E77"/>
    <w:rsid w:val="00183232"/>
    <w:rsid w:val="00183373"/>
    <w:rsid w:val="001845E3"/>
    <w:rsid w:val="001846F6"/>
    <w:rsid w:val="00184B6D"/>
    <w:rsid w:val="001853E6"/>
    <w:rsid w:val="00185DA8"/>
    <w:rsid w:val="0018687F"/>
    <w:rsid w:val="00186CE8"/>
    <w:rsid w:val="0018705D"/>
    <w:rsid w:val="00190B61"/>
    <w:rsid w:val="001916DC"/>
    <w:rsid w:val="001916E7"/>
    <w:rsid w:val="00193291"/>
    <w:rsid w:val="00194282"/>
    <w:rsid w:val="001945E0"/>
    <w:rsid w:val="0019487E"/>
    <w:rsid w:val="00195948"/>
    <w:rsid w:val="00195B5B"/>
    <w:rsid w:val="00195E8C"/>
    <w:rsid w:val="00196950"/>
    <w:rsid w:val="001A0AB5"/>
    <w:rsid w:val="001A28AF"/>
    <w:rsid w:val="001A2958"/>
    <w:rsid w:val="001A39D6"/>
    <w:rsid w:val="001A6830"/>
    <w:rsid w:val="001A6F34"/>
    <w:rsid w:val="001A77B2"/>
    <w:rsid w:val="001B3AE7"/>
    <w:rsid w:val="001B45B5"/>
    <w:rsid w:val="001B46FF"/>
    <w:rsid w:val="001B493D"/>
    <w:rsid w:val="001B519A"/>
    <w:rsid w:val="001B5C23"/>
    <w:rsid w:val="001B5D86"/>
    <w:rsid w:val="001B6327"/>
    <w:rsid w:val="001B6A3B"/>
    <w:rsid w:val="001B7003"/>
    <w:rsid w:val="001B7433"/>
    <w:rsid w:val="001B7484"/>
    <w:rsid w:val="001C13D0"/>
    <w:rsid w:val="001C176D"/>
    <w:rsid w:val="001C18DA"/>
    <w:rsid w:val="001C2742"/>
    <w:rsid w:val="001C3448"/>
    <w:rsid w:val="001C3838"/>
    <w:rsid w:val="001C39D7"/>
    <w:rsid w:val="001C4095"/>
    <w:rsid w:val="001C4299"/>
    <w:rsid w:val="001C4496"/>
    <w:rsid w:val="001C510A"/>
    <w:rsid w:val="001C5A72"/>
    <w:rsid w:val="001C60DC"/>
    <w:rsid w:val="001C6231"/>
    <w:rsid w:val="001C65F9"/>
    <w:rsid w:val="001C7799"/>
    <w:rsid w:val="001C7A5D"/>
    <w:rsid w:val="001C7AD0"/>
    <w:rsid w:val="001C7C8F"/>
    <w:rsid w:val="001C7EAC"/>
    <w:rsid w:val="001D034A"/>
    <w:rsid w:val="001D14F5"/>
    <w:rsid w:val="001D1F5A"/>
    <w:rsid w:val="001D2301"/>
    <w:rsid w:val="001D27DB"/>
    <w:rsid w:val="001D2C2A"/>
    <w:rsid w:val="001D3040"/>
    <w:rsid w:val="001D3433"/>
    <w:rsid w:val="001D3F7A"/>
    <w:rsid w:val="001D4AD3"/>
    <w:rsid w:val="001D4AE9"/>
    <w:rsid w:val="001D4E51"/>
    <w:rsid w:val="001D58C6"/>
    <w:rsid w:val="001D58EE"/>
    <w:rsid w:val="001D5C49"/>
    <w:rsid w:val="001D6AA6"/>
    <w:rsid w:val="001D6CC0"/>
    <w:rsid w:val="001D7FED"/>
    <w:rsid w:val="001E1D02"/>
    <w:rsid w:val="001E20BF"/>
    <w:rsid w:val="001E39DA"/>
    <w:rsid w:val="001E4181"/>
    <w:rsid w:val="001E4705"/>
    <w:rsid w:val="001E4BB4"/>
    <w:rsid w:val="001E51C3"/>
    <w:rsid w:val="001E52C4"/>
    <w:rsid w:val="001E5705"/>
    <w:rsid w:val="001E6C55"/>
    <w:rsid w:val="001E6F7A"/>
    <w:rsid w:val="001F0424"/>
    <w:rsid w:val="001F0B1E"/>
    <w:rsid w:val="001F0C3F"/>
    <w:rsid w:val="001F1333"/>
    <w:rsid w:val="001F17DC"/>
    <w:rsid w:val="001F19DA"/>
    <w:rsid w:val="001F210F"/>
    <w:rsid w:val="001F2D36"/>
    <w:rsid w:val="001F38D8"/>
    <w:rsid w:val="001F42BE"/>
    <w:rsid w:val="001F4419"/>
    <w:rsid w:val="001F4718"/>
    <w:rsid w:val="001F4C69"/>
    <w:rsid w:val="001F59F7"/>
    <w:rsid w:val="001F604B"/>
    <w:rsid w:val="001F717E"/>
    <w:rsid w:val="001F7DCE"/>
    <w:rsid w:val="00200CDA"/>
    <w:rsid w:val="00200FFF"/>
    <w:rsid w:val="0020156B"/>
    <w:rsid w:val="00201B21"/>
    <w:rsid w:val="00203BAE"/>
    <w:rsid w:val="00204BC5"/>
    <w:rsid w:val="00205319"/>
    <w:rsid w:val="0020634E"/>
    <w:rsid w:val="002065B4"/>
    <w:rsid w:val="00206806"/>
    <w:rsid w:val="002070C7"/>
    <w:rsid w:val="0020751A"/>
    <w:rsid w:val="00210A60"/>
    <w:rsid w:val="0021236E"/>
    <w:rsid w:val="002136F3"/>
    <w:rsid w:val="0021446B"/>
    <w:rsid w:val="002178C3"/>
    <w:rsid w:val="00217C8A"/>
    <w:rsid w:val="00217F65"/>
    <w:rsid w:val="00217FFB"/>
    <w:rsid w:val="0022047C"/>
    <w:rsid w:val="00220BE9"/>
    <w:rsid w:val="00220FC0"/>
    <w:rsid w:val="00221AE3"/>
    <w:rsid w:val="00223716"/>
    <w:rsid w:val="00223A63"/>
    <w:rsid w:val="00223CC4"/>
    <w:rsid w:val="00223D8E"/>
    <w:rsid w:val="0022404A"/>
    <w:rsid w:val="0022434E"/>
    <w:rsid w:val="0022436B"/>
    <w:rsid w:val="00224DC9"/>
    <w:rsid w:val="002256D7"/>
    <w:rsid w:val="00225B30"/>
    <w:rsid w:val="0022603D"/>
    <w:rsid w:val="002271B8"/>
    <w:rsid w:val="00227E8E"/>
    <w:rsid w:val="00230FC2"/>
    <w:rsid w:val="00231BEE"/>
    <w:rsid w:val="002330BD"/>
    <w:rsid w:val="0023469B"/>
    <w:rsid w:val="00235630"/>
    <w:rsid w:val="002359C7"/>
    <w:rsid w:val="00235A36"/>
    <w:rsid w:val="00237184"/>
    <w:rsid w:val="002422C0"/>
    <w:rsid w:val="00242D09"/>
    <w:rsid w:val="00242D25"/>
    <w:rsid w:val="002434E2"/>
    <w:rsid w:val="0024359A"/>
    <w:rsid w:val="002447AA"/>
    <w:rsid w:val="002447DA"/>
    <w:rsid w:val="00245938"/>
    <w:rsid w:val="0024691E"/>
    <w:rsid w:val="00247D12"/>
    <w:rsid w:val="00251622"/>
    <w:rsid w:val="00251B94"/>
    <w:rsid w:val="0025201C"/>
    <w:rsid w:val="002522AA"/>
    <w:rsid w:val="0025237F"/>
    <w:rsid w:val="0025279B"/>
    <w:rsid w:val="0025367B"/>
    <w:rsid w:val="00254367"/>
    <w:rsid w:val="00254615"/>
    <w:rsid w:val="00255194"/>
    <w:rsid w:val="002556BC"/>
    <w:rsid w:val="00255CA5"/>
    <w:rsid w:val="002606CA"/>
    <w:rsid w:val="00260CC2"/>
    <w:rsid w:val="00261108"/>
    <w:rsid w:val="002624A8"/>
    <w:rsid w:val="002624AF"/>
    <w:rsid w:val="00262A23"/>
    <w:rsid w:val="00262E48"/>
    <w:rsid w:val="00262EFE"/>
    <w:rsid w:val="0026510A"/>
    <w:rsid w:val="00265F41"/>
    <w:rsid w:val="002660CC"/>
    <w:rsid w:val="0026693E"/>
    <w:rsid w:val="00267DA0"/>
    <w:rsid w:val="002707F5"/>
    <w:rsid w:val="00270CE1"/>
    <w:rsid w:val="0027244F"/>
    <w:rsid w:val="00272BDE"/>
    <w:rsid w:val="00272D26"/>
    <w:rsid w:val="002734FB"/>
    <w:rsid w:val="00273720"/>
    <w:rsid w:val="00273F66"/>
    <w:rsid w:val="00274268"/>
    <w:rsid w:val="002745DA"/>
    <w:rsid w:val="00274E71"/>
    <w:rsid w:val="002752FE"/>
    <w:rsid w:val="00276836"/>
    <w:rsid w:val="00277170"/>
    <w:rsid w:val="0028033B"/>
    <w:rsid w:val="00280CAE"/>
    <w:rsid w:val="002838CA"/>
    <w:rsid w:val="00284842"/>
    <w:rsid w:val="00285881"/>
    <w:rsid w:val="00286971"/>
    <w:rsid w:val="00287216"/>
    <w:rsid w:val="00291354"/>
    <w:rsid w:val="0029163A"/>
    <w:rsid w:val="00291C45"/>
    <w:rsid w:val="00291D45"/>
    <w:rsid w:val="00292061"/>
    <w:rsid w:val="00292519"/>
    <w:rsid w:val="00292A18"/>
    <w:rsid w:val="002945B5"/>
    <w:rsid w:val="00295F80"/>
    <w:rsid w:val="002A0961"/>
    <w:rsid w:val="002A0A91"/>
    <w:rsid w:val="002A0D42"/>
    <w:rsid w:val="002A0D47"/>
    <w:rsid w:val="002A2194"/>
    <w:rsid w:val="002A29F8"/>
    <w:rsid w:val="002A38E4"/>
    <w:rsid w:val="002A3BAC"/>
    <w:rsid w:val="002A3D55"/>
    <w:rsid w:val="002A573C"/>
    <w:rsid w:val="002A5789"/>
    <w:rsid w:val="002A5DAC"/>
    <w:rsid w:val="002A5E3C"/>
    <w:rsid w:val="002A6847"/>
    <w:rsid w:val="002A78FC"/>
    <w:rsid w:val="002B11FB"/>
    <w:rsid w:val="002B12CF"/>
    <w:rsid w:val="002B15ED"/>
    <w:rsid w:val="002B1831"/>
    <w:rsid w:val="002B2732"/>
    <w:rsid w:val="002B2C71"/>
    <w:rsid w:val="002B33F5"/>
    <w:rsid w:val="002B3AE1"/>
    <w:rsid w:val="002B4358"/>
    <w:rsid w:val="002B454E"/>
    <w:rsid w:val="002B557E"/>
    <w:rsid w:val="002B69FF"/>
    <w:rsid w:val="002B7078"/>
    <w:rsid w:val="002B7A15"/>
    <w:rsid w:val="002C09D7"/>
    <w:rsid w:val="002C0AA8"/>
    <w:rsid w:val="002C184C"/>
    <w:rsid w:val="002C31FA"/>
    <w:rsid w:val="002C34F7"/>
    <w:rsid w:val="002C3AEA"/>
    <w:rsid w:val="002C3B22"/>
    <w:rsid w:val="002C3EDE"/>
    <w:rsid w:val="002C5AF0"/>
    <w:rsid w:val="002D0B79"/>
    <w:rsid w:val="002D2419"/>
    <w:rsid w:val="002D3E79"/>
    <w:rsid w:val="002D4AE9"/>
    <w:rsid w:val="002D4C3F"/>
    <w:rsid w:val="002D6906"/>
    <w:rsid w:val="002D69C2"/>
    <w:rsid w:val="002D69DC"/>
    <w:rsid w:val="002D6B72"/>
    <w:rsid w:val="002D6CF4"/>
    <w:rsid w:val="002E01DA"/>
    <w:rsid w:val="002E058F"/>
    <w:rsid w:val="002E1B81"/>
    <w:rsid w:val="002E2548"/>
    <w:rsid w:val="002E317A"/>
    <w:rsid w:val="002E324C"/>
    <w:rsid w:val="002E386C"/>
    <w:rsid w:val="002E4896"/>
    <w:rsid w:val="002E4E91"/>
    <w:rsid w:val="002E4EA5"/>
    <w:rsid w:val="002E4FC0"/>
    <w:rsid w:val="002E5DAA"/>
    <w:rsid w:val="002E5EC5"/>
    <w:rsid w:val="002E6B15"/>
    <w:rsid w:val="002E75BD"/>
    <w:rsid w:val="002E763A"/>
    <w:rsid w:val="002F026C"/>
    <w:rsid w:val="002F1ACE"/>
    <w:rsid w:val="002F1C1A"/>
    <w:rsid w:val="002F1FCD"/>
    <w:rsid w:val="002F28C2"/>
    <w:rsid w:val="002F33D7"/>
    <w:rsid w:val="002F4015"/>
    <w:rsid w:val="002F4813"/>
    <w:rsid w:val="002F491A"/>
    <w:rsid w:val="002F4F72"/>
    <w:rsid w:val="002F5916"/>
    <w:rsid w:val="003003D2"/>
    <w:rsid w:val="003011AD"/>
    <w:rsid w:val="00301F39"/>
    <w:rsid w:val="00302A80"/>
    <w:rsid w:val="00302DCE"/>
    <w:rsid w:val="00302F4B"/>
    <w:rsid w:val="0030313E"/>
    <w:rsid w:val="00305FF7"/>
    <w:rsid w:val="00306C97"/>
    <w:rsid w:val="0030762F"/>
    <w:rsid w:val="00307697"/>
    <w:rsid w:val="00310027"/>
    <w:rsid w:val="00310AE3"/>
    <w:rsid w:val="00311811"/>
    <w:rsid w:val="00313B80"/>
    <w:rsid w:val="00315082"/>
    <w:rsid w:val="00315427"/>
    <w:rsid w:val="00315B3B"/>
    <w:rsid w:val="00316177"/>
    <w:rsid w:val="003162E4"/>
    <w:rsid w:val="00317554"/>
    <w:rsid w:val="00317C2D"/>
    <w:rsid w:val="00320013"/>
    <w:rsid w:val="003206A8"/>
    <w:rsid w:val="003225F8"/>
    <w:rsid w:val="00322F0F"/>
    <w:rsid w:val="00322F79"/>
    <w:rsid w:val="00323035"/>
    <w:rsid w:val="00323A75"/>
    <w:rsid w:val="00324885"/>
    <w:rsid w:val="00325DB1"/>
    <w:rsid w:val="00326221"/>
    <w:rsid w:val="00326C9E"/>
    <w:rsid w:val="00327C40"/>
    <w:rsid w:val="00330424"/>
    <w:rsid w:val="003313EB"/>
    <w:rsid w:val="00331A0F"/>
    <w:rsid w:val="00333849"/>
    <w:rsid w:val="00334C78"/>
    <w:rsid w:val="00334EAB"/>
    <w:rsid w:val="00336D4B"/>
    <w:rsid w:val="0033710A"/>
    <w:rsid w:val="00341737"/>
    <w:rsid w:val="00341DE7"/>
    <w:rsid w:val="003437B5"/>
    <w:rsid w:val="00344854"/>
    <w:rsid w:val="00344A7F"/>
    <w:rsid w:val="00344DFB"/>
    <w:rsid w:val="00345D5C"/>
    <w:rsid w:val="00345F46"/>
    <w:rsid w:val="003462B4"/>
    <w:rsid w:val="0034658A"/>
    <w:rsid w:val="00346D5F"/>
    <w:rsid w:val="00346E1E"/>
    <w:rsid w:val="00347870"/>
    <w:rsid w:val="00347A9E"/>
    <w:rsid w:val="00347F9B"/>
    <w:rsid w:val="003502A6"/>
    <w:rsid w:val="00351F32"/>
    <w:rsid w:val="00352CC5"/>
    <w:rsid w:val="003533B9"/>
    <w:rsid w:val="00353412"/>
    <w:rsid w:val="00354196"/>
    <w:rsid w:val="003546B3"/>
    <w:rsid w:val="00354842"/>
    <w:rsid w:val="00355B7C"/>
    <w:rsid w:val="00355FDB"/>
    <w:rsid w:val="00356923"/>
    <w:rsid w:val="00356C17"/>
    <w:rsid w:val="003600F3"/>
    <w:rsid w:val="00360D94"/>
    <w:rsid w:val="00362B7B"/>
    <w:rsid w:val="0036362C"/>
    <w:rsid w:val="00364C73"/>
    <w:rsid w:val="00364E1A"/>
    <w:rsid w:val="00364F12"/>
    <w:rsid w:val="0036575E"/>
    <w:rsid w:val="00365D54"/>
    <w:rsid w:val="00366036"/>
    <w:rsid w:val="00367678"/>
    <w:rsid w:val="003679A4"/>
    <w:rsid w:val="00367C49"/>
    <w:rsid w:val="003704BA"/>
    <w:rsid w:val="00370559"/>
    <w:rsid w:val="00371743"/>
    <w:rsid w:val="00371FE4"/>
    <w:rsid w:val="00372B40"/>
    <w:rsid w:val="00372DDE"/>
    <w:rsid w:val="00373163"/>
    <w:rsid w:val="003732C5"/>
    <w:rsid w:val="003751E6"/>
    <w:rsid w:val="0037524D"/>
    <w:rsid w:val="00375419"/>
    <w:rsid w:val="00375C74"/>
    <w:rsid w:val="00377B2E"/>
    <w:rsid w:val="003803C8"/>
    <w:rsid w:val="00380B44"/>
    <w:rsid w:val="00380F5D"/>
    <w:rsid w:val="0038100A"/>
    <w:rsid w:val="00381488"/>
    <w:rsid w:val="00381597"/>
    <w:rsid w:val="00381925"/>
    <w:rsid w:val="003819B1"/>
    <w:rsid w:val="00382115"/>
    <w:rsid w:val="0038299D"/>
    <w:rsid w:val="00382CD0"/>
    <w:rsid w:val="0038495B"/>
    <w:rsid w:val="00384F4D"/>
    <w:rsid w:val="0038535D"/>
    <w:rsid w:val="00386B58"/>
    <w:rsid w:val="0038746D"/>
    <w:rsid w:val="00390B9E"/>
    <w:rsid w:val="00390BC4"/>
    <w:rsid w:val="00390D72"/>
    <w:rsid w:val="003913BA"/>
    <w:rsid w:val="00391A22"/>
    <w:rsid w:val="00391E7B"/>
    <w:rsid w:val="00392606"/>
    <w:rsid w:val="003926BE"/>
    <w:rsid w:val="0039381B"/>
    <w:rsid w:val="00393BA6"/>
    <w:rsid w:val="00394CFB"/>
    <w:rsid w:val="00394D1B"/>
    <w:rsid w:val="00394EE1"/>
    <w:rsid w:val="0039679A"/>
    <w:rsid w:val="0039683C"/>
    <w:rsid w:val="003A079D"/>
    <w:rsid w:val="003A19FA"/>
    <w:rsid w:val="003A21E1"/>
    <w:rsid w:val="003A23E7"/>
    <w:rsid w:val="003A3571"/>
    <w:rsid w:val="003A35A9"/>
    <w:rsid w:val="003A41F9"/>
    <w:rsid w:val="003A50B2"/>
    <w:rsid w:val="003A5116"/>
    <w:rsid w:val="003A52C3"/>
    <w:rsid w:val="003A5F27"/>
    <w:rsid w:val="003A7FBA"/>
    <w:rsid w:val="003B043C"/>
    <w:rsid w:val="003B05E5"/>
    <w:rsid w:val="003B09E4"/>
    <w:rsid w:val="003B0BBF"/>
    <w:rsid w:val="003B0D18"/>
    <w:rsid w:val="003B23D2"/>
    <w:rsid w:val="003B25C7"/>
    <w:rsid w:val="003B26CC"/>
    <w:rsid w:val="003B35B3"/>
    <w:rsid w:val="003B4800"/>
    <w:rsid w:val="003B4CA5"/>
    <w:rsid w:val="003B570C"/>
    <w:rsid w:val="003B6240"/>
    <w:rsid w:val="003B62EC"/>
    <w:rsid w:val="003C1CB7"/>
    <w:rsid w:val="003C1F4B"/>
    <w:rsid w:val="003C28C3"/>
    <w:rsid w:val="003C4C82"/>
    <w:rsid w:val="003C54E3"/>
    <w:rsid w:val="003C6F63"/>
    <w:rsid w:val="003D0093"/>
    <w:rsid w:val="003D029D"/>
    <w:rsid w:val="003D0367"/>
    <w:rsid w:val="003D2485"/>
    <w:rsid w:val="003D33A3"/>
    <w:rsid w:val="003D4006"/>
    <w:rsid w:val="003D4098"/>
    <w:rsid w:val="003D5706"/>
    <w:rsid w:val="003D745B"/>
    <w:rsid w:val="003D7996"/>
    <w:rsid w:val="003E02D7"/>
    <w:rsid w:val="003E07B3"/>
    <w:rsid w:val="003E3739"/>
    <w:rsid w:val="003E379A"/>
    <w:rsid w:val="003E4217"/>
    <w:rsid w:val="003E46B4"/>
    <w:rsid w:val="003E4E93"/>
    <w:rsid w:val="003E61C8"/>
    <w:rsid w:val="003E6542"/>
    <w:rsid w:val="003E6F7B"/>
    <w:rsid w:val="003E7057"/>
    <w:rsid w:val="003E731B"/>
    <w:rsid w:val="003E7751"/>
    <w:rsid w:val="003F08F0"/>
    <w:rsid w:val="003F1DF7"/>
    <w:rsid w:val="003F2C2A"/>
    <w:rsid w:val="003F4072"/>
    <w:rsid w:val="003F5B04"/>
    <w:rsid w:val="003F5C56"/>
    <w:rsid w:val="003F60CD"/>
    <w:rsid w:val="003F66A9"/>
    <w:rsid w:val="003F6ACC"/>
    <w:rsid w:val="00400EEA"/>
    <w:rsid w:val="00401001"/>
    <w:rsid w:val="00403FDA"/>
    <w:rsid w:val="00404C3A"/>
    <w:rsid w:val="00405755"/>
    <w:rsid w:val="00405BDB"/>
    <w:rsid w:val="00405E2E"/>
    <w:rsid w:val="004064D9"/>
    <w:rsid w:val="004066CB"/>
    <w:rsid w:val="00406C7D"/>
    <w:rsid w:val="0040722A"/>
    <w:rsid w:val="004072DE"/>
    <w:rsid w:val="00407E8E"/>
    <w:rsid w:val="0041060D"/>
    <w:rsid w:val="004112B9"/>
    <w:rsid w:val="004117A8"/>
    <w:rsid w:val="00411CAF"/>
    <w:rsid w:val="00412042"/>
    <w:rsid w:val="00412802"/>
    <w:rsid w:val="00413060"/>
    <w:rsid w:val="00413B99"/>
    <w:rsid w:val="00416045"/>
    <w:rsid w:val="004177B4"/>
    <w:rsid w:val="0041780C"/>
    <w:rsid w:val="004178EE"/>
    <w:rsid w:val="0042058A"/>
    <w:rsid w:val="004205CC"/>
    <w:rsid w:val="004232EA"/>
    <w:rsid w:val="00423550"/>
    <w:rsid w:val="004238AF"/>
    <w:rsid w:val="00424651"/>
    <w:rsid w:val="00425C9C"/>
    <w:rsid w:val="0042673E"/>
    <w:rsid w:val="00426889"/>
    <w:rsid w:val="004269A2"/>
    <w:rsid w:val="004278E3"/>
    <w:rsid w:val="00430973"/>
    <w:rsid w:val="00430AE9"/>
    <w:rsid w:val="0043186A"/>
    <w:rsid w:val="00432F61"/>
    <w:rsid w:val="00433AEB"/>
    <w:rsid w:val="00433C62"/>
    <w:rsid w:val="00435494"/>
    <w:rsid w:val="00436493"/>
    <w:rsid w:val="004367E9"/>
    <w:rsid w:val="00436CF2"/>
    <w:rsid w:val="004370AB"/>
    <w:rsid w:val="004373B4"/>
    <w:rsid w:val="00440D55"/>
    <w:rsid w:val="004412B9"/>
    <w:rsid w:val="004414F8"/>
    <w:rsid w:val="004415D1"/>
    <w:rsid w:val="0044238C"/>
    <w:rsid w:val="0044241E"/>
    <w:rsid w:val="00442B2D"/>
    <w:rsid w:val="00442F64"/>
    <w:rsid w:val="00443190"/>
    <w:rsid w:val="004439D3"/>
    <w:rsid w:val="00443E3F"/>
    <w:rsid w:val="00444068"/>
    <w:rsid w:val="004455EC"/>
    <w:rsid w:val="004456BB"/>
    <w:rsid w:val="004459B3"/>
    <w:rsid w:val="0044719B"/>
    <w:rsid w:val="00447836"/>
    <w:rsid w:val="00450BDD"/>
    <w:rsid w:val="00451BCD"/>
    <w:rsid w:val="00451CB7"/>
    <w:rsid w:val="00454CE5"/>
    <w:rsid w:val="00456F68"/>
    <w:rsid w:val="00457E46"/>
    <w:rsid w:val="004608BF"/>
    <w:rsid w:val="00460F03"/>
    <w:rsid w:val="004618DB"/>
    <w:rsid w:val="00461CB0"/>
    <w:rsid w:val="00462277"/>
    <w:rsid w:val="004624D6"/>
    <w:rsid w:val="0046396E"/>
    <w:rsid w:val="0046667E"/>
    <w:rsid w:val="00466AA5"/>
    <w:rsid w:val="00466CF7"/>
    <w:rsid w:val="00466FF7"/>
    <w:rsid w:val="00470129"/>
    <w:rsid w:val="00470283"/>
    <w:rsid w:val="00470774"/>
    <w:rsid w:val="00471053"/>
    <w:rsid w:val="00471627"/>
    <w:rsid w:val="0047189C"/>
    <w:rsid w:val="004730C1"/>
    <w:rsid w:val="004738C9"/>
    <w:rsid w:val="00474D27"/>
    <w:rsid w:val="00475C27"/>
    <w:rsid w:val="00475DB4"/>
    <w:rsid w:val="00475EC0"/>
    <w:rsid w:val="00476384"/>
    <w:rsid w:val="0047660A"/>
    <w:rsid w:val="0047786A"/>
    <w:rsid w:val="00481A79"/>
    <w:rsid w:val="0048242C"/>
    <w:rsid w:val="00482974"/>
    <w:rsid w:val="0048471F"/>
    <w:rsid w:val="00485C83"/>
    <w:rsid w:val="00485EF4"/>
    <w:rsid w:val="004865F5"/>
    <w:rsid w:val="00486999"/>
    <w:rsid w:val="0048724A"/>
    <w:rsid w:val="00487D98"/>
    <w:rsid w:val="00487FDB"/>
    <w:rsid w:val="004905D5"/>
    <w:rsid w:val="004908DC"/>
    <w:rsid w:val="0049166F"/>
    <w:rsid w:val="00491B8C"/>
    <w:rsid w:val="004922CB"/>
    <w:rsid w:val="004932FB"/>
    <w:rsid w:val="004941E2"/>
    <w:rsid w:val="00494E11"/>
    <w:rsid w:val="00495587"/>
    <w:rsid w:val="00495B13"/>
    <w:rsid w:val="00496077"/>
    <w:rsid w:val="00496743"/>
    <w:rsid w:val="00496BA8"/>
    <w:rsid w:val="00497C94"/>
    <w:rsid w:val="00497CA9"/>
    <w:rsid w:val="00497D32"/>
    <w:rsid w:val="004A078B"/>
    <w:rsid w:val="004A1C15"/>
    <w:rsid w:val="004A230C"/>
    <w:rsid w:val="004A2A7A"/>
    <w:rsid w:val="004A31D8"/>
    <w:rsid w:val="004A3923"/>
    <w:rsid w:val="004A3C9A"/>
    <w:rsid w:val="004A4E04"/>
    <w:rsid w:val="004A54CE"/>
    <w:rsid w:val="004A558B"/>
    <w:rsid w:val="004A5936"/>
    <w:rsid w:val="004A60D8"/>
    <w:rsid w:val="004A687A"/>
    <w:rsid w:val="004A6A12"/>
    <w:rsid w:val="004A6DDA"/>
    <w:rsid w:val="004A77CB"/>
    <w:rsid w:val="004A7B27"/>
    <w:rsid w:val="004B0C32"/>
    <w:rsid w:val="004B1EC0"/>
    <w:rsid w:val="004B2F94"/>
    <w:rsid w:val="004B33D8"/>
    <w:rsid w:val="004B4018"/>
    <w:rsid w:val="004B47C6"/>
    <w:rsid w:val="004B4CA3"/>
    <w:rsid w:val="004B4DA1"/>
    <w:rsid w:val="004B5195"/>
    <w:rsid w:val="004B5413"/>
    <w:rsid w:val="004B610B"/>
    <w:rsid w:val="004B632C"/>
    <w:rsid w:val="004B7691"/>
    <w:rsid w:val="004B79A2"/>
    <w:rsid w:val="004B79C8"/>
    <w:rsid w:val="004B79C9"/>
    <w:rsid w:val="004C013A"/>
    <w:rsid w:val="004C14EB"/>
    <w:rsid w:val="004C151A"/>
    <w:rsid w:val="004C22E7"/>
    <w:rsid w:val="004C2D6F"/>
    <w:rsid w:val="004C33F0"/>
    <w:rsid w:val="004C443D"/>
    <w:rsid w:val="004C4469"/>
    <w:rsid w:val="004C55D1"/>
    <w:rsid w:val="004C6551"/>
    <w:rsid w:val="004C662C"/>
    <w:rsid w:val="004C79E3"/>
    <w:rsid w:val="004D042E"/>
    <w:rsid w:val="004D08DC"/>
    <w:rsid w:val="004D0BF0"/>
    <w:rsid w:val="004D2DBC"/>
    <w:rsid w:val="004D3CD6"/>
    <w:rsid w:val="004D3EA6"/>
    <w:rsid w:val="004D4226"/>
    <w:rsid w:val="004D4C0B"/>
    <w:rsid w:val="004D5013"/>
    <w:rsid w:val="004D5549"/>
    <w:rsid w:val="004D5893"/>
    <w:rsid w:val="004D71A5"/>
    <w:rsid w:val="004D754D"/>
    <w:rsid w:val="004E0412"/>
    <w:rsid w:val="004E0C89"/>
    <w:rsid w:val="004E1395"/>
    <w:rsid w:val="004E1978"/>
    <w:rsid w:val="004E227B"/>
    <w:rsid w:val="004E294B"/>
    <w:rsid w:val="004E29FB"/>
    <w:rsid w:val="004E2E56"/>
    <w:rsid w:val="004E31F5"/>
    <w:rsid w:val="004E3BFD"/>
    <w:rsid w:val="004E3D7A"/>
    <w:rsid w:val="004E40F3"/>
    <w:rsid w:val="004E4835"/>
    <w:rsid w:val="004E5DB6"/>
    <w:rsid w:val="004E7546"/>
    <w:rsid w:val="004E7F40"/>
    <w:rsid w:val="004F10B8"/>
    <w:rsid w:val="004F11EE"/>
    <w:rsid w:val="004F1B27"/>
    <w:rsid w:val="004F1B46"/>
    <w:rsid w:val="004F1F96"/>
    <w:rsid w:val="004F23B9"/>
    <w:rsid w:val="004F4C54"/>
    <w:rsid w:val="004F6D49"/>
    <w:rsid w:val="004F7D39"/>
    <w:rsid w:val="004F7E7B"/>
    <w:rsid w:val="00500006"/>
    <w:rsid w:val="005002E7"/>
    <w:rsid w:val="005006C1"/>
    <w:rsid w:val="005015E6"/>
    <w:rsid w:val="00501C79"/>
    <w:rsid w:val="005037DE"/>
    <w:rsid w:val="00503E26"/>
    <w:rsid w:val="00504A5B"/>
    <w:rsid w:val="00504FEF"/>
    <w:rsid w:val="005053AF"/>
    <w:rsid w:val="00505464"/>
    <w:rsid w:val="005054AF"/>
    <w:rsid w:val="00505577"/>
    <w:rsid w:val="005070FA"/>
    <w:rsid w:val="00507F24"/>
    <w:rsid w:val="005101AD"/>
    <w:rsid w:val="0051085F"/>
    <w:rsid w:val="00510C2B"/>
    <w:rsid w:val="00510DEE"/>
    <w:rsid w:val="0051115E"/>
    <w:rsid w:val="005116CA"/>
    <w:rsid w:val="005124C0"/>
    <w:rsid w:val="005129B6"/>
    <w:rsid w:val="00513702"/>
    <w:rsid w:val="005162DD"/>
    <w:rsid w:val="005173B4"/>
    <w:rsid w:val="00520927"/>
    <w:rsid w:val="0052138C"/>
    <w:rsid w:val="0052175F"/>
    <w:rsid w:val="00522153"/>
    <w:rsid w:val="0052218C"/>
    <w:rsid w:val="005228BF"/>
    <w:rsid w:val="00524EA6"/>
    <w:rsid w:val="00524F26"/>
    <w:rsid w:val="0052531C"/>
    <w:rsid w:val="00525B25"/>
    <w:rsid w:val="00525E51"/>
    <w:rsid w:val="00526361"/>
    <w:rsid w:val="00527659"/>
    <w:rsid w:val="00527821"/>
    <w:rsid w:val="005278B9"/>
    <w:rsid w:val="00527A92"/>
    <w:rsid w:val="0053043C"/>
    <w:rsid w:val="00531948"/>
    <w:rsid w:val="00532B1C"/>
    <w:rsid w:val="00533243"/>
    <w:rsid w:val="00535233"/>
    <w:rsid w:val="0053553D"/>
    <w:rsid w:val="005357AC"/>
    <w:rsid w:val="00535939"/>
    <w:rsid w:val="00535FE9"/>
    <w:rsid w:val="00536774"/>
    <w:rsid w:val="00536D38"/>
    <w:rsid w:val="005371D4"/>
    <w:rsid w:val="005378EE"/>
    <w:rsid w:val="0053793D"/>
    <w:rsid w:val="00540383"/>
    <w:rsid w:val="0054068B"/>
    <w:rsid w:val="00545422"/>
    <w:rsid w:val="0054569E"/>
    <w:rsid w:val="0054576B"/>
    <w:rsid w:val="00546002"/>
    <w:rsid w:val="00546149"/>
    <w:rsid w:val="005464CB"/>
    <w:rsid w:val="00547379"/>
    <w:rsid w:val="005479D3"/>
    <w:rsid w:val="00550BDC"/>
    <w:rsid w:val="00550EC2"/>
    <w:rsid w:val="005515FF"/>
    <w:rsid w:val="0055469A"/>
    <w:rsid w:val="005551B0"/>
    <w:rsid w:val="00555A72"/>
    <w:rsid w:val="00556514"/>
    <w:rsid w:val="00556E30"/>
    <w:rsid w:val="005606BE"/>
    <w:rsid w:val="005609F6"/>
    <w:rsid w:val="00561ECF"/>
    <w:rsid w:val="005621C5"/>
    <w:rsid w:val="00562AE6"/>
    <w:rsid w:val="00562E37"/>
    <w:rsid w:val="00562F7A"/>
    <w:rsid w:val="00563250"/>
    <w:rsid w:val="005640B2"/>
    <w:rsid w:val="00564DAE"/>
    <w:rsid w:val="00565418"/>
    <w:rsid w:val="005659F5"/>
    <w:rsid w:val="00565B7F"/>
    <w:rsid w:val="00571389"/>
    <w:rsid w:val="0057182E"/>
    <w:rsid w:val="00571955"/>
    <w:rsid w:val="005727A5"/>
    <w:rsid w:val="00576E67"/>
    <w:rsid w:val="0057714F"/>
    <w:rsid w:val="005773E2"/>
    <w:rsid w:val="005776C9"/>
    <w:rsid w:val="0058203F"/>
    <w:rsid w:val="00583836"/>
    <w:rsid w:val="005849C7"/>
    <w:rsid w:val="00585FF5"/>
    <w:rsid w:val="005868A0"/>
    <w:rsid w:val="00586FC3"/>
    <w:rsid w:val="00587FBD"/>
    <w:rsid w:val="0059195D"/>
    <w:rsid w:val="00591EAD"/>
    <w:rsid w:val="0059241C"/>
    <w:rsid w:val="00593016"/>
    <w:rsid w:val="005931D0"/>
    <w:rsid w:val="00593516"/>
    <w:rsid w:val="00593C3A"/>
    <w:rsid w:val="00594A0A"/>
    <w:rsid w:val="005952AF"/>
    <w:rsid w:val="00596EE7"/>
    <w:rsid w:val="005971F6"/>
    <w:rsid w:val="005973BD"/>
    <w:rsid w:val="005A0015"/>
    <w:rsid w:val="005A1F8C"/>
    <w:rsid w:val="005A26CE"/>
    <w:rsid w:val="005A294D"/>
    <w:rsid w:val="005A2BC2"/>
    <w:rsid w:val="005A2CB3"/>
    <w:rsid w:val="005A4167"/>
    <w:rsid w:val="005A43D2"/>
    <w:rsid w:val="005A4D5D"/>
    <w:rsid w:val="005A5C99"/>
    <w:rsid w:val="005A6748"/>
    <w:rsid w:val="005A78FD"/>
    <w:rsid w:val="005A7921"/>
    <w:rsid w:val="005A7C6D"/>
    <w:rsid w:val="005B1E67"/>
    <w:rsid w:val="005B3442"/>
    <w:rsid w:val="005B3C9B"/>
    <w:rsid w:val="005B67DC"/>
    <w:rsid w:val="005B7AC2"/>
    <w:rsid w:val="005C0B34"/>
    <w:rsid w:val="005C218F"/>
    <w:rsid w:val="005C2578"/>
    <w:rsid w:val="005C3C4F"/>
    <w:rsid w:val="005C3F1F"/>
    <w:rsid w:val="005C4DC3"/>
    <w:rsid w:val="005C5C22"/>
    <w:rsid w:val="005C64BA"/>
    <w:rsid w:val="005C68B5"/>
    <w:rsid w:val="005C726A"/>
    <w:rsid w:val="005D03CB"/>
    <w:rsid w:val="005D0E01"/>
    <w:rsid w:val="005D0EC8"/>
    <w:rsid w:val="005D1537"/>
    <w:rsid w:val="005D4080"/>
    <w:rsid w:val="005D62CD"/>
    <w:rsid w:val="005D63C7"/>
    <w:rsid w:val="005D647B"/>
    <w:rsid w:val="005D6D1F"/>
    <w:rsid w:val="005D77D2"/>
    <w:rsid w:val="005D7DF8"/>
    <w:rsid w:val="005E0479"/>
    <w:rsid w:val="005E084C"/>
    <w:rsid w:val="005E0EF2"/>
    <w:rsid w:val="005E2496"/>
    <w:rsid w:val="005E293A"/>
    <w:rsid w:val="005E29DF"/>
    <w:rsid w:val="005E2AE0"/>
    <w:rsid w:val="005E3A61"/>
    <w:rsid w:val="005E3DEF"/>
    <w:rsid w:val="005E432B"/>
    <w:rsid w:val="005E44A1"/>
    <w:rsid w:val="005E617E"/>
    <w:rsid w:val="005E65BD"/>
    <w:rsid w:val="005E66AA"/>
    <w:rsid w:val="005E6F78"/>
    <w:rsid w:val="005F03C7"/>
    <w:rsid w:val="005F2D58"/>
    <w:rsid w:val="005F4171"/>
    <w:rsid w:val="005F57FC"/>
    <w:rsid w:val="005F625B"/>
    <w:rsid w:val="00601078"/>
    <w:rsid w:val="006014E3"/>
    <w:rsid w:val="0060150A"/>
    <w:rsid w:val="00601D28"/>
    <w:rsid w:val="00601D43"/>
    <w:rsid w:val="006020B7"/>
    <w:rsid w:val="00602C37"/>
    <w:rsid w:val="006032FC"/>
    <w:rsid w:val="00603824"/>
    <w:rsid w:val="00603E69"/>
    <w:rsid w:val="00604CB5"/>
    <w:rsid w:val="00604D7F"/>
    <w:rsid w:val="00604E83"/>
    <w:rsid w:val="00604F77"/>
    <w:rsid w:val="0060579F"/>
    <w:rsid w:val="00605925"/>
    <w:rsid w:val="00606B50"/>
    <w:rsid w:val="006070B1"/>
    <w:rsid w:val="00607E40"/>
    <w:rsid w:val="00610632"/>
    <w:rsid w:val="00610759"/>
    <w:rsid w:val="00611091"/>
    <w:rsid w:val="0061129D"/>
    <w:rsid w:val="0061147E"/>
    <w:rsid w:val="00612C9F"/>
    <w:rsid w:val="00612D85"/>
    <w:rsid w:val="00612EB0"/>
    <w:rsid w:val="006134D5"/>
    <w:rsid w:val="0061362F"/>
    <w:rsid w:val="006139F3"/>
    <w:rsid w:val="006140D1"/>
    <w:rsid w:val="006142CF"/>
    <w:rsid w:val="0061509B"/>
    <w:rsid w:val="00615A1C"/>
    <w:rsid w:val="00615B50"/>
    <w:rsid w:val="006170A9"/>
    <w:rsid w:val="00617391"/>
    <w:rsid w:val="0062014C"/>
    <w:rsid w:val="006213CE"/>
    <w:rsid w:val="006233B8"/>
    <w:rsid w:val="00627154"/>
    <w:rsid w:val="006273CF"/>
    <w:rsid w:val="00627653"/>
    <w:rsid w:val="006276CA"/>
    <w:rsid w:val="00627B90"/>
    <w:rsid w:val="006307D7"/>
    <w:rsid w:val="00631429"/>
    <w:rsid w:val="00631EA8"/>
    <w:rsid w:val="00633FD2"/>
    <w:rsid w:val="006341EA"/>
    <w:rsid w:val="00634227"/>
    <w:rsid w:val="00634B99"/>
    <w:rsid w:val="006356B4"/>
    <w:rsid w:val="00635712"/>
    <w:rsid w:val="00635764"/>
    <w:rsid w:val="00635978"/>
    <w:rsid w:val="00635A34"/>
    <w:rsid w:val="006373C7"/>
    <w:rsid w:val="006377FF"/>
    <w:rsid w:val="00637C46"/>
    <w:rsid w:val="00641593"/>
    <w:rsid w:val="006417CC"/>
    <w:rsid w:val="0064258F"/>
    <w:rsid w:val="00643968"/>
    <w:rsid w:val="006443D9"/>
    <w:rsid w:val="0064442C"/>
    <w:rsid w:val="00645566"/>
    <w:rsid w:val="00646C70"/>
    <w:rsid w:val="00647A27"/>
    <w:rsid w:val="00647CFD"/>
    <w:rsid w:val="006508CD"/>
    <w:rsid w:val="0065177C"/>
    <w:rsid w:val="006527B4"/>
    <w:rsid w:val="00655F14"/>
    <w:rsid w:val="006565AA"/>
    <w:rsid w:val="006572A4"/>
    <w:rsid w:val="00657466"/>
    <w:rsid w:val="00657955"/>
    <w:rsid w:val="00661F03"/>
    <w:rsid w:val="00661F7C"/>
    <w:rsid w:val="00662B47"/>
    <w:rsid w:val="00662BD0"/>
    <w:rsid w:val="0066360A"/>
    <w:rsid w:val="0066450E"/>
    <w:rsid w:val="0066462B"/>
    <w:rsid w:val="0066483A"/>
    <w:rsid w:val="00664C80"/>
    <w:rsid w:val="006654CB"/>
    <w:rsid w:val="00666147"/>
    <w:rsid w:val="00666224"/>
    <w:rsid w:val="00666AB9"/>
    <w:rsid w:val="00666DB8"/>
    <w:rsid w:val="00666EF4"/>
    <w:rsid w:val="00667655"/>
    <w:rsid w:val="00671092"/>
    <w:rsid w:val="006721EC"/>
    <w:rsid w:val="00672356"/>
    <w:rsid w:val="00672A42"/>
    <w:rsid w:val="00673352"/>
    <w:rsid w:val="00673936"/>
    <w:rsid w:val="00674E78"/>
    <w:rsid w:val="0067555D"/>
    <w:rsid w:val="00675AB5"/>
    <w:rsid w:val="00675FC5"/>
    <w:rsid w:val="0067643E"/>
    <w:rsid w:val="00676930"/>
    <w:rsid w:val="00676D17"/>
    <w:rsid w:val="00677278"/>
    <w:rsid w:val="006774B3"/>
    <w:rsid w:val="006800AF"/>
    <w:rsid w:val="00680B13"/>
    <w:rsid w:val="00680D5E"/>
    <w:rsid w:val="0068244E"/>
    <w:rsid w:val="00682C43"/>
    <w:rsid w:val="0068338D"/>
    <w:rsid w:val="0068347E"/>
    <w:rsid w:val="00683C65"/>
    <w:rsid w:val="006843FA"/>
    <w:rsid w:val="00684C24"/>
    <w:rsid w:val="00684EC2"/>
    <w:rsid w:val="00684F62"/>
    <w:rsid w:val="00685538"/>
    <w:rsid w:val="00685DF5"/>
    <w:rsid w:val="0068688D"/>
    <w:rsid w:val="0068783D"/>
    <w:rsid w:val="00687906"/>
    <w:rsid w:val="00687BB9"/>
    <w:rsid w:val="00690437"/>
    <w:rsid w:val="00690A06"/>
    <w:rsid w:val="006911AF"/>
    <w:rsid w:val="006923D6"/>
    <w:rsid w:val="00692822"/>
    <w:rsid w:val="00695133"/>
    <w:rsid w:val="00695464"/>
    <w:rsid w:val="00695680"/>
    <w:rsid w:val="0069578E"/>
    <w:rsid w:val="006961C4"/>
    <w:rsid w:val="00697512"/>
    <w:rsid w:val="00697F65"/>
    <w:rsid w:val="006A04DA"/>
    <w:rsid w:val="006A129C"/>
    <w:rsid w:val="006A134A"/>
    <w:rsid w:val="006A1975"/>
    <w:rsid w:val="006A1C30"/>
    <w:rsid w:val="006A2B56"/>
    <w:rsid w:val="006A2DA9"/>
    <w:rsid w:val="006A2EBD"/>
    <w:rsid w:val="006A32B3"/>
    <w:rsid w:val="006A38FC"/>
    <w:rsid w:val="006A4BD7"/>
    <w:rsid w:val="006A5E85"/>
    <w:rsid w:val="006A6070"/>
    <w:rsid w:val="006A67BA"/>
    <w:rsid w:val="006B0B35"/>
    <w:rsid w:val="006B0DAE"/>
    <w:rsid w:val="006B1BB2"/>
    <w:rsid w:val="006B2C4D"/>
    <w:rsid w:val="006B31D1"/>
    <w:rsid w:val="006B35FE"/>
    <w:rsid w:val="006B392D"/>
    <w:rsid w:val="006B4196"/>
    <w:rsid w:val="006B45BE"/>
    <w:rsid w:val="006B4A2E"/>
    <w:rsid w:val="006B4BD6"/>
    <w:rsid w:val="006B5DC8"/>
    <w:rsid w:val="006B5E46"/>
    <w:rsid w:val="006B632B"/>
    <w:rsid w:val="006B6853"/>
    <w:rsid w:val="006B6DC1"/>
    <w:rsid w:val="006B6F95"/>
    <w:rsid w:val="006B74C1"/>
    <w:rsid w:val="006C033A"/>
    <w:rsid w:val="006C04F8"/>
    <w:rsid w:val="006C0B1C"/>
    <w:rsid w:val="006C257B"/>
    <w:rsid w:val="006C2746"/>
    <w:rsid w:val="006C280F"/>
    <w:rsid w:val="006C3A55"/>
    <w:rsid w:val="006C41C4"/>
    <w:rsid w:val="006C46BF"/>
    <w:rsid w:val="006C53AE"/>
    <w:rsid w:val="006C54A0"/>
    <w:rsid w:val="006C7B23"/>
    <w:rsid w:val="006D022E"/>
    <w:rsid w:val="006D0964"/>
    <w:rsid w:val="006D0ECD"/>
    <w:rsid w:val="006D1C4F"/>
    <w:rsid w:val="006D264A"/>
    <w:rsid w:val="006D3002"/>
    <w:rsid w:val="006D3276"/>
    <w:rsid w:val="006D425A"/>
    <w:rsid w:val="006D43ED"/>
    <w:rsid w:val="006D4F01"/>
    <w:rsid w:val="006D52C5"/>
    <w:rsid w:val="006D5A8E"/>
    <w:rsid w:val="006D5C0D"/>
    <w:rsid w:val="006D71F3"/>
    <w:rsid w:val="006D7B46"/>
    <w:rsid w:val="006E0C63"/>
    <w:rsid w:val="006E15C8"/>
    <w:rsid w:val="006E196A"/>
    <w:rsid w:val="006E1A2E"/>
    <w:rsid w:val="006E24CE"/>
    <w:rsid w:val="006E32FA"/>
    <w:rsid w:val="006E395D"/>
    <w:rsid w:val="006E42EC"/>
    <w:rsid w:val="006E4CC0"/>
    <w:rsid w:val="006E519E"/>
    <w:rsid w:val="006E61F2"/>
    <w:rsid w:val="006E6926"/>
    <w:rsid w:val="006E6D8B"/>
    <w:rsid w:val="006E7799"/>
    <w:rsid w:val="006F099C"/>
    <w:rsid w:val="006F0CE8"/>
    <w:rsid w:val="006F0FE8"/>
    <w:rsid w:val="006F1923"/>
    <w:rsid w:val="006F22D3"/>
    <w:rsid w:val="006F25D7"/>
    <w:rsid w:val="006F40E0"/>
    <w:rsid w:val="006F55B0"/>
    <w:rsid w:val="006F57CC"/>
    <w:rsid w:val="006F5ADA"/>
    <w:rsid w:val="00700066"/>
    <w:rsid w:val="0070147A"/>
    <w:rsid w:val="007020FD"/>
    <w:rsid w:val="00702119"/>
    <w:rsid w:val="00702715"/>
    <w:rsid w:val="007029CC"/>
    <w:rsid w:val="00703766"/>
    <w:rsid w:val="00703808"/>
    <w:rsid w:val="00704508"/>
    <w:rsid w:val="00704BDA"/>
    <w:rsid w:val="00705608"/>
    <w:rsid w:val="00705C2E"/>
    <w:rsid w:val="007060BE"/>
    <w:rsid w:val="007064B2"/>
    <w:rsid w:val="0070672E"/>
    <w:rsid w:val="00706A7C"/>
    <w:rsid w:val="007100F7"/>
    <w:rsid w:val="00711774"/>
    <w:rsid w:val="00711C88"/>
    <w:rsid w:val="00711F51"/>
    <w:rsid w:val="00712188"/>
    <w:rsid w:val="00712BED"/>
    <w:rsid w:val="00713976"/>
    <w:rsid w:val="00713B8F"/>
    <w:rsid w:val="00714281"/>
    <w:rsid w:val="007143BD"/>
    <w:rsid w:val="00714858"/>
    <w:rsid w:val="007151E3"/>
    <w:rsid w:val="00716669"/>
    <w:rsid w:val="00717174"/>
    <w:rsid w:val="0071740E"/>
    <w:rsid w:val="00720C07"/>
    <w:rsid w:val="007210DD"/>
    <w:rsid w:val="007211BA"/>
    <w:rsid w:val="00721509"/>
    <w:rsid w:val="00721E36"/>
    <w:rsid w:val="007226BE"/>
    <w:rsid w:val="00722EC0"/>
    <w:rsid w:val="007237B3"/>
    <w:rsid w:val="00723A6F"/>
    <w:rsid w:val="00724098"/>
    <w:rsid w:val="007247FA"/>
    <w:rsid w:val="007249FA"/>
    <w:rsid w:val="007261FA"/>
    <w:rsid w:val="007267E0"/>
    <w:rsid w:val="0072777D"/>
    <w:rsid w:val="00727BAA"/>
    <w:rsid w:val="00727BD5"/>
    <w:rsid w:val="00730E06"/>
    <w:rsid w:val="007318B1"/>
    <w:rsid w:val="007328A7"/>
    <w:rsid w:val="00732FD7"/>
    <w:rsid w:val="0073325C"/>
    <w:rsid w:val="00734176"/>
    <w:rsid w:val="0073467B"/>
    <w:rsid w:val="0073677A"/>
    <w:rsid w:val="00737B46"/>
    <w:rsid w:val="00737EDA"/>
    <w:rsid w:val="00737F49"/>
    <w:rsid w:val="00740467"/>
    <w:rsid w:val="007407CB"/>
    <w:rsid w:val="00740955"/>
    <w:rsid w:val="0074128F"/>
    <w:rsid w:val="00741A22"/>
    <w:rsid w:val="00742F09"/>
    <w:rsid w:val="0074346B"/>
    <w:rsid w:val="00743762"/>
    <w:rsid w:val="00743EB0"/>
    <w:rsid w:val="00744CA6"/>
    <w:rsid w:val="00745B6C"/>
    <w:rsid w:val="00745C49"/>
    <w:rsid w:val="00745F82"/>
    <w:rsid w:val="007462EC"/>
    <w:rsid w:val="007473B5"/>
    <w:rsid w:val="00747580"/>
    <w:rsid w:val="00747E84"/>
    <w:rsid w:val="00751992"/>
    <w:rsid w:val="0075225D"/>
    <w:rsid w:val="00753B36"/>
    <w:rsid w:val="0075481B"/>
    <w:rsid w:val="00755E78"/>
    <w:rsid w:val="00757A02"/>
    <w:rsid w:val="00757DDB"/>
    <w:rsid w:val="00757FD7"/>
    <w:rsid w:val="00760506"/>
    <w:rsid w:val="00761272"/>
    <w:rsid w:val="0076145B"/>
    <w:rsid w:val="0076199E"/>
    <w:rsid w:val="00761EE0"/>
    <w:rsid w:val="00762785"/>
    <w:rsid w:val="0076281A"/>
    <w:rsid w:val="00762CAD"/>
    <w:rsid w:val="007651C8"/>
    <w:rsid w:val="007654CE"/>
    <w:rsid w:val="00766486"/>
    <w:rsid w:val="00766B06"/>
    <w:rsid w:val="007674E0"/>
    <w:rsid w:val="00767C86"/>
    <w:rsid w:val="007700E2"/>
    <w:rsid w:val="00771005"/>
    <w:rsid w:val="0077225D"/>
    <w:rsid w:val="00772E2C"/>
    <w:rsid w:val="007731D9"/>
    <w:rsid w:val="0077383C"/>
    <w:rsid w:val="00773F47"/>
    <w:rsid w:val="00776167"/>
    <w:rsid w:val="00776700"/>
    <w:rsid w:val="007770B9"/>
    <w:rsid w:val="00777F27"/>
    <w:rsid w:val="00782004"/>
    <w:rsid w:val="00782636"/>
    <w:rsid w:val="00782E31"/>
    <w:rsid w:val="00782F3C"/>
    <w:rsid w:val="0078340C"/>
    <w:rsid w:val="00784C08"/>
    <w:rsid w:val="007859F0"/>
    <w:rsid w:val="00785FE1"/>
    <w:rsid w:val="00786575"/>
    <w:rsid w:val="00786A07"/>
    <w:rsid w:val="007877EC"/>
    <w:rsid w:val="00787999"/>
    <w:rsid w:val="007901BE"/>
    <w:rsid w:val="00790355"/>
    <w:rsid w:val="00790D3C"/>
    <w:rsid w:val="00791AAA"/>
    <w:rsid w:val="0079249B"/>
    <w:rsid w:val="00792EE2"/>
    <w:rsid w:val="00792F1C"/>
    <w:rsid w:val="00793113"/>
    <w:rsid w:val="0079324F"/>
    <w:rsid w:val="007934E1"/>
    <w:rsid w:val="007937C1"/>
    <w:rsid w:val="00794392"/>
    <w:rsid w:val="00794AED"/>
    <w:rsid w:val="00794AF2"/>
    <w:rsid w:val="00794CB6"/>
    <w:rsid w:val="0079557A"/>
    <w:rsid w:val="00797332"/>
    <w:rsid w:val="007A055B"/>
    <w:rsid w:val="007A0C45"/>
    <w:rsid w:val="007A10F3"/>
    <w:rsid w:val="007A16A9"/>
    <w:rsid w:val="007A1D8A"/>
    <w:rsid w:val="007A2B34"/>
    <w:rsid w:val="007A3FF8"/>
    <w:rsid w:val="007A4630"/>
    <w:rsid w:val="007A4AE1"/>
    <w:rsid w:val="007A54C3"/>
    <w:rsid w:val="007A5791"/>
    <w:rsid w:val="007A6BDF"/>
    <w:rsid w:val="007A72B4"/>
    <w:rsid w:val="007A7393"/>
    <w:rsid w:val="007A75EB"/>
    <w:rsid w:val="007A7821"/>
    <w:rsid w:val="007A7A47"/>
    <w:rsid w:val="007B0383"/>
    <w:rsid w:val="007B1075"/>
    <w:rsid w:val="007B1153"/>
    <w:rsid w:val="007B28C5"/>
    <w:rsid w:val="007B4DD6"/>
    <w:rsid w:val="007B5C86"/>
    <w:rsid w:val="007B5E6A"/>
    <w:rsid w:val="007B634F"/>
    <w:rsid w:val="007B6734"/>
    <w:rsid w:val="007B6F13"/>
    <w:rsid w:val="007B705F"/>
    <w:rsid w:val="007C0D1A"/>
    <w:rsid w:val="007C0F32"/>
    <w:rsid w:val="007C1B0F"/>
    <w:rsid w:val="007C1F72"/>
    <w:rsid w:val="007C28CD"/>
    <w:rsid w:val="007C34E3"/>
    <w:rsid w:val="007C353F"/>
    <w:rsid w:val="007C42D8"/>
    <w:rsid w:val="007C4A7F"/>
    <w:rsid w:val="007C5153"/>
    <w:rsid w:val="007C5335"/>
    <w:rsid w:val="007C5813"/>
    <w:rsid w:val="007C5CDA"/>
    <w:rsid w:val="007C688A"/>
    <w:rsid w:val="007C6AD4"/>
    <w:rsid w:val="007C7D4A"/>
    <w:rsid w:val="007D03DE"/>
    <w:rsid w:val="007D061B"/>
    <w:rsid w:val="007D0906"/>
    <w:rsid w:val="007D1378"/>
    <w:rsid w:val="007D171B"/>
    <w:rsid w:val="007D21F3"/>
    <w:rsid w:val="007D2AC4"/>
    <w:rsid w:val="007D2B0E"/>
    <w:rsid w:val="007D2F41"/>
    <w:rsid w:val="007D36F0"/>
    <w:rsid w:val="007D4007"/>
    <w:rsid w:val="007D415F"/>
    <w:rsid w:val="007D46C2"/>
    <w:rsid w:val="007D4DAA"/>
    <w:rsid w:val="007D5A55"/>
    <w:rsid w:val="007D5B1D"/>
    <w:rsid w:val="007D647F"/>
    <w:rsid w:val="007E0088"/>
    <w:rsid w:val="007E0ADB"/>
    <w:rsid w:val="007E172F"/>
    <w:rsid w:val="007E1767"/>
    <w:rsid w:val="007E224A"/>
    <w:rsid w:val="007E2ACD"/>
    <w:rsid w:val="007E3BD1"/>
    <w:rsid w:val="007E4028"/>
    <w:rsid w:val="007E4A28"/>
    <w:rsid w:val="007E4D12"/>
    <w:rsid w:val="007E53DD"/>
    <w:rsid w:val="007E5A5A"/>
    <w:rsid w:val="007E5CC6"/>
    <w:rsid w:val="007E638D"/>
    <w:rsid w:val="007E67E8"/>
    <w:rsid w:val="007F0745"/>
    <w:rsid w:val="007F1D01"/>
    <w:rsid w:val="007F20EE"/>
    <w:rsid w:val="007F2FB7"/>
    <w:rsid w:val="007F5A02"/>
    <w:rsid w:val="007F6498"/>
    <w:rsid w:val="007F6C6A"/>
    <w:rsid w:val="007F708D"/>
    <w:rsid w:val="008009A0"/>
    <w:rsid w:val="00800C59"/>
    <w:rsid w:val="00800DFF"/>
    <w:rsid w:val="0080296D"/>
    <w:rsid w:val="00802FD7"/>
    <w:rsid w:val="008030FD"/>
    <w:rsid w:val="00803519"/>
    <w:rsid w:val="008044DD"/>
    <w:rsid w:val="00804D88"/>
    <w:rsid w:val="00805190"/>
    <w:rsid w:val="00807078"/>
    <w:rsid w:val="00810CD6"/>
    <w:rsid w:val="00811720"/>
    <w:rsid w:val="008120DD"/>
    <w:rsid w:val="008123CC"/>
    <w:rsid w:val="00814D30"/>
    <w:rsid w:val="00814F54"/>
    <w:rsid w:val="00815A0B"/>
    <w:rsid w:val="00816A79"/>
    <w:rsid w:val="00816BC0"/>
    <w:rsid w:val="008201F3"/>
    <w:rsid w:val="0082101C"/>
    <w:rsid w:val="00821903"/>
    <w:rsid w:val="00821FB8"/>
    <w:rsid w:val="00822911"/>
    <w:rsid w:val="00822F9A"/>
    <w:rsid w:val="008241F4"/>
    <w:rsid w:val="00824426"/>
    <w:rsid w:val="00824790"/>
    <w:rsid w:val="008247B6"/>
    <w:rsid w:val="008248CE"/>
    <w:rsid w:val="008258C0"/>
    <w:rsid w:val="00825A5E"/>
    <w:rsid w:val="0082680D"/>
    <w:rsid w:val="00827FE5"/>
    <w:rsid w:val="00831602"/>
    <w:rsid w:val="00831730"/>
    <w:rsid w:val="00832165"/>
    <w:rsid w:val="00833B84"/>
    <w:rsid w:val="00833DC9"/>
    <w:rsid w:val="00834B96"/>
    <w:rsid w:val="00834CD6"/>
    <w:rsid w:val="00835BFB"/>
    <w:rsid w:val="00835C05"/>
    <w:rsid w:val="008363A5"/>
    <w:rsid w:val="00836599"/>
    <w:rsid w:val="008369B5"/>
    <w:rsid w:val="00836EB3"/>
    <w:rsid w:val="00836EC5"/>
    <w:rsid w:val="0083711A"/>
    <w:rsid w:val="00840344"/>
    <w:rsid w:val="00840347"/>
    <w:rsid w:val="008426A1"/>
    <w:rsid w:val="00842D08"/>
    <w:rsid w:val="008432DF"/>
    <w:rsid w:val="008444FF"/>
    <w:rsid w:val="008467EE"/>
    <w:rsid w:val="00847603"/>
    <w:rsid w:val="008478DE"/>
    <w:rsid w:val="00850098"/>
    <w:rsid w:val="008503C3"/>
    <w:rsid w:val="00850D44"/>
    <w:rsid w:val="00852C3D"/>
    <w:rsid w:val="00852F50"/>
    <w:rsid w:val="0085409D"/>
    <w:rsid w:val="00854977"/>
    <w:rsid w:val="00855EB9"/>
    <w:rsid w:val="00856298"/>
    <w:rsid w:val="0085698A"/>
    <w:rsid w:val="008579E2"/>
    <w:rsid w:val="00857E80"/>
    <w:rsid w:val="0086025E"/>
    <w:rsid w:val="00860879"/>
    <w:rsid w:val="00861851"/>
    <w:rsid w:val="00862443"/>
    <w:rsid w:val="00862C5F"/>
    <w:rsid w:val="00862D0A"/>
    <w:rsid w:val="00863005"/>
    <w:rsid w:val="00864B0B"/>
    <w:rsid w:val="0086536B"/>
    <w:rsid w:val="008657C0"/>
    <w:rsid w:val="00866D78"/>
    <w:rsid w:val="008676BE"/>
    <w:rsid w:val="00870551"/>
    <w:rsid w:val="00870F50"/>
    <w:rsid w:val="0087201C"/>
    <w:rsid w:val="00872737"/>
    <w:rsid w:val="00872C2C"/>
    <w:rsid w:val="00873AB0"/>
    <w:rsid w:val="008740D9"/>
    <w:rsid w:val="008741BD"/>
    <w:rsid w:val="00874455"/>
    <w:rsid w:val="00874948"/>
    <w:rsid w:val="0087504E"/>
    <w:rsid w:val="00875069"/>
    <w:rsid w:val="00876524"/>
    <w:rsid w:val="00876852"/>
    <w:rsid w:val="00876ACB"/>
    <w:rsid w:val="00876BB4"/>
    <w:rsid w:val="00876EBD"/>
    <w:rsid w:val="00877664"/>
    <w:rsid w:val="00880D64"/>
    <w:rsid w:val="00881B7B"/>
    <w:rsid w:val="008829C4"/>
    <w:rsid w:val="008834A5"/>
    <w:rsid w:val="00883BBB"/>
    <w:rsid w:val="00883E16"/>
    <w:rsid w:val="00884F43"/>
    <w:rsid w:val="00884F8A"/>
    <w:rsid w:val="00885C37"/>
    <w:rsid w:val="00886C5A"/>
    <w:rsid w:val="00887CB0"/>
    <w:rsid w:val="00890E59"/>
    <w:rsid w:val="008910A7"/>
    <w:rsid w:val="00891C0D"/>
    <w:rsid w:val="00892C12"/>
    <w:rsid w:val="00892E1F"/>
    <w:rsid w:val="00893413"/>
    <w:rsid w:val="00893C63"/>
    <w:rsid w:val="00893F8C"/>
    <w:rsid w:val="008947C3"/>
    <w:rsid w:val="0089492B"/>
    <w:rsid w:val="00894E67"/>
    <w:rsid w:val="00895134"/>
    <w:rsid w:val="00895F2E"/>
    <w:rsid w:val="008964F1"/>
    <w:rsid w:val="00896CE4"/>
    <w:rsid w:val="00896DE8"/>
    <w:rsid w:val="008A0082"/>
    <w:rsid w:val="008A0FAB"/>
    <w:rsid w:val="008A204E"/>
    <w:rsid w:val="008A2806"/>
    <w:rsid w:val="008A2F00"/>
    <w:rsid w:val="008A412A"/>
    <w:rsid w:val="008A43E6"/>
    <w:rsid w:val="008A4703"/>
    <w:rsid w:val="008A4C34"/>
    <w:rsid w:val="008A5143"/>
    <w:rsid w:val="008A60F9"/>
    <w:rsid w:val="008A62DB"/>
    <w:rsid w:val="008A6FA0"/>
    <w:rsid w:val="008A7D21"/>
    <w:rsid w:val="008B01FF"/>
    <w:rsid w:val="008B0AB3"/>
    <w:rsid w:val="008B17EB"/>
    <w:rsid w:val="008B20F4"/>
    <w:rsid w:val="008B235D"/>
    <w:rsid w:val="008B2D42"/>
    <w:rsid w:val="008B305D"/>
    <w:rsid w:val="008B3075"/>
    <w:rsid w:val="008B3D08"/>
    <w:rsid w:val="008B568C"/>
    <w:rsid w:val="008B69BA"/>
    <w:rsid w:val="008B6B01"/>
    <w:rsid w:val="008B79AF"/>
    <w:rsid w:val="008C0317"/>
    <w:rsid w:val="008C1315"/>
    <w:rsid w:val="008C28AF"/>
    <w:rsid w:val="008C3E67"/>
    <w:rsid w:val="008C54ED"/>
    <w:rsid w:val="008C55F8"/>
    <w:rsid w:val="008C5623"/>
    <w:rsid w:val="008C6D1B"/>
    <w:rsid w:val="008C6D9B"/>
    <w:rsid w:val="008C72C7"/>
    <w:rsid w:val="008C74BF"/>
    <w:rsid w:val="008C79C9"/>
    <w:rsid w:val="008C7D50"/>
    <w:rsid w:val="008D031C"/>
    <w:rsid w:val="008D0CAE"/>
    <w:rsid w:val="008D0CCD"/>
    <w:rsid w:val="008D1818"/>
    <w:rsid w:val="008D1B6C"/>
    <w:rsid w:val="008D23AD"/>
    <w:rsid w:val="008D2492"/>
    <w:rsid w:val="008D2771"/>
    <w:rsid w:val="008D2DCA"/>
    <w:rsid w:val="008D3531"/>
    <w:rsid w:val="008D35EE"/>
    <w:rsid w:val="008D3D86"/>
    <w:rsid w:val="008D4B99"/>
    <w:rsid w:val="008D622F"/>
    <w:rsid w:val="008D62D9"/>
    <w:rsid w:val="008D6BEB"/>
    <w:rsid w:val="008D6FBB"/>
    <w:rsid w:val="008D77D3"/>
    <w:rsid w:val="008E09FB"/>
    <w:rsid w:val="008E22EE"/>
    <w:rsid w:val="008E2564"/>
    <w:rsid w:val="008E28C8"/>
    <w:rsid w:val="008E2B14"/>
    <w:rsid w:val="008E2CFF"/>
    <w:rsid w:val="008E3E1A"/>
    <w:rsid w:val="008E49FC"/>
    <w:rsid w:val="008E4F5C"/>
    <w:rsid w:val="008E553F"/>
    <w:rsid w:val="008E5CE5"/>
    <w:rsid w:val="008E7BCB"/>
    <w:rsid w:val="008F10CF"/>
    <w:rsid w:val="008F18A7"/>
    <w:rsid w:val="008F23AC"/>
    <w:rsid w:val="008F2709"/>
    <w:rsid w:val="008F33F6"/>
    <w:rsid w:val="008F39A6"/>
    <w:rsid w:val="008F3AD3"/>
    <w:rsid w:val="008F542A"/>
    <w:rsid w:val="008F6E5C"/>
    <w:rsid w:val="008F6F3E"/>
    <w:rsid w:val="008F7AE7"/>
    <w:rsid w:val="00901689"/>
    <w:rsid w:val="009018C0"/>
    <w:rsid w:val="00903FC1"/>
    <w:rsid w:val="00906390"/>
    <w:rsid w:val="00906969"/>
    <w:rsid w:val="00907E52"/>
    <w:rsid w:val="00907F50"/>
    <w:rsid w:val="00912427"/>
    <w:rsid w:val="00912A31"/>
    <w:rsid w:val="00912AC3"/>
    <w:rsid w:val="0091311D"/>
    <w:rsid w:val="00913230"/>
    <w:rsid w:val="009141BF"/>
    <w:rsid w:val="009141CE"/>
    <w:rsid w:val="00914C0A"/>
    <w:rsid w:val="00915822"/>
    <w:rsid w:val="00915C45"/>
    <w:rsid w:val="009169F7"/>
    <w:rsid w:val="00917884"/>
    <w:rsid w:val="009223FC"/>
    <w:rsid w:val="0092271F"/>
    <w:rsid w:val="009228FA"/>
    <w:rsid w:val="00922C49"/>
    <w:rsid w:val="00923312"/>
    <w:rsid w:val="00923B85"/>
    <w:rsid w:val="00924B33"/>
    <w:rsid w:val="00924FAB"/>
    <w:rsid w:val="00925168"/>
    <w:rsid w:val="0092589C"/>
    <w:rsid w:val="00925D48"/>
    <w:rsid w:val="009273D7"/>
    <w:rsid w:val="00927A1A"/>
    <w:rsid w:val="00930134"/>
    <w:rsid w:val="00930906"/>
    <w:rsid w:val="00930940"/>
    <w:rsid w:val="00930C21"/>
    <w:rsid w:val="00930D7B"/>
    <w:rsid w:val="0093376D"/>
    <w:rsid w:val="00933E6C"/>
    <w:rsid w:val="009342BB"/>
    <w:rsid w:val="00936263"/>
    <w:rsid w:val="00941EA8"/>
    <w:rsid w:val="00942756"/>
    <w:rsid w:val="00942B08"/>
    <w:rsid w:val="0094328A"/>
    <w:rsid w:val="009441EF"/>
    <w:rsid w:val="009443BE"/>
    <w:rsid w:val="00944ED2"/>
    <w:rsid w:val="00946C5B"/>
    <w:rsid w:val="00947157"/>
    <w:rsid w:val="00947B74"/>
    <w:rsid w:val="00947EAC"/>
    <w:rsid w:val="00950383"/>
    <w:rsid w:val="00952037"/>
    <w:rsid w:val="0095219D"/>
    <w:rsid w:val="00953414"/>
    <w:rsid w:val="00956D3F"/>
    <w:rsid w:val="009604C7"/>
    <w:rsid w:val="009616C2"/>
    <w:rsid w:val="00961A67"/>
    <w:rsid w:val="009638D5"/>
    <w:rsid w:val="009640DC"/>
    <w:rsid w:val="00964463"/>
    <w:rsid w:val="00964498"/>
    <w:rsid w:val="00964752"/>
    <w:rsid w:val="00964A01"/>
    <w:rsid w:val="00965112"/>
    <w:rsid w:val="00965615"/>
    <w:rsid w:val="0096659A"/>
    <w:rsid w:val="00971F12"/>
    <w:rsid w:val="0097231B"/>
    <w:rsid w:val="009733E7"/>
    <w:rsid w:val="00974146"/>
    <w:rsid w:val="0097442B"/>
    <w:rsid w:val="009750AE"/>
    <w:rsid w:val="00975FA8"/>
    <w:rsid w:val="009764F9"/>
    <w:rsid w:val="009765B2"/>
    <w:rsid w:val="0097679F"/>
    <w:rsid w:val="009805CB"/>
    <w:rsid w:val="009809CB"/>
    <w:rsid w:val="0098157E"/>
    <w:rsid w:val="009828EF"/>
    <w:rsid w:val="00982E76"/>
    <w:rsid w:val="00982FBD"/>
    <w:rsid w:val="0098365E"/>
    <w:rsid w:val="00983C7A"/>
    <w:rsid w:val="009844FC"/>
    <w:rsid w:val="00984E8D"/>
    <w:rsid w:val="009850BF"/>
    <w:rsid w:val="00986F52"/>
    <w:rsid w:val="0099004D"/>
    <w:rsid w:val="009902FE"/>
    <w:rsid w:val="00990F1F"/>
    <w:rsid w:val="00991403"/>
    <w:rsid w:val="009915EA"/>
    <w:rsid w:val="00991E3F"/>
    <w:rsid w:val="009926D6"/>
    <w:rsid w:val="00993507"/>
    <w:rsid w:val="009938ED"/>
    <w:rsid w:val="009938F1"/>
    <w:rsid w:val="009939CB"/>
    <w:rsid w:val="0099462E"/>
    <w:rsid w:val="009946FD"/>
    <w:rsid w:val="00994A87"/>
    <w:rsid w:val="0099578F"/>
    <w:rsid w:val="0099587A"/>
    <w:rsid w:val="00995F6D"/>
    <w:rsid w:val="00997295"/>
    <w:rsid w:val="00997ED2"/>
    <w:rsid w:val="009A0AF1"/>
    <w:rsid w:val="009A13C9"/>
    <w:rsid w:val="009A28DE"/>
    <w:rsid w:val="009A2A85"/>
    <w:rsid w:val="009A3760"/>
    <w:rsid w:val="009A388B"/>
    <w:rsid w:val="009A40AD"/>
    <w:rsid w:val="009A4FF3"/>
    <w:rsid w:val="009A6670"/>
    <w:rsid w:val="009A6A82"/>
    <w:rsid w:val="009A6E12"/>
    <w:rsid w:val="009A714C"/>
    <w:rsid w:val="009A7506"/>
    <w:rsid w:val="009A7682"/>
    <w:rsid w:val="009B2514"/>
    <w:rsid w:val="009B2E70"/>
    <w:rsid w:val="009B4321"/>
    <w:rsid w:val="009B4B9C"/>
    <w:rsid w:val="009B5EF8"/>
    <w:rsid w:val="009B7606"/>
    <w:rsid w:val="009B7B50"/>
    <w:rsid w:val="009B7F12"/>
    <w:rsid w:val="009C092E"/>
    <w:rsid w:val="009C1AAD"/>
    <w:rsid w:val="009C2B5F"/>
    <w:rsid w:val="009C3C4E"/>
    <w:rsid w:val="009C4261"/>
    <w:rsid w:val="009C4D27"/>
    <w:rsid w:val="009C5A84"/>
    <w:rsid w:val="009C5DF8"/>
    <w:rsid w:val="009C6180"/>
    <w:rsid w:val="009C765F"/>
    <w:rsid w:val="009C7C12"/>
    <w:rsid w:val="009D03B3"/>
    <w:rsid w:val="009D0C17"/>
    <w:rsid w:val="009D1CD5"/>
    <w:rsid w:val="009D3BE0"/>
    <w:rsid w:val="009D40CC"/>
    <w:rsid w:val="009D4842"/>
    <w:rsid w:val="009D5EDC"/>
    <w:rsid w:val="009D6364"/>
    <w:rsid w:val="009D6879"/>
    <w:rsid w:val="009D6C02"/>
    <w:rsid w:val="009D6EE6"/>
    <w:rsid w:val="009D71BE"/>
    <w:rsid w:val="009D782F"/>
    <w:rsid w:val="009D7A73"/>
    <w:rsid w:val="009D7F11"/>
    <w:rsid w:val="009E1C17"/>
    <w:rsid w:val="009E1FAC"/>
    <w:rsid w:val="009E2DD6"/>
    <w:rsid w:val="009E3973"/>
    <w:rsid w:val="009E3C72"/>
    <w:rsid w:val="009E3D3F"/>
    <w:rsid w:val="009E4857"/>
    <w:rsid w:val="009E57ED"/>
    <w:rsid w:val="009F0880"/>
    <w:rsid w:val="009F21A0"/>
    <w:rsid w:val="009F2852"/>
    <w:rsid w:val="009F2AEE"/>
    <w:rsid w:val="009F2E6E"/>
    <w:rsid w:val="009F30C6"/>
    <w:rsid w:val="009F4269"/>
    <w:rsid w:val="009F45E4"/>
    <w:rsid w:val="009F5D48"/>
    <w:rsid w:val="009F5EBA"/>
    <w:rsid w:val="009F6D78"/>
    <w:rsid w:val="009F7F1D"/>
    <w:rsid w:val="00A00579"/>
    <w:rsid w:val="00A01035"/>
    <w:rsid w:val="00A017B9"/>
    <w:rsid w:val="00A01F43"/>
    <w:rsid w:val="00A023FE"/>
    <w:rsid w:val="00A024CC"/>
    <w:rsid w:val="00A036D9"/>
    <w:rsid w:val="00A036E6"/>
    <w:rsid w:val="00A04454"/>
    <w:rsid w:val="00A04B6B"/>
    <w:rsid w:val="00A05062"/>
    <w:rsid w:val="00A06233"/>
    <w:rsid w:val="00A064FC"/>
    <w:rsid w:val="00A0711E"/>
    <w:rsid w:val="00A072CE"/>
    <w:rsid w:val="00A0795D"/>
    <w:rsid w:val="00A1145B"/>
    <w:rsid w:val="00A11DAD"/>
    <w:rsid w:val="00A11E91"/>
    <w:rsid w:val="00A11F46"/>
    <w:rsid w:val="00A12292"/>
    <w:rsid w:val="00A12484"/>
    <w:rsid w:val="00A127A7"/>
    <w:rsid w:val="00A12D40"/>
    <w:rsid w:val="00A13865"/>
    <w:rsid w:val="00A14F05"/>
    <w:rsid w:val="00A158BB"/>
    <w:rsid w:val="00A166EC"/>
    <w:rsid w:val="00A16DC3"/>
    <w:rsid w:val="00A17A33"/>
    <w:rsid w:val="00A2140D"/>
    <w:rsid w:val="00A23321"/>
    <w:rsid w:val="00A2344E"/>
    <w:rsid w:val="00A24030"/>
    <w:rsid w:val="00A240AA"/>
    <w:rsid w:val="00A24F55"/>
    <w:rsid w:val="00A24F9F"/>
    <w:rsid w:val="00A255D1"/>
    <w:rsid w:val="00A26AFF"/>
    <w:rsid w:val="00A277AD"/>
    <w:rsid w:val="00A279C2"/>
    <w:rsid w:val="00A27CDD"/>
    <w:rsid w:val="00A27CEF"/>
    <w:rsid w:val="00A302DF"/>
    <w:rsid w:val="00A30A4F"/>
    <w:rsid w:val="00A30C02"/>
    <w:rsid w:val="00A31314"/>
    <w:rsid w:val="00A32128"/>
    <w:rsid w:val="00A3239F"/>
    <w:rsid w:val="00A32732"/>
    <w:rsid w:val="00A346E1"/>
    <w:rsid w:val="00A357B9"/>
    <w:rsid w:val="00A36BD3"/>
    <w:rsid w:val="00A3762F"/>
    <w:rsid w:val="00A37827"/>
    <w:rsid w:val="00A37837"/>
    <w:rsid w:val="00A378ED"/>
    <w:rsid w:val="00A40574"/>
    <w:rsid w:val="00A41D9C"/>
    <w:rsid w:val="00A426A5"/>
    <w:rsid w:val="00A42BA7"/>
    <w:rsid w:val="00A43789"/>
    <w:rsid w:val="00A439A9"/>
    <w:rsid w:val="00A4424A"/>
    <w:rsid w:val="00A443C1"/>
    <w:rsid w:val="00A44D50"/>
    <w:rsid w:val="00A4767D"/>
    <w:rsid w:val="00A500A4"/>
    <w:rsid w:val="00A505D7"/>
    <w:rsid w:val="00A511BD"/>
    <w:rsid w:val="00A51540"/>
    <w:rsid w:val="00A51C55"/>
    <w:rsid w:val="00A5238F"/>
    <w:rsid w:val="00A52745"/>
    <w:rsid w:val="00A535E1"/>
    <w:rsid w:val="00A53F57"/>
    <w:rsid w:val="00A547A4"/>
    <w:rsid w:val="00A553FB"/>
    <w:rsid w:val="00A5577F"/>
    <w:rsid w:val="00A55F73"/>
    <w:rsid w:val="00A5690F"/>
    <w:rsid w:val="00A57128"/>
    <w:rsid w:val="00A571DE"/>
    <w:rsid w:val="00A57609"/>
    <w:rsid w:val="00A62435"/>
    <w:rsid w:val="00A62655"/>
    <w:rsid w:val="00A62861"/>
    <w:rsid w:val="00A629A7"/>
    <w:rsid w:val="00A62F3A"/>
    <w:rsid w:val="00A62F4D"/>
    <w:rsid w:val="00A633F4"/>
    <w:rsid w:val="00A639F3"/>
    <w:rsid w:val="00A70B05"/>
    <w:rsid w:val="00A70C83"/>
    <w:rsid w:val="00A70F8E"/>
    <w:rsid w:val="00A711AF"/>
    <w:rsid w:val="00A71612"/>
    <w:rsid w:val="00A716EA"/>
    <w:rsid w:val="00A71D03"/>
    <w:rsid w:val="00A71DFD"/>
    <w:rsid w:val="00A745B9"/>
    <w:rsid w:val="00A74682"/>
    <w:rsid w:val="00A76AB2"/>
    <w:rsid w:val="00A772CA"/>
    <w:rsid w:val="00A77613"/>
    <w:rsid w:val="00A77CF5"/>
    <w:rsid w:val="00A77CF7"/>
    <w:rsid w:val="00A81EF1"/>
    <w:rsid w:val="00A81F9E"/>
    <w:rsid w:val="00A83566"/>
    <w:rsid w:val="00A86CFC"/>
    <w:rsid w:val="00A87120"/>
    <w:rsid w:val="00A87251"/>
    <w:rsid w:val="00A8727D"/>
    <w:rsid w:val="00A876D8"/>
    <w:rsid w:val="00A87C04"/>
    <w:rsid w:val="00A9370E"/>
    <w:rsid w:val="00A9528C"/>
    <w:rsid w:val="00A956D1"/>
    <w:rsid w:val="00A9582A"/>
    <w:rsid w:val="00A95AD8"/>
    <w:rsid w:val="00A96C24"/>
    <w:rsid w:val="00A96FA5"/>
    <w:rsid w:val="00A979BD"/>
    <w:rsid w:val="00A97A73"/>
    <w:rsid w:val="00A97C9A"/>
    <w:rsid w:val="00AA01C4"/>
    <w:rsid w:val="00AA09A0"/>
    <w:rsid w:val="00AA11AE"/>
    <w:rsid w:val="00AA1BAD"/>
    <w:rsid w:val="00AA1CAA"/>
    <w:rsid w:val="00AA26C6"/>
    <w:rsid w:val="00AA2EB8"/>
    <w:rsid w:val="00AA328E"/>
    <w:rsid w:val="00AA3D06"/>
    <w:rsid w:val="00AA4015"/>
    <w:rsid w:val="00AA48A3"/>
    <w:rsid w:val="00AA5139"/>
    <w:rsid w:val="00AA6762"/>
    <w:rsid w:val="00AA740D"/>
    <w:rsid w:val="00AA7F53"/>
    <w:rsid w:val="00AB09B7"/>
    <w:rsid w:val="00AB16E1"/>
    <w:rsid w:val="00AB2BC0"/>
    <w:rsid w:val="00AB2CE2"/>
    <w:rsid w:val="00AB2D7D"/>
    <w:rsid w:val="00AB30BB"/>
    <w:rsid w:val="00AB4418"/>
    <w:rsid w:val="00AB521F"/>
    <w:rsid w:val="00AB5DB8"/>
    <w:rsid w:val="00AB7E02"/>
    <w:rsid w:val="00AC0835"/>
    <w:rsid w:val="00AC096C"/>
    <w:rsid w:val="00AC0E3D"/>
    <w:rsid w:val="00AC23F2"/>
    <w:rsid w:val="00AC2779"/>
    <w:rsid w:val="00AC37EA"/>
    <w:rsid w:val="00AC3B88"/>
    <w:rsid w:val="00AC3CD2"/>
    <w:rsid w:val="00AC522E"/>
    <w:rsid w:val="00AC6DD7"/>
    <w:rsid w:val="00AC720A"/>
    <w:rsid w:val="00AD0619"/>
    <w:rsid w:val="00AD13A1"/>
    <w:rsid w:val="00AD1BC8"/>
    <w:rsid w:val="00AD3B6D"/>
    <w:rsid w:val="00AD4727"/>
    <w:rsid w:val="00AD4BA9"/>
    <w:rsid w:val="00AD51F7"/>
    <w:rsid w:val="00AD55A3"/>
    <w:rsid w:val="00AD57E6"/>
    <w:rsid w:val="00AD6254"/>
    <w:rsid w:val="00AD6CF3"/>
    <w:rsid w:val="00AD7184"/>
    <w:rsid w:val="00AE01CD"/>
    <w:rsid w:val="00AE0D37"/>
    <w:rsid w:val="00AE158B"/>
    <w:rsid w:val="00AE1892"/>
    <w:rsid w:val="00AE1AE8"/>
    <w:rsid w:val="00AE2B0B"/>
    <w:rsid w:val="00AE43FC"/>
    <w:rsid w:val="00AE4AD0"/>
    <w:rsid w:val="00AE528F"/>
    <w:rsid w:val="00AE587D"/>
    <w:rsid w:val="00AE7245"/>
    <w:rsid w:val="00AE7927"/>
    <w:rsid w:val="00AE7CDB"/>
    <w:rsid w:val="00AF06D2"/>
    <w:rsid w:val="00AF0A3A"/>
    <w:rsid w:val="00AF16CE"/>
    <w:rsid w:val="00AF1B13"/>
    <w:rsid w:val="00AF1D82"/>
    <w:rsid w:val="00AF2940"/>
    <w:rsid w:val="00AF29D2"/>
    <w:rsid w:val="00AF2E0B"/>
    <w:rsid w:val="00AF3A22"/>
    <w:rsid w:val="00AF4403"/>
    <w:rsid w:val="00AF4822"/>
    <w:rsid w:val="00AF4C2B"/>
    <w:rsid w:val="00AF5D3F"/>
    <w:rsid w:val="00AF5DAD"/>
    <w:rsid w:val="00AF60D5"/>
    <w:rsid w:val="00AF6439"/>
    <w:rsid w:val="00AF7229"/>
    <w:rsid w:val="00AF72EC"/>
    <w:rsid w:val="00AF75A7"/>
    <w:rsid w:val="00B005A8"/>
    <w:rsid w:val="00B0063A"/>
    <w:rsid w:val="00B01523"/>
    <w:rsid w:val="00B02F46"/>
    <w:rsid w:val="00B03085"/>
    <w:rsid w:val="00B03965"/>
    <w:rsid w:val="00B03C2C"/>
    <w:rsid w:val="00B03E1C"/>
    <w:rsid w:val="00B04EE3"/>
    <w:rsid w:val="00B0579B"/>
    <w:rsid w:val="00B05A71"/>
    <w:rsid w:val="00B05F91"/>
    <w:rsid w:val="00B06560"/>
    <w:rsid w:val="00B1047F"/>
    <w:rsid w:val="00B11BE8"/>
    <w:rsid w:val="00B11D90"/>
    <w:rsid w:val="00B11E02"/>
    <w:rsid w:val="00B120D7"/>
    <w:rsid w:val="00B123D8"/>
    <w:rsid w:val="00B12526"/>
    <w:rsid w:val="00B1266E"/>
    <w:rsid w:val="00B14776"/>
    <w:rsid w:val="00B16CD0"/>
    <w:rsid w:val="00B16D08"/>
    <w:rsid w:val="00B17F4A"/>
    <w:rsid w:val="00B20351"/>
    <w:rsid w:val="00B216EF"/>
    <w:rsid w:val="00B21F67"/>
    <w:rsid w:val="00B22667"/>
    <w:rsid w:val="00B234EB"/>
    <w:rsid w:val="00B23523"/>
    <w:rsid w:val="00B23604"/>
    <w:rsid w:val="00B23AB1"/>
    <w:rsid w:val="00B23C36"/>
    <w:rsid w:val="00B24BD3"/>
    <w:rsid w:val="00B24E74"/>
    <w:rsid w:val="00B2503C"/>
    <w:rsid w:val="00B2564D"/>
    <w:rsid w:val="00B257F4"/>
    <w:rsid w:val="00B25860"/>
    <w:rsid w:val="00B26049"/>
    <w:rsid w:val="00B2754D"/>
    <w:rsid w:val="00B30116"/>
    <w:rsid w:val="00B319AC"/>
    <w:rsid w:val="00B32C92"/>
    <w:rsid w:val="00B339C6"/>
    <w:rsid w:val="00B33CA8"/>
    <w:rsid w:val="00B33FC6"/>
    <w:rsid w:val="00B34E63"/>
    <w:rsid w:val="00B36A29"/>
    <w:rsid w:val="00B402E3"/>
    <w:rsid w:val="00B415A1"/>
    <w:rsid w:val="00B4254D"/>
    <w:rsid w:val="00B4284F"/>
    <w:rsid w:val="00B42A5C"/>
    <w:rsid w:val="00B431E0"/>
    <w:rsid w:val="00B459D5"/>
    <w:rsid w:val="00B462E6"/>
    <w:rsid w:val="00B47638"/>
    <w:rsid w:val="00B50057"/>
    <w:rsid w:val="00B51006"/>
    <w:rsid w:val="00B51436"/>
    <w:rsid w:val="00B51C8B"/>
    <w:rsid w:val="00B526EF"/>
    <w:rsid w:val="00B529B5"/>
    <w:rsid w:val="00B53700"/>
    <w:rsid w:val="00B547F7"/>
    <w:rsid w:val="00B54F59"/>
    <w:rsid w:val="00B557FB"/>
    <w:rsid w:val="00B55B59"/>
    <w:rsid w:val="00B61F79"/>
    <w:rsid w:val="00B64139"/>
    <w:rsid w:val="00B64D20"/>
    <w:rsid w:val="00B65BCB"/>
    <w:rsid w:val="00B65E2B"/>
    <w:rsid w:val="00B66659"/>
    <w:rsid w:val="00B66CD1"/>
    <w:rsid w:val="00B66E4C"/>
    <w:rsid w:val="00B6712D"/>
    <w:rsid w:val="00B6750C"/>
    <w:rsid w:val="00B701AA"/>
    <w:rsid w:val="00B70905"/>
    <w:rsid w:val="00B70B3D"/>
    <w:rsid w:val="00B70C4F"/>
    <w:rsid w:val="00B70D13"/>
    <w:rsid w:val="00B729DE"/>
    <w:rsid w:val="00B7375A"/>
    <w:rsid w:val="00B73DB4"/>
    <w:rsid w:val="00B7403E"/>
    <w:rsid w:val="00B74849"/>
    <w:rsid w:val="00B75583"/>
    <w:rsid w:val="00B758C7"/>
    <w:rsid w:val="00B76BE3"/>
    <w:rsid w:val="00B7792E"/>
    <w:rsid w:val="00B800E6"/>
    <w:rsid w:val="00B802F5"/>
    <w:rsid w:val="00B8099D"/>
    <w:rsid w:val="00B81223"/>
    <w:rsid w:val="00B8203B"/>
    <w:rsid w:val="00B84B99"/>
    <w:rsid w:val="00B84EB2"/>
    <w:rsid w:val="00B850D2"/>
    <w:rsid w:val="00B85FC4"/>
    <w:rsid w:val="00B8691C"/>
    <w:rsid w:val="00B86BA1"/>
    <w:rsid w:val="00B86F94"/>
    <w:rsid w:val="00B87AD8"/>
    <w:rsid w:val="00B90359"/>
    <w:rsid w:val="00B90C15"/>
    <w:rsid w:val="00B90C5C"/>
    <w:rsid w:val="00B90EBA"/>
    <w:rsid w:val="00B921FA"/>
    <w:rsid w:val="00B92CE9"/>
    <w:rsid w:val="00B932C5"/>
    <w:rsid w:val="00B94188"/>
    <w:rsid w:val="00B94874"/>
    <w:rsid w:val="00B949E3"/>
    <w:rsid w:val="00B94DD8"/>
    <w:rsid w:val="00B96371"/>
    <w:rsid w:val="00B96A9A"/>
    <w:rsid w:val="00B96B98"/>
    <w:rsid w:val="00B96FF7"/>
    <w:rsid w:val="00BA01FA"/>
    <w:rsid w:val="00BA2616"/>
    <w:rsid w:val="00BA2645"/>
    <w:rsid w:val="00BA276D"/>
    <w:rsid w:val="00BA3AB7"/>
    <w:rsid w:val="00BA4136"/>
    <w:rsid w:val="00BA449C"/>
    <w:rsid w:val="00BA5B29"/>
    <w:rsid w:val="00BA5BAD"/>
    <w:rsid w:val="00BA6B1F"/>
    <w:rsid w:val="00BA6C10"/>
    <w:rsid w:val="00BB05E5"/>
    <w:rsid w:val="00BB08F8"/>
    <w:rsid w:val="00BB1009"/>
    <w:rsid w:val="00BB2656"/>
    <w:rsid w:val="00BB26E8"/>
    <w:rsid w:val="00BB28E0"/>
    <w:rsid w:val="00BB2920"/>
    <w:rsid w:val="00BB2C59"/>
    <w:rsid w:val="00BB4326"/>
    <w:rsid w:val="00BB4330"/>
    <w:rsid w:val="00BB4425"/>
    <w:rsid w:val="00BB4841"/>
    <w:rsid w:val="00BB4B42"/>
    <w:rsid w:val="00BB4D6B"/>
    <w:rsid w:val="00BB55FC"/>
    <w:rsid w:val="00BB5BAE"/>
    <w:rsid w:val="00BB5C6C"/>
    <w:rsid w:val="00BB5C8C"/>
    <w:rsid w:val="00BB64CC"/>
    <w:rsid w:val="00BB7DE6"/>
    <w:rsid w:val="00BB7E64"/>
    <w:rsid w:val="00BC0C22"/>
    <w:rsid w:val="00BC1526"/>
    <w:rsid w:val="00BC19A8"/>
    <w:rsid w:val="00BC2730"/>
    <w:rsid w:val="00BC3495"/>
    <w:rsid w:val="00BC5D97"/>
    <w:rsid w:val="00BC612C"/>
    <w:rsid w:val="00BC6F15"/>
    <w:rsid w:val="00BC7608"/>
    <w:rsid w:val="00BD01A1"/>
    <w:rsid w:val="00BD0D32"/>
    <w:rsid w:val="00BD0FDB"/>
    <w:rsid w:val="00BD15C1"/>
    <w:rsid w:val="00BD160F"/>
    <w:rsid w:val="00BD2697"/>
    <w:rsid w:val="00BD2B28"/>
    <w:rsid w:val="00BD2DF8"/>
    <w:rsid w:val="00BD3700"/>
    <w:rsid w:val="00BD3730"/>
    <w:rsid w:val="00BD3DDB"/>
    <w:rsid w:val="00BD4F17"/>
    <w:rsid w:val="00BD50B2"/>
    <w:rsid w:val="00BD5184"/>
    <w:rsid w:val="00BD7240"/>
    <w:rsid w:val="00BD7737"/>
    <w:rsid w:val="00BE07C9"/>
    <w:rsid w:val="00BE2063"/>
    <w:rsid w:val="00BE2A68"/>
    <w:rsid w:val="00BE2F65"/>
    <w:rsid w:val="00BE46D5"/>
    <w:rsid w:val="00BE477C"/>
    <w:rsid w:val="00BE4A65"/>
    <w:rsid w:val="00BE4B53"/>
    <w:rsid w:val="00BE4DCF"/>
    <w:rsid w:val="00BE5AD7"/>
    <w:rsid w:val="00BF0422"/>
    <w:rsid w:val="00BF08E3"/>
    <w:rsid w:val="00BF1681"/>
    <w:rsid w:val="00BF2A91"/>
    <w:rsid w:val="00BF3680"/>
    <w:rsid w:val="00BF4BE8"/>
    <w:rsid w:val="00BF4C68"/>
    <w:rsid w:val="00BF56D7"/>
    <w:rsid w:val="00BF6023"/>
    <w:rsid w:val="00BF6C97"/>
    <w:rsid w:val="00BF73D8"/>
    <w:rsid w:val="00BF76C6"/>
    <w:rsid w:val="00BF79AE"/>
    <w:rsid w:val="00BF7DD7"/>
    <w:rsid w:val="00C0038C"/>
    <w:rsid w:val="00C0038E"/>
    <w:rsid w:val="00C00474"/>
    <w:rsid w:val="00C0096F"/>
    <w:rsid w:val="00C0120A"/>
    <w:rsid w:val="00C01310"/>
    <w:rsid w:val="00C01DE7"/>
    <w:rsid w:val="00C0219F"/>
    <w:rsid w:val="00C02603"/>
    <w:rsid w:val="00C044B1"/>
    <w:rsid w:val="00C0584C"/>
    <w:rsid w:val="00C05E23"/>
    <w:rsid w:val="00C07159"/>
    <w:rsid w:val="00C0769B"/>
    <w:rsid w:val="00C0772F"/>
    <w:rsid w:val="00C07B68"/>
    <w:rsid w:val="00C111DA"/>
    <w:rsid w:val="00C11267"/>
    <w:rsid w:val="00C116BF"/>
    <w:rsid w:val="00C11C63"/>
    <w:rsid w:val="00C13834"/>
    <w:rsid w:val="00C148F1"/>
    <w:rsid w:val="00C1524F"/>
    <w:rsid w:val="00C1570A"/>
    <w:rsid w:val="00C1619A"/>
    <w:rsid w:val="00C17425"/>
    <w:rsid w:val="00C1776E"/>
    <w:rsid w:val="00C17E06"/>
    <w:rsid w:val="00C2053A"/>
    <w:rsid w:val="00C20796"/>
    <w:rsid w:val="00C20971"/>
    <w:rsid w:val="00C215E3"/>
    <w:rsid w:val="00C218AD"/>
    <w:rsid w:val="00C21D7D"/>
    <w:rsid w:val="00C22CEF"/>
    <w:rsid w:val="00C24A89"/>
    <w:rsid w:val="00C252D4"/>
    <w:rsid w:val="00C2562B"/>
    <w:rsid w:val="00C25760"/>
    <w:rsid w:val="00C2752B"/>
    <w:rsid w:val="00C279E9"/>
    <w:rsid w:val="00C27E71"/>
    <w:rsid w:val="00C27FCC"/>
    <w:rsid w:val="00C30E5A"/>
    <w:rsid w:val="00C31882"/>
    <w:rsid w:val="00C324EE"/>
    <w:rsid w:val="00C329E6"/>
    <w:rsid w:val="00C33353"/>
    <w:rsid w:val="00C3420C"/>
    <w:rsid w:val="00C34B1B"/>
    <w:rsid w:val="00C350BC"/>
    <w:rsid w:val="00C363F0"/>
    <w:rsid w:val="00C374B6"/>
    <w:rsid w:val="00C374D3"/>
    <w:rsid w:val="00C37808"/>
    <w:rsid w:val="00C37A09"/>
    <w:rsid w:val="00C37BF7"/>
    <w:rsid w:val="00C407B0"/>
    <w:rsid w:val="00C412DA"/>
    <w:rsid w:val="00C419F8"/>
    <w:rsid w:val="00C42D21"/>
    <w:rsid w:val="00C43262"/>
    <w:rsid w:val="00C449F2"/>
    <w:rsid w:val="00C44C24"/>
    <w:rsid w:val="00C44EE1"/>
    <w:rsid w:val="00C4689C"/>
    <w:rsid w:val="00C4732C"/>
    <w:rsid w:val="00C501E1"/>
    <w:rsid w:val="00C5108B"/>
    <w:rsid w:val="00C5191E"/>
    <w:rsid w:val="00C5243C"/>
    <w:rsid w:val="00C541E5"/>
    <w:rsid w:val="00C548D1"/>
    <w:rsid w:val="00C56A21"/>
    <w:rsid w:val="00C56F33"/>
    <w:rsid w:val="00C570AB"/>
    <w:rsid w:val="00C5790D"/>
    <w:rsid w:val="00C57E50"/>
    <w:rsid w:val="00C6207A"/>
    <w:rsid w:val="00C62ECA"/>
    <w:rsid w:val="00C635E7"/>
    <w:rsid w:val="00C66502"/>
    <w:rsid w:val="00C66ED6"/>
    <w:rsid w:val="00C72E30"/>
    <w:rsid w:val="00C73A99"/>
    <w:rsid w:val="00C73AA3"/>
    <w:rsid w:val="00C742C5"/>
    <w:rsid w:val="00C74EEB"/>
    <w:rsid w:val="00C75E87"/>
    <w:rsid w:val="00C762F4"/>
    <w:rsid w:val="00C77769"/>
    <w:rsid w:val="00C811A0"/>
    <w:rsid w:val="00C81852"/>
    <w:rsid w:val="00C81AE4"/>
    <w:rsid w:val="00C82377"/>
    <w:rsid w:val="00C823B1"/>
    <w:rsid w:val="00C8317F"/>
    <w:rsid w:val="00C8395D"/>
    <w:rsid w:val="00C83B66"/>
    <w:rsid w:val="00C84745"/>
    <w:rsid w:val="00C85E9F"/>
    <w:rsid w:val="00C86049"/>
    <w:rsid w:val="00C8606C"/>
    <w:rsid w:val="00C876D3"/>
    <w:rsid w:val="00C87C28"/>
    <w:rsid w:val="00C87C52"/>
    <w:rsid w:val="00C910E0"/>
    <w:rsid w:val="00C91918"/>
    <w:rsid w:val="00C930FA"/>
    <w:rsid w:val="00C9337D"/>
    <w:rsid w:val="00C93E91"/>
    <w:rsid w:val="00C94FEE"/>
    <w:rsid w:val="00CA01DA"/>
    <w:rsid w:val="00CA05D9"/>
    <w:rsid w:val="00CA0823"/>
    <w:rsid w:val="00CA162D"/>
    <w:rsid w:val="00CA1AB5"/>
    <w:rsid w:val="00CA1C71"/>
    <w:rsid w:val="00CA3C2E"/>
    <w:rsid w:val="00CA442E"/>
    <w:rsid w:val="00CA4E4C"/>
    <w:rsid w:val="00CA5639"/>
    <w:rsid w:val="00CA5844"/>
    <w:rsid w:val="00CA5AE6"/>
    <w:rsid w:val="00CA6736"/>
    <w:rsid w:val="00CA71BA"/>
    <w:rsid w:val="00CA752E"/>
    <w:rsid w:val="00CA765D"/>
    <w:rsid w:val="00CA790E"/>
    <w:rsid w:val="00CA7D30"/>
    <w:rsid w:val="00CB2CC6"/>
    <w:rsid w:val="00CB38AC"/>
    <w:rsid w:val="00CB3EBA"/>
    <w:rsid w:val="00CB53AF"/>
    <w:rsid w:val="00CB5455"/>
    <w:rsid w:val="00CB61D0"/>
    <w:rsid w:val="00CB7CE3"/>
    <w:rsid w:val="00CB7FFE"/>
    <w:rsid w:val="00CC0E69"/>
    <w:rsid w:val="00CC22B4"/>
    <w:rsid w:val="00CC26DB"/>
    <w:rsid w:val="00CC2EE7"/>
    <w:rsid w:val="00CC3555"/>
    <w:rsid w:val="00CC4056"/>
    <w:rsid w:val="00CC40AA"/>
    <w:rsid w:val="00CC4691"/>
    <w:rsid w:val="00CC4E93"/>
    <w:rsid w:val="00CC4F51"/>
    <w:rsid w:val="00CD0131"/>
    <w:rsid w:val="00CD15C8"/>
    <w:rsid w:val="00CD2C78"/>
    <w:rsid w:val="00CD3EF8"/>
    <w:rsid w:val="00CD4338"/>
    <w:rsid w:val="00CD435F"/>
    <w:rsid w:val="00CD4A0E"/>
    <w:rsid w:val="00CD4F4E"/>
    <w:rsid w:val="00CD4FF9"/>
    <w:rsid w:val="00CD54EA"/>
    <w:rsid w:val="00CD623E"/>
    <w:rsid w:val="00CD69CD"/>
    <w:rsid w:val="00CD78E5"/>
    <w:rsid w:val="00CD79D1"/>
    <w:rsid w:val="00CD7C9D"/>
    <w:rsid w:val="00CD7D6D"/>
    <w:rsid w:val="00CD7E24"/>
    <w:rsid w:val="00CD7E41"/>
    <w:rsid w:val="00CE0223"/>
    <w:rsid w:val="00CE061B"/>
    <w:rsid w:val="00CE1618"/>
    <w:rsid w:val="00CE1BB0"/>
    <w:rsid w:val="00CE1D58"/>
    <w:rsid w:val="00CE22DD"/>
    <w:rsid w:val="00CE246F"/>
    <w:rsid w:val="00CE2B72"/>
    <w:rsid w:val="00CE33F3"/>
    <w:rsid w:val="00CE4607"/>
    <w:rsid w:val="00CE4621"/>
    <w:rsid w:val="00CE4C9A"/>
    <w:rsid w:val="00CE4E6B"/>
    <w:rsid w:val="00CE5F40"/>
    <w:rsid w:val="00CE6CCA"/>
    <w:rsid w:val="00CE7682"/>
    <w:rsid w:val="00CE7C6B"/>
    <w:rsid w:val="00CE7F48"/>
    <w:rsid w:val="00CE7FA1"/>
    <w:rsid w:val="00CF015F"/>
    <w:rsid w:val="00CF0327"/>
    <w:rsid w:val="00CF0557"/>
    <w:rsid w:val="00CF0A68"/>
    <w:rsid w:val="00CF134B"/>
    <w:rsid w:val="00CF1484"/>
    <w:rsid w:val="00CF1AEA"/>
    <w:rsid w:val="00CF1DC0"/>
    <w:rsid w:val="00CF1F27"/>
    <w:rsid w:val="00CF20DD"/>
    <w:rsid w:val="00CF3BD4"/>
    <w:rsid w:val="00CF40E7"/>
    <w:rsid w:val="00CF4152"/>
    <w:rsid w:val="00CF423D"/>
    <w:rsid w:val="00CF4996"/>
    <w:rsid w:val="00CF52FD"/>
    <w:rsid w:val="00CF6C3F"/>
    <w:rsid w:val="00CF7A46"/>
    <w:rsid w:val="00D01EFC"/>
    <w:rsid w:val="00D03F2F"/>
    <w:rsid w:val="00D042C3"/>
    <w:rsid w:val="00D053D1"/>
    <w:rsid w:val="00D05F10"/>
    <w:rsid w:val="00D06B59"/>
    <w:rsid w:val="00D06F66"/>
    <w:rsid w:val="00D0749C"/>
    <w:rsid w:val="00D07ABD"/>
    <w:rsid w:val="00D07EDC"/>
    <w:rsid w:val="00D1132B"/>
    <w:rsid w:val="00D11BFE"/>
    <w:rsid w:val="00D121DE"/>
    <w:rsid w:val="00D12EA0"/>
    <w:rsid w:val="00D133DC"/>
    <w:rsid w:val="00D13B1E"/>
    <w:rsid w:val="00D13B6E"/>
    <w:rsid w:val="00D13E83"/>
    <w:rsid w:val="00D159F7"/>
    <w:rsid w:val="00D15AD0"/>
    <w:rsid w:val="00D161B7"/>
    <w:rsid w:val="00D17B07"/>
    <w:rsid w:val="00D17F18"/>
    <w:rsid w:val="00D2128C"/>
    <w:rsid w:val="00D21EAA"/>
    <w:rsid w:val="00D21F39"/>
    <w:rsid w:val="00D22685"/>
    <w:rsid w:val="00D22A9B"/>
    <w:rsid w:val="00D22AAD"/>
    <w:rsid w:val="00D22EC2"/>
    <w:rsid w:val="00D2607A"/>
    <w:rsid w:val="00D26781"/>
    <w:rsid w:val="00D26C70"/>
    <w:rsid w:val="00D27D21"/>
    <w:rsid w:val="00D31899"/>
    <w:rsid w:val="00D3332F"/>
    <w:rsid w:val="00D33F61"/>
    <w:rsid w:val="00D33F73"/>
    <w:rsid w:val="00D34B88"/>
    <w:rsid w:val="00D353EE"/>
    <w:rsid w:val="00D35568"/>
    <w:rsid w:val="00D403F2"/>
    <w:rsid w:val="00D40879"/>
    <w:rsid w:val="00D41CC4"/>
    <w:rsid w:val="00D422A8"/>
    <w:rsid w:val="00D4298C"/>
    <w:rsid w:val="00D42D6C"/>
    <w:rsid w:val="00D43C6E"/>
    <w:rsid w:val="00D43F25"/>
    <w:rsid w:val="00D45317"/>
    <w:rsid w:val="00D457FE"/>
    <w:rsid w:val="00D459DA"/>
    <w:rsid w:val="00D45B13"/>
    <w:rsid w:val="00D4644E"/>
    <w:rsid w:val="00D4654B"/>
    <w:rsid w:val="00D47DB0"/>
    <w:rsid w:val="00D5073C"/>
    <w:rsid w:val="00D50EAC"/>
    <w:rsid w:val="00D51178"/>
    <w:rsid w:val="00D52D0B"/>
    <w:rsid w:val="00D53EBC"/>
    <w:rsid w:val="00D5470C"/>
    <w:rsid w:val="00D54E7D"/>
    <w:rsid w:val="00D55A31"/>
    <w:rsid w:val="00D560E5"/>
    <w:rsid w:val="00D573AF"/>
    <w:rsid w:val="00D574F1"/>
    <w:rsid w:val="00D57879"/>
    <w:rsid w:val="00D600F5"/>
    <w:rsid w:val="00D606F9"/>
    <w:rsid w:val="00D60C64"/>
    <w:rsid w:val="00D629C7"/>
    <w:rsid w:val="00D62E32"/>
    <w:rsid w:val="00D6303C"/>
    <w:rsid w:val="00D634E0"/>
    <w:rsid w:val="00D63983"/>
    <w:rsid w:val="00D63B88"/>
    <w:rsid w:val="00D6434D"/>
    <w:rsid w:val="00D64B99"/>
    <w:rsid w:val="00D64CF1"/>
    <w:rsid w:val="00D659A0"/>
    <w:rsid w:val="00D66FE8"/>
    <w:rsid w:val="00D67D5B"/>
    <w:rsid w:val="00D70BCF"/>
    <w:rsid w:val="00D70C84"/>
    <w:rsid w:val="00D71ADE"/>
    <w:rsid w:val="00D722FF"/>
    <w:rsid w:val="00D725D8"/>
    <w:rsid w:val="00D72B2A"/>
    <w:rsid w:val="00D73EB7"/>
    <w:rsid w:val="00D7496C"/>
    <w:rsid w:val="00D74ED7"/>
    <w:rsid w:val="00D750CD"/>
    <w:rsid w:val="00D75F08"/>
    <w:rsid w:val="00D76455"/>
    <w:rsid w:val="00D76A34"/>
    <w:rsid w:val="00D76C4E"/>
    <w:rsid w:val="00D77698"/>
    <w:rsid w:val="00D7797A"/>
    <w:rsid w:val="00D8023F"/>
    <w:rsid w:val="00D83747"/>
    <w:rsid w:val="00D8377F"/>
    <w:rsid w:val="00D837B6"/>
    <w:rsid w:val="00D83DCE"/>
    <w:rsid w:val="00D85155"/>
    <w:rsid w:val="00D85F20"/>
    <w:rsid w:val="00D91796"/>
    <w:rsid w:val="00D9281C"/>
    <w:rsid w:val="00D92D70"/>
    <w:rsid w:val="00D94DBC"/>
    <w:rsid w:val="00D97C8F"/>
    <w:rsid w:val="00DA0CFA"/>
    <w:rsid w:val="00DA114F"/>
    <w:rsid w:val="00DA162E"/>
    <w:rsid w:val="00DA2915"/>
    <w:rsid w:val="00DA3312"/>
    <w:rsid w:val="00DA363E"/>
    <w:rsid w:val="00DA3A5A"/>
    <w:rsid w:val="00DA46A1"/>
    <w:rsid w:val="00DA46EF"/>
    <w:rsid w:val="00DA4FF7"/>
    <w:rsid w:val="00DA732B"/>
    <w:rsid w:val="00DB0083"/>
    <w:rsid w:val="00DB26BC"/>
    <w:rsid w:val="00DB4422"/>
    <w:rsid w:val="00DB44D6"/>
    <w:rsid w:val="00DB46C7"/>
    <w:rsid w:val="00DB4F2A"/>
    <w:rsid w:val="00DB4F47"/>
    <w:rsid w:val="00DB59CE"/>
    <w:rsid w:val="00DB65DB"/>
    <w:rsid w:val="00DB6D88"/>
    <w:rsid w:val="00DB775B"/>
    <w:rsid w:val="00DB784D"/>
    <w:rsid w:val="00DC16F5"/>
    <w:rsid w:val="00DC18C6"/>
    <w:rsid w:val="00DC2273"/>
    <w:rsid w:val="00DC2426"/>
    <w:rsid w:val="00DC2622"/>
    <w:rsid w:val="00DC3536"/>
    <w:rsid w:val="00DC391B"/>
    <w:rsid w:val="00DC4978"/>
    <w:rsid w:val="00DC5798"/>
    <w:rsid w:val="00DC5E00"/>
    <w:rsid w:val="00DC7346"/>
    <w:rsid w:val="00DC7A4A"/>
    <w:rsid w:val="00DC7C92"/>
    <w:rsid w:val="00DC7DC1"/>
    <w:rsid w:val="00DD048F"/>
    <w:rsid w:val="00DD1669"/>
    <w:rsid w:val="00DD1C6D"/>
    <w:rsid w:val="00DD1E59"/>
    <w:rsid w:val="00DD2556"/>
    <w:rsid w:val="00DD2661"/>
    <w:rsid w:val="00DD4389"/>
    <w:rsid w:val="00DD5231"/>
    <w:rsid w:val="00DD5575"/>
    <w:rsid w:val="00DD6554"/>
    <w:rsid w:val="00DD7E6F"/>
    <w:rsid w:val="00DE0AB0"/>
    <w:rsid w:val="00DE1551"/>
    <w:rsid w:val="00DE1589"/>
    <w:rsid w:val="00DE1DD0"/>
    <w:rsid w:val="00DE2787"/>
    <w:rsid w:val="00DE3213"/>
    <w:rsid w:val="00DE3B98"/>
    <w:rsid w:val="00DE47BA"/>
    <w:rsid w:val="00DE4B7E"/>
    <w:rsid w:val="00DE5371"/>
    <w:rsid w:val="00DE5537"/>
    <w:rsid w:val="00DE57AA"/>
    <w:rsid w:val="00DE6BF6"/>
    <w:rsid w:val="00DE76D2"/>
    <w:rsid w:val="00DE7E13"/>
    <w:rsid w:val="00DE7F36"/>
    <w:rsid w:val="00DF0046"/>
    <w:rsid w:val="00DF0721"/>
    <w:rsid w:val="00DF0CE5"/>
    <w:rsid w:val="00DF173F"/>
    <w:rsid w:val="00DF1AB8"/>
    <w:rsid w:val="00DF1C86"/>
    <w:rsid w:val="00DF2D58"/>
    <w:rsid w:val="00DF4A18"/>
    <w:rsid w:val="00DF4C1F"/>
    <w:rsid w:val="00DF6135"/>
    <w:rsid w:val="00DF6447"/>
    <w:rsid w:val="00DF6AC1"/>
    <w:rsid w:val="00DF6B85"/>
    <w:rsid w:val="00DF6F2E"/>
    <w:rsid w:val="00DF718B"/>
    <w:rsid w:val="00DF7831"/>
    <w:rsid w:val="00E015BB"/>
    <w:rsid w:val="00E01FFD"/>
    <w:rsid w:val="00E020C1"/>
    <w:rsid w:val="00E02572"/>
    <w:rsid w:val="00E02C6F"/>
    <w:rsid w:val="00E02F3C"/>
    <w:rsid w:val="00E03293"/>
    <w:rsid w:val="00E039AA"/>
    <w:rsid w:val="00E03FF0"/>
    <w:rsid w:val="00E049DF"/>
    <w:rsid w:val="00E04FB8"/>
    <w:rsid w:val="00E054CE"/>
    <w:rsid w:val="00E05824"/>
    <w:rsid w:val="00E05DE2"/>
    <w:rsid w:val="00E0632A"/>
    <w:rsid w:val="00E0784D"/>
    <w:rsid w:val="00E105F4"/>
    <w:rsid w:val="00E10AD8"/>
    <w:rsid w:val="00E10E82"/>
    <w:rsid w:val="00E112BC"/>
    <w:rsid w:val="00E11649"/>
    <w:rsid w:val="00E1445D"/>
    <w:rsid w:val="00E1474E"/>
    <w:rsid w:val="00E154F1"/>
    <w:rsid w:val="00E157C8"/>
    <w:rsid w:val="00E163ED"/>
    <w:rsid w:val="00E16D1A"/>
    <w:rsid w:val="00E16FCC"/>
    <w:rsid w:val="00E1710E"/>
    <w:rsid w:val="00E209CB"/>
    <w:rsid w:val="00E220E6"/>
    <w:rsid w:val="00E2285A"/>
    <w:rsid w:val="00E22AFA"/>
    <w:rsid w:val="00E23301"/>
    <w:rsid w:val="00E23B1E"/>
    <w:rsid w:val="00E23BC9"/>
    <w:rsid w:val="00E24383"/>
    <w:rsid w:val="00E25A28"/>
    <w:rsid w:val="00E25B94"/>
    <w:rsid w:val="00E25D38"/>
    <w:rsid w:val="00E26D67"/>
    <w:rsid w:val="00E26F61"/>
    <w:rsid w:val="00E27B2A"/>
    <w:rsid w:val="00E27EB7"/>
    <w:rsid w:val="00E30409"/>
    <w:rsid w:val="00E3095A"/>
    <w:rsid w:val="00E30A04"/>
    <w:rsid w:val="00E30FBF"/>
    <w:rsid w:val="00E31641"/>
    <w:rsid w:val="00E319A1"/>
    <w:rsid w:val="00E33BDB"/>
    <w:rsid w:val="00E348AC"/>
    <w:rsid w:val="00E351F8"/>
    <w:rsid w:val="00E35CEC"/>
    <w:rsid w:val="00E36883"/>
    <w:rsid w:val="00E37CFA"/>
    <w:rsid w:val="00E37EAE"/>
    <w:rsid w:val="00E37F68"/>
    <w:rsid w:val="00E41133"/>
    <w:rsid w:val="00E418B2"/>
    <w:rsid w:val="00E4241B"/>
    <w:rsid w:val="00E42432"/>
    <w:rsid w:val="00E43067"/>
    <w:rsid w:val="00E4391F"/>
    <w:rsid w:val="00E447F6"/>
    <w:rsid w:val="00E453D9"/>
    <w:rsid w:val="00E459CF"/>
    <w:rsid w:val="00E471EA"/>
    <w:rsid w:val="00E47395"/>
    <w:rsid w:val="00E509B7"/>
    <w:rsid w:val="00E50A6D"/>
    <w:rsid w:val="00E532F2"/>
    <w:rsid w:val="00E534AF"/>
    <w:rsid w:val="00E53A99"/>
    <w:rsid w:val="00E53D13"/>
    <w:rsid w:val="00E53E7E"/>
    <w:rsid w:val="00E53FC3"/>
    <w:rsid w:val="00E54E48"/>
    <w:rsid w:val="00E61336"/>
    <w:rsid w:val="00E61FEF"/>
    <w:rsid w:val="00E623DE"/>
    <w:rsid w:val="00E62746"/>
    <w:rsid w:val="00E62DF2"/>
    <w:rsid w:val="00E637DB"/>
    <w:rsid w:val="00E64416"/>
    <w:rsid w:val="00E64ED5"/>
    <w:rsid w:val="00E64EF0"/>
    <w:rsid w:val="00E6559D"/>
    <w:rsid w:val="00E67EA1"/>
    <w:rsid w:val="00E70435"/>
    <w:rsid w:val="00E70C37"/>
    <w:rsid w:val="00E7154B"/>
    <w:rsid w:val="00E72104"/>
    <w:rsid w:val="00E74599"/>
    <w:rsid w:val="00E745D3"/>
    <w:rsid w:val="00E7479D"/>
    <w:rsid w:val="00E762AF"/>
    <w:rsid w:val="00E76E60"/>
    <w:rsid w:val="00E807D7"/>
    <w:rsid w:val="00E80985"/>
    <w:rsid w:val="00E80E5D"/>
    <w:rsid w:val="00E82FC3"/>
    <w:rsid w:val="00E8413E"/>
    <w:rsid w:val="00E84892"/>
    <w:rsid w:val="00E84DC9"/>
    <w:rsid w:val="00E8506C"/>
    <w:rsid w:val="00E86EA9"/>
    <w:rsid w:val="00E9024A"/>
    <w:rsid w:val="00E90EC1"/>
    <w:rsid w:val="00E91203"/>
    <w:rsid w:val="00E918B6"/>
    <w:rsid w:val="00E91E5C"/>
    <w:rsid w:val="00E929C4"/>
    <w:rsid w:val="00E92CBA"/>
    <w:rsid w:val="00E932FE"/>
    <w:rsid w:val="00E94FEC"/>
    <w:rsid w:val="00E9585B"/>
    <w:rsid w:val="00E9620B"/>
    <w:rsid w:val="00E9730C"/>
    <w:rsid w:val="00E97810"/>
    <w:rsid w:val="00E97B93"/>
    <w:rsid w:val="00E97D57"/>
    <w:rsid w:val="00EA1DD6"/>
    <w:rsid w:val="00EA21D2"/>
    <w:rsid w:val="00EA22A8"/>
    <w:rsid w:val="00EA2A00"/>
    <w:rsid w:val="00EA3085"/>
    <w:rsid w:val="00EA32C2"/>
    <w:rsid w:val="00EA3F9B"/>
    <w:rsid w:val="00EA4E3C"/>
    <w:rsid w:val="00EA5591"/>
    <w:rsid w:val="00EA696B"/>
    <w:rsid w:val="00EA699D"/>
    <w:rsid w:val="00EA750E"/>
    <w:rsid w:val="00EA7B4C"/>
    <w:rsid w:val="00EB1999"/>
    <w:rsid w:val="00EB381A"/>
    <w:rsid w:val="00EB4143"/>
    <w:rsid w:val="00EB473D"/>
    <w:rsid w:val="00EB553A"/>
    <w:rsid w:val="00EB5E03"/>
    <w:rsid w:val="00EB67B6"/>
    <w:rsid w:val="00EB735C"/>
    <w:rsid w:val="00EC1063"/>
    <w:rsid w:val="00EC1210"/>
    <w:rsid w:val="00EC252F"/>
    <w:rsid w:val="00EC3347"/>
    <w:rsid w:val="00EC37E1"/>
    <w:rsid w:val="00EC4D64"/>
    <w:rsid w:val="00EC5539"/>
    <w:rsid w:val="00EC5697"/>
    <w:rsid w:val="00EC5E9A"/>
    <w:rsid w:val="00EC70B3"/>
    <w:rsid w:val="00EC7A8D"/>
    <w:rsid w:val="00ED0083"/>
    <w:rsid w:val="00ED0B77"/>
    <w:rsid w:val="00ED1277"/>
    <w:rsid w:val="00ED165D"/>
    <w:rsid w:val="00ED3174"/>
    <w:rsid w:val="00ED3F96"/>
    <w:rsid w:val="00ED4896"/>
    <w:rsid w:val="00ED50C6"/>
    <w:rsid w:val="00ED5F07"/>
    <w:rsid w:val="00ED6D93"/>
    <w:rsid w:val="00ED711C"/>
    <w:rsid w:val="00ED7465"/>
    <w:rsid w:val="00EE01CB"/>
    <w:rsid w:val="00EE0358"/>
    <w:rsid w:val="00EE0F97"/>
    <w:rsid w:val="00EE1B4C"/>
    <w:rsid w:val="00EE1F5A"/>
    <w:rsid w:val="00EE25F4"/>
    <w:rsid w:val="00EE3082"/>
    <w:rsid w:val="00EE42E1"/>
    <w:rsid w:val="00EE4947"/>
    <w:rsid w:val="00EE5159"/>
    <w:rsid w:val="00EE5E69"/>
    <w:rsid w:val="00EE6D7C"/>
    <w:rsid w:val="00EE709F"/>
    <w:rsid w:val="00EE7364"/>
    <w:rsid w:val="00EE742B"/>
    <w:rsid w:val="00EE7933"/>
    <w:rsid w:val="00EE79D2"/>
    <w:rsid w:val="00EF041E"/>
    <w:rsid w:val="00EF12AA"/>
    <w:rsid w:val="00EF2261"/>
    <w:rsid w:val="00EF2292"/>
    <w:rsid w:val="00EF372B"/>
    <w:rsid w:val="00EF4C43"/>
    <w:rsid w:val="00EF4D8F"/>
    <w:rsid w:val="00EF59CF"/>
    <w:rsid w:val="00EF650C"/>
    <w:rsid w:val="00EF6617"/>
    <w:rsid w:val="00EF6DC9"/>
    <w:rsid w:val="00EF705D"/>
    <w:rsid w:val="00EF7152"/>
    <w:rsid w:val="00EF7636"/>
    <w:rsid w:val="00F011B7"/>
    <w:rsid w:val="00F01DA3"/>
    <w:rsid w:val="00F026D6"/>
    <w:rsid w:val="00F03D18"/>
    <w:rsid w:val="00F03F5F"/>
    <w:rsid w:val="00F04A8E"/>
    <w:rsid w:val="00F04BE3"/>
    <w:rsid w:val="00F04F9F"/>
    <w:rsid w:val="00F050BA"/>
    <w:rsid w:val="00F051DC"/>
    <w:rsid w:val="00F05EFD"/>
    <w:rsid w:val="00F05FAA"/>
    <w:rsid w:val="00F06A1E"/>
    <w:rsid w:val="00F07354"/>
    <w:rsid w:val="00F07AD2"/>
    <w:rsid w:val="00F07C62"/>
    <w:rsid w:val="00F07FFC"/>
    <w:rsid w:val="00F109D9"/>
    <w:rsid w:val="00F115F0"/>
    <w:rsid w:val="00F1177D"/>
    <w:rsid w:val="00F118BA"/>
    <w:rsid w:val="00F12A7B"/>
    <w:rsid w:val="00F1485C"/>
    <w:rsid w:val="00F148BF"/>
    <w:rsid w:val="00F15D8D"/>
    <w:rsid w:val="00F1734C"/>
    <w:rsid w:val="00F205AC"/>
    <w:rsid w:val="00F20B93"/>
    <w:rsid w:val="00F215A3"/>
    <w:rsid w:val="00F216A2"/>
    <w:rsid w:val="00F21ECE"/>
    <w:rsid w:val="00F224F2"/>
    <w:rsid w:val="00F229BA"/>
    <w:rsid w:val="00F23DB0"/>
    <w:rsid w:val="00F2667C"/>
    <w:rsid w:val="00F26A4C"/>
    <w:rsid w:val="00F26AE2"/>
    <w:rsid w:val="00F27CB7"/>
    <w:rsid w:val="00F27FDE"/>
    <w:rsid w:val="00F3092D"/>
    <w:rsid w:val="00F33762"/>
    <w:rsid w:val="00F34335"/>
    <w:rsid w:val="00F3465C"/>
    <w:rsid w:val="00F356A6"/>
    <w:rsid w:val="00F35A8C"/>
    <w:rsid w:val="00F377E7"/>
    <w:rsid w:val="00F421C0"/>
    <w:rsid w:val="00F42827"/>
    <w:rsid w:val="00F43671"/>
    <w:rsid w:val="00F4431E"/>
    <w:rsid w:val="00F44B35"/>
    <w:rsid w:val="00F44C37"/>
    <w:rsid w:val="00F457FF"/>
    <w:rsid w:val="00F45A24"/>
    <w:rsid w:val="00F45E21"/>
    <w:rsid w:val="00F45E69"/>
    <w:rsid w:val="00F466E3"/>
    <w:rsid w:val="00F5053F"/>
    <w:rsid w:val="00F50554"/>
    <w:rsid w:val="00F50FE5"/>
    <w:rsid w:val="00F51258"/>
    <w:rsid w:val="00F51787"/>
    <w:rsid w:val="00F52D47"/>
    <w:rsid w:val="00F535AC"/>
    <w:rsid w:val="00F53C21"/>
    <w:rsid w:val="00F55A1F"/>
    <w:rsid w:val="00F57D54"/>
    <w:rsid w:val="00F612BA"/>
    <w:rsid w:val="00F6179D"/>
    <w:rsid w:val="00F62ACC"/>
    <w:rsid w:val="00F636AF"/>
    <w:rsid w:val="00F642D2"/>
    <w:rsid w:val="00F64758"/>
    <w:rsid w:val="00F64A1F"/>
    <w:rsid w:val="00F650F4"/>
    <w:rsid w:val="00F65698"/>
    <w:rsid w:val="00F6606C"/>
    <w:rsid w:val="00F675DD"/>
    <w:rsid w:val="00F67F30"/>
    <w:rsid w:val="00F713E8"/>
    <w:rsid w:val="00F71489"/>
    <w:rsid w:val="00F7173A"/>
    <w:rsid w:val="00F71899"/>
    <w:rsid w:val="00F71EBD"/>
    <w:rsid w:val="00F72ECB"/>
    <w:rsid w:val="00F74EF3"/>
    <w:rsid w:val="00F74F10"/>
    <w:rsid w:val="00F75B4F"/>
    <w:rsid w:val="00F77E47"/>
    <w:rsid w:val="00F802EF"/>
    <w:rsid w:val="00F80500"/>
    <w:rsid w:val="00F80822"/>
    <w:rsid w:val="00F80FA1"/>
    <w:rsid w:val="00F811EC"/>
    <w:rsid w:val="00F81336"/>
    <w:rsid w:val="00F815FD"/>
    <w:rsid w:val="00F8268A"/>
    <w:rsid w:val="00F82EE1"/>
    <w:rsid w:val="00F837DD"/>
    <w:rsid w:val="00F84139"/>
    <w:rsid w:val="00F85533"/>
    <w:rsid w:val="00F85925"/>
    <w:rsid w:val="00F85A17"/>
    <w:rsid w:val="00F8626A"/>
    <w:rsid w:val="00F86B86"/>
    <w:rsid w:val="00F87EAC"/>
    <w:rsid w:val="00F91671"/>
    <w:rsid w:val="00F92824"/>
    <w:rsid w:val="00F92A05"/>
    <w:rsid w:val="00F92D7E"/>
    <w:rsid w:val="00F93AF8"/>
    <w:rsid w:val="00F93C45"/>
    <w:rsid w:val="00F93CCD"/>
    <w:rsid w:val="00F940BA"/>
    <w:rsid w:val="00F94974"/>
    <w:rsid w:val="00F94DB6"/>
    <w:rsid w:val="00F9548A"/>
    <w:rsid w:val="00F954AF"/>
    <w:rsid w:val="00F958B8"/>
    <w:rsid w:val="00F9612D"/>
    <w:rsid w:val="00F96725"/>
    <w:rsid w:val="00F96CE3"/>
    <w:rsid w:val="00FA004E"/>
    <w:rsid w:val="00FA076C"/>
    <w:rsid w:val="00FA13F0"/>
    <w:rsid w:val="00FA1724"/>
    <w:rsid w:val="00FA2801"/>
    <w:rsid w:val="00FA2CE0"/>
    <w:rsid w:val="00FA3DF8"/>
    <w:rsid w:val="00FA48A5"/>
    <w:rsid w:val="00FA4943"/>
    <w:rsid w:val="00FA49BF"/>
    <w:rsid w:val="00FA4B0B"/>
    <w:rsid w:val="00FA553A"/>
    <w:rsid w:val="00FA5C2E"/>
    <w:rsid w:val="00FA6045"/>
    <w:rsid w:val="00FB0E7C"/>
    <w:rsid w:val="00FB14C2"/>
    <w:rsid w:val="00FB20F9"/>
    <w:rsid w:val="00FB2C84"/>
    <w:rsid w:val="00FB3312"/>
    <w:rsid w:val="00FB346C"/>
    <w:rsid w:val="00FB5B5D"/>
    <w:rsid w:val="00FB6081"/>
    <w:rsid w:val="00FC0D8C"/>
    <w:rsid w:val="00FC1503"/>
    <w:rsid w:val="00FC17DD"/>
    <w:rsid w:val="00FC1CEA"/>
    <w:rsid w:val="00FC22B9"/>
    <w:rsid w:val="00FC248B"/>
    <w:rsid w:val="00FC3321"/>
    <w:rsid w:val="00FC44FB"/>
    <w:rsid w:val="00FC58C1"/>
    <w:rsid w:val="00FC606F"/>
    <w:rsid w:val="00FC65D2"/>
    <w:rsid w:val="00FC7070"/>
    <w:rsid w:val="00FC7606"/>
    <w:rsid w:val="00FD0C36"/>
    <w:rsid w:val="00FD1880"/>
    <w:rsid w:val="00FD2314"/>
    <w:rsid w:val="00FD2D57"/>
    <w:rsid w:val="00FD39B6"/>
    <w:rsid w:val="00FD3A25"/>
    <w:rsid w:val="00FD40A5"/>
    <w:rsid w:val="00FD4202"/>
    <w:rsid w:val="00FD4658"/>
    <w:rsid w:val="00FD58C5"/>
    <w:rsid w:val="00FD5953"/>
    <w:rsid w:val="00FD7931"/>
    <w:rsid w:val="00FE0D6D"/>
    <w:rsid w:val="00FE1051"/>
    <w:rsid w:val="00FE1BCE"/>
    <w:rsid w:val="00FE3A69"/>
    <w:rsid w:val="00FE3D63"/>
    <w:rsid w:val="00FE5B07"/>
    <w:rsid w:val="00FE5B17"/>
    <w:rsid w:val="00FE6BA7"/>
    <w:rsid w:val="00FE6EDA"/>
    <w:rsid w:val="00FE71EA"/>
    <w:rsid w:val="00FF13AB"/>
    <w:rsid w:val="00FF1E83"/>
    <w:rsid w:val="00FF2540"/>
    <w:rsid w:val="00FF2EB6"/>
    <w:rsid w:val="00FF4A9A"/>
    <w:rsid w:val="00FF5195"/>
    <w:rsid w:val="00FF5B26"/>
    <w:rsid w:val="00FF5CA5"/>
    <w:rsid w:val="00FF689A"/>
    <w:rsid w:val="00FF75B2"/>
    <w:rsid w:val="00FF7A44"/>
    <w:rsid w:val="010F7211"/>
    <w:rsid w:val="01303AC5"/>
    <w:rsid w:val="01396E1E"/>
    <w:rsid w:val="015A3746"/>
    <w:rsid w:val="01F40F97"/>
    <w:rsid w:val="023D0A26"/>
    <w:rsid w:val="026C45AA"/>
    <w:rsid w:val="02723AB8"/>
    <w:rsid w:val="0290306F"/>
    <w:rsid w:val="02E74E49"/>
    <w:rsid w:val="03060EF5"/>
    <w:rsid w:val="045B6255"/>
    <w:rsid w:val="048A77DC"/>
    <w:rsid w:val="048C58BA"/>
    <w:rsid w:val="049A1A1A"/>
    <w:rsid w:val="053F30CD"/>
    <w:rsid w:val="054A6CEC"/>
    <w:rsid w:val="054F70A6"/>
    <w:rsid w:val="06224324"/>
    <w:rsid w:val="0754511F"/>
    <w:rsid w:val="076757F6"/>
    <w:rsid w:val="084D08F3"/>
    <w:rsid w:val="0ADE62A2"/>
    <w:rsid w:val="0AEC75B0"/>
    <w:rsid w:val="0B8C227D"/>
    <w:rsid w:val="0C2B7B66"/>
    <w:rsid w:val="0C4E7861"/>
    <w:rsid w:val="0C6D5F02"/>
    <w:rsid w:val="0C7418A6"/>
    <w:rsid w:val="0CC50D99"/>
    <w:rsid w:val="0D1219EE"/>
    <w:rsid w:val="0D2A5C7F"/>
    <w:rsid w:val="0D845063"/>
    <w:rsid w:val="0D9215CB"/>
    <w:rsid w:val="0DDD12F5"/>
    <w:rsid w:val="0E173441"/>
    <w:rsid w:val="0E1B5D83"/>
    <w:rsid w:val="0E4D10FE"/>
    <w:rsid w:val="0E6B26B6"/>
    <w:rsid w:val="0EAD3E11"/>
    <w:rsid w:val="0EF02863"/>
    <w:rsid w:val="0EF22E88"/>
    <w:rsid w:val="0F304EC9"/>
    <w:rsid w:val="103E1371"/>
    <w:rsid w:val="10616C85"/>
    <w:rsid w:val="110F0353"/>
    <w:rsid w:val="11111393"/>
    <w:rsid w:val="11183C38"/>
    <w:rsid w:val="1123578B"/>
    <w:rsid w:val="115D5DB5"/>
    <w:rsid w:val="11D1035D"/>
    <w:rsid w:val="11F74937"/>
    <w:rsid w:val="12463C5F"/>
    <w:rsid w:val="12E4398E"/>
    <w:rsid w:val="12F11482"/>
    <w:rsid w:val="13181B4A"/>
    <w:rsid w:val="138D59BC"/>
    <w:rsid w:val="13BE7FF4"/>
    <w:rsid w:val="144F76D9"/>
    <w:rsid w:val="14517563"/>
    <w:rsid w:val="1509029B"/>
    <w:rsid w:val="15BB5243"/>
    <w:rsid w:val="15C46659"/>
    <w:rsid w:val="16250370"/>
    <w:rsid w:val="18100683"/>
    <w:rsid w:val="182C0210"/>
    <w:rsid w:val="18563817"/>
    <w:rsid w:val="187872F6"/>
    <w:rsid w:val="18B84E23"/>
    <w:rsid w:val="190D38A8"/>
    <w:rsid w:val="1A5A6A7B"/>
    <w:rsid w:val="1AC00227"/>
    <w:rsid w:val="1ADF2898"/>
    <w:rsid w:val="1B1B00B0"/>
    <w:rsid w:val="1B294A0C"/>
    <w:rsid w:val="1B914AB3"/>
    <w:rsid w:val="1BCA308F"/>
    <w:rsid w:val="1BD00522"/>
    <w:rsid w:val="1C6D34E4"/>
    <w:rsid w:val="1CF7429E"/>
    <w:rsid w:val="1CFC5E9D"/>
    <w:rsid w:val="1D3A4B0E"/>
    <w:rsid w:val="1E553B1B"/>
    <w:rsid w:val="1EF17CD8"/>
    <w:rsid w:val="1F0813F5"/>
    <w:rsid w:val="1FC23D03"/>
    <w:rsid w:val="1FE3455A"/>
    <w:rsid w:val="211C4EF1"/>
    <w:rsid w:val="214761F1"/>
    <w:rsid w:val="225E33A3"/>
    <w:rsid w:val="226913AF"/>
    <w:rsid w:val="22842AED"/>
    <w:rsid w:val="23417960"/>
    <w:rsid w:val="247B060F"/>
    <w:rsid w:val="267F1785"/>
    <w:rsid w:val="272C5650"/>
    <w:rsid w:val="27B56B9E"/>
    <w:rsid w:val="27CC7A03"/>
    <w:rsid w:val="28771E56"/>
    <w:rsid w:val="28DB4334"/>
    <w:rsid w:val="29653655"/>
    <w:rsid w:val="296B2486"/>
    <w:rsid w:val="29BA13BF"/>
    <w:rsid w:val="29DE6B72"/>
    <w:rsid w:val="2A321881"/>
    <w:rsid w:val="2A663976"/>
    <w:rsid w:val="2A67345D"/>
    <w:rsid w:val="2B0C4D49"/>
    <w:rsid w:val="2B3212F5"/>
    <w:rsid w:val="2C597E20"/>
    <w:rsid w:val="2CB05277"/>
    <w:rsid w:val="2CB11955"/>
    <w:rsid w:val="2DC26D36"/>
    <w:rsid w:val="2DC330A0"/>
    <w:rsid w:val="2DE30D90"/>
    <w:rsid w:val="2E632CBF"/>
    <w:rsid w:val="2EA51249"/>
    <w:rsid w:val="2F1E2BCF"/>
    <w:rsid w:val="2F28164B"/>
    <w:rsid w:val="2F310336"/>
    <w:rsid w:val="2F535790"/>
    <w:rsid w:val="2F8C4878"/>
    <w:rsid w:val="2F9A436A"/>
    <w:rsid w:val="2F9D11A6"/>
    <w:rsid w:val="30FF1002"/>
    <w:rsid w:val="314F4FEE"/>
    <w:rsid w:val="31553722"/>
    <w:rsid w:val="31AE1E59"/>
    <w:rsid w:val="322D16D8"/>
    <w:rsid w:val="329149CE"/>
    <w:rsid w:val="33B466E1"/>
    <w:rsid w:val="34317C19"/>
    <w:rsid w:val="34404A8B"/>
    <w:rsid w:val="34414BCD"/>
    <w:rsid w:val="34DF3675"/>
    <w:rsid w:val="34EC3828"/>
    <w:rsid w:val="353B0CCF"/>
    <w:rsid w:val="360D0A10"/>
    <w:rsid w:val="36A66E75"/>
    <w:rsid w:val="376033F0"/>
    <w:rsid w:val="37DB6BEB"/>
    <w:rsid w:val="383D287D"/>
    <w:rsid w:val="38B74A16"/>
    <w:rsid w:val="38CA37E7"/>
    <w:rsid w:val="39ED3271"/>
    <w:rsid w:val="39F62651"/>
    <w:rsid w:val="3A9F565D"/>
    <w:rsid w:val="3B2C19D0"/>
    <w:rsid w:val="3B4133B5"/>
    <w:rsid w:val="3B4342DC"/>
    <w:rsid w:val="3C514520"/>
    <w:rsid w:val="3C5B1ED2"/>
    <w:rsid w:val="3C5C0DD2"/>
    <w:rsid w:val="3CD14ED5"/>
    <w:rsid w:val="3CE42A3E"/>
    <w:rsid w:val="3D213EA3"/>
    <w:rsid w:val="3DE767AD"/>
    <w:rsid w:val="3E06382B"/>
    <w:rsid w:val="3E5576BE"/>
    <w:rsid w:val="3EA25E9C"/>
    <w:rsid w:val="3F870E1D"/>
    <w:rsid w:val="3F9765A1"/>
    <w:rsid w:val="3FE91D80"/>
    <w:rsid w:val="406945F4"/>
    <w:rsid w:val="40EC6E69"/>
    <w:rsid w:val="41BB600D"/>
    <w:rsid w:val="41CE722B"/>
    <w:rsid w:val="421E684C"/>
    <w:rsid w:val="429553BF"/>
    <w:rsid w:val="42DB3243"/>
    <w:rsid w:val="43DB68CC"/>
    <w:rsid w:val="44565141"/>
    <w:rsid w:val="448B56A1"/>
    <w:rsid w:val="44C24D1B"/>
    <w:rsid w:val="44D332AF"/>
    <w:rsid w:val="45CD4CD3"/>
    <w:rsid w:val="461A4919"/>
    <w:rsid w:val="46334527"/>
    <w:rsid w:val="463646CC"/>
    <w:rsid w:val="46DD3808"/>
    <w:rsid w:val="4709147B"/>
    <w:rsid w:val="47690A78"/>
    <w:rsid w:val="485915D9"/>
    <w:rsid w:val="48DC5A6F"/>
    <w:rsid w:val="4930632D"/>
    <w:rsid w:val="49635FA8"/>
    <w:rsid w:val="49883905"/>
    <w:rsid w:val="49B72488"/>
    <w:rsid w:val="49E361D6"/>
    <w:rsid w:val="4A0D64B8"/>
    <w:rsid w:val="4ABD0770"/>
    <w:rsid w:val="4B27171C"/>
    <w:rsid w:val="4B934163"/>
    <w:rsid w:val="4C0A7DF3"/>
    <w:rsid w:val="4C562C5F"/>
    <w:rsid w:val="4C7C2BB5"/>
    <w:rsid w:val="4C983ADC"/>
    <w:rsid w:val="4CBB7459"/>
    <w:rsid w:val="4D6C26ED"/>
    <w:rsid w:val="4DCE426E"/>
    <w:rsid w:val="4DF8265D"/>
    <w:rsid w:val="4E054AD6"/>
    <w:rsid w:val="4E496324"/>
    <w:rsid w:val="4E7C7A4F"/>
    <w:rsid w:val="4EE905C1"/>
    <w:rsid w:val="500B415A"/>
    <w:rsid w:val="501E2913"/>
    <w:rsid w:val="50986E02"/>
    <w:rsid w:val="51B31E62"/>
    <w:rsid w:val="51E44568"/>
    <w:rsid w:val="51E86BC8"/>
    <w:rsid w:val="52237906"/>
    <w:rsid w:val="528C3A7D"/>
    <w:rsid w:val="52ED74EB"/>
    <w:rsid w:val="534C7F4D"/>
    <w:rsid w:val="53872369"/>
    <w:rsid w:val="53D3705A"/>
    <w:rsid w:val="53F5679C"/>
    <w:rsid w:val="54513AF0"/>
    <w:rsid w:val="54CF4F30"/>
    <w:rsid w:val="5558753B"/>
    <w:rsid w:val="55FF666E"/>
    <w:rsid w:val="56812BA5"/>
    <w:rsid w:val="57081B3C"/>
    <w:rsid w:val="57FB4994"/>
    <w:rsid w:val="58473738"/>
    <w:rsid w:val="5856634B"/>
    <w:rsid w:val="58666620"/>
    <w:rsid w:val="586C0657"/>
    <w:rsid w:val="58817B35"/>
    <w:rsid w:val="59262FD9"/>
    <w:rsid w:val="5A17616E"/>
    <w:rsid w:val="5A6D2699"/>
    <w:rsid w:val="5A7D66F4"/>
    <w:rsid w:val="5AED57BB"/>
    <w:rsid w:val="5B3A7598"/>
    <w:rsid w:val="5B6E760C"/>
    <w:rsid w:val="5BE02DF6"/>
    <w:rsid w:val="5C082E06"/>
    <w:rsid w:val="5C34451E"/>
    <w:rsid w:val="5CDE4EAE"/>
    <w:rsid w:val="5D2231DC"/>
    <w:rsid w:val="5D3A2DD3"/>
    <w:rsid w:val="5DC9546E"/>
    <w:rsid w:val="5E3612F2"/>
    <w:rsid w:val="5E3C5113"/>
    <w:rsid w:val="5E5A2482"/>
    <w:rsid w:val="5E8A27E8"/>
    <w:rsid w:val="60815CBE"/>
    <w:rsid w:val="60B565E6"/>
    <w:rsid w:val="60E20C1B"/>
    <w:rsid w:val="61484893"/>
    <w:rsid w:val="616D7908"/>
    <w:rsid w:val="61BD5017"/>
    <w:rsid w:val="62B87AE5"/>
    <w:rsid w:val="62D97943"/>
    <w:rsid w:val="63D72AB7"/>
    <w:rsid w:val="64CC3C87"/>
    <w:rsid w:val="64EF7872"/>
    <w:rsid w:val="65E72405"/>
    <w:rsid w:val="661E149E"/>
    <w:rsid w:val="66837FF3"/>
    <w:rsid w:val="674555D6"/>
    <w:rsid w:val="677B58DE"/>
    <w:rsid w:val="67BE3582"/>
    <w:rsid w:val="6A146F17"/>
    <w:rsid w:val="6A7347B5"/>
    <w:rsid w:val="6C254101"/>
    <w:rsid w:val="6C4E7A00"/>
    <w:rsid w:val="6C7C4027"/>
    <w:rsid w:val="6C907FD5"/>
    <w:rsid w:val="6CC47C1C"/>
    <w:rsid w:val="6DC879AD"/>
    <w:rsid w:val="6E0B4599"/>
    <w:rsid w:val="6FB05A0B"/>
    <w:rsid w:val="70272676"/>
    <w:rsid w:val="705C541A"/>
    <w:rsid w:val="70AC166A"/>
    <w:rsid w:val="70DA05FF"/>
    <w:rsid w:val="713A2D30"/>
    <w:rsid w:val="71BF5220"/>
    <w:rsid w:val="725F6B92"/>
    <w:rsid w:val="727F24C1"/>
    <w:rsid w:val="72974487"/>
    <w:rsid w:val="729E50EF"/>
    <w:rsid w:val="72FA3A07"/>
    <w:rsid w:val="72FD04D2"/>
    <w:rsid w:val="73252FF8"/>
    <w:rsid w:val="747C20F2"/>
    <w:rsid w:val="747C6C6E"/>
    <w:rsid w:val="74DC63BD"/>
    <w:rsid w:val="75757044"/>
    <w:rsid w:val="76000A10"/>
    <w:rsid w:val="76B00B7A"/>
    <w:rsid w:val="76CF2FA5"/>
    <w:rsid w:val="76D52B43"/>
    <w:rsid w:val="76FD1894"/>
    <w:rsid w:val="77173C76"/>
    <w:rsid w:val="77212342"/>
    <w:rsid w:val="775A093C"/>
    <w:rsid w:val="78132D87"/>
    <w:rsid w:val="78D0752B"/>
    <w:rsid w:val="79167A3E"/>
    <w:rsid w:val="79862638"/>
    <w:rsid w:val="7A4E7237"/>
    <w:rsid w:val="7A9F73E7"/>
    <w:rsid w:val="7B3B200F"/>
    <w:rsid w:val="7C106E98"/>
    <w:rsid w:val="7C8F65C5"/>
    <w:rsid w:val="7CED256B"/>
    <w:rsid w:val="7D86682F"/>
    <w:rsid w:val="7F4C0ABC"/>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120" w:after="120"/>
      <w:jc w:val="center"/>
      <w:outlineLvl w:val="0"/>
    </w:pPr>
    <w:rPr>
      <w:b/>
      <w:bCs/>
      <w:kern w:val="44"/>
      <w:sz w:val="28"/>
      <w:szCs w:val="44"/>
    </w:rPr>
  </w:style>
  <w:style w:type="paragraph" w:styleId="4">
    <w:name w:val="heading 2"/>
    <w:basedOn w:val="1"/>
    <w:next w:val="1"/>
    <w:link w:val="65"/>
    <w:qFormat/>
    <w:uiPriority w:val="0"/>
    <w:pPr>
      <w:keepNext/>
      <w:keepLines/>
      <w:adjustRightInd w:val="0"/>
      <w:spacing w:before="240" w:line="360" w:lineRule="auto"/>
      <w:jc w:val="center"/>
      <w:textAlignment w:val="baseline"/>
      <w:outlineLvl w:val="1"/>
    </w:pPr>
    <w:rPr>
      <w:rFonts w:ascii="Arial" w:hAnsi="Arial" w:eastAsia="黑体"/>
      <w:b/>
      <w:kern w:val="0"/>
      <w:sz w:val="30"/>
    </w:rPr>
  </w:style>
  <w:style w:type="paragraph" w:styleId="5">
    <w:name w:val="heading 3"/>
    <w:basedOn w:val="1"/>
    <w:next w:val="6"/>
    <w:link w:val="66"/>
    <w:qFormat/>
    <w:uiPriority w:val="0"/>
    <w:pPr>
      <w:keepNext/>
      <w:keepLines/>
      <w:adjustRightInd w:val="0"/>
      <w:spacing w:before="240" w:after="120" w:line="300" w:lineRule="auto"/>
      <w:jc w:val="left"/>
      <w:textAlignment w:val="baseline"/>
      <w:outlineLvl w:val="2"/>
    </w:pPr>
    <w:rPr>
      <w:b/>
      <w:kern w:val="0"/>
    </w:rPr>
  </w:style>
  <w:style w:type="paragraph" w:styleId="7">
    <w:name w:val="heading 4"/>
    <w:basedOn w:val="1"/>
    <w:next w:val="1"/>
    <w:link w:val="67"/>
    <w:qFormat/>
    <w:uiPriority w:val="0"/>
    <w:pPr>
      <w:keepNext/>
      <w:keepLines/>
      <w:spacing w:line="360" w:lineRule="auto"/>
      <w:jc w:val="left"/>
      <w:outlineLvl w:val="3"/>
    </w:pPr>
    <w:rPr>
      <w:rFonts w:ascii="Arial" w:hAnsi="Arial"/>
      <w:b/>
      <w:bCs/>
      <w:sz w:val="24"/>
      <w:szCs w:val="28"/>
    </w:rPr>
  </w:style>
  <w:style w:type="paragraph" w:styleId="8">
    <w:name w:val="heading 5"/>
    <w:basedOn w:val="1"/>
    <w:next w:val="1"/>
    <w:link w:val="69"/>
    <w:qFormat/>
    <w:uiPriority w:val="0"/>
    <w:pPr>
      <w:keepNext/>
      <w:keepLines/>
      <w:spacing w:before="280" w:after="290" w:line="376" w:lineRule="auto"/>
      <w:outlineLvl w:val="4"/>
    </w:pPr>
    <w:rPr>
      <w:b/>
      <w:bCs/>
      <w:sz w:val="28"/>
      <w:szCs w:val="28"/>
    </w:rPr>
  </w:style>
  <w:style w:type="paragraph" w:styleId="9">
    <w:name w:val="heading 6"/>
    <w:basedOn w:val="1"/>
    <w:next w:val="1"/>
    <w:link w:val="70"/>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71"/>
    <w:qFormat/>
    <w:uiPriority w:val="0"/>
    <w:pPr>
      <w:keepNext/>
      <w:keepLines/>
      <w:spacing w:before="240" w:after="64" w:line="320" w:lineRule="auto"/>
      <w:outlineLvl w:val="6"/>
    </w:pPr>
    <w:rPr>
      <w:b/>
      <w:bCs/>
      <w:sz w:val="24"/>
    </w:rPr>
  </w:style>
  <w:style w:type="paragraph" w:styleId="11">
    <w:name w:val="heading 8"/>
    <w:basedOn w:val="1"/>
    <w:next w:val="1"/>
    <w:link w:val="72"/>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73"/>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ascii="Calibri" w:hAnsi="Calibri" w:cs="Calibri"/>
      <w:smallCaps/>
      <w:sz w:val="20"/>
      <w:szCs w:val="20"/>
    </w:rPr>
  </w:style>
  <w:style w:type="paragraph" w:customStyle="1" w:styleId="6">
    <w:name w:val="Normal Indent1"/>
    <w:basedOn w:val="1"/>
    <w:qFormat/>
    <w:uiPriority w:val="0"/>
    <w:pPr>
      <w:ind w:firstLine="420"/>
    </w:pPr>
  </w:style>
  <w:style w:type="paragraph" w:styleId="13">
    <w:name w:val="toc 7"/>
    <w:basedOn w:val="1"/>
    <w:next w:val="1"/>
    <w:unhideWhenUsed/>
    <w:qFormat/>
    <w:uiPriority w:val="39"/>
    <w:pPr>
      <w:ind w:left="1260"/>
      <w:jc w:val="left"/>
    </w:pPr>
    <w:rPr>
      <w:rFonts w:ascii="Calibri" w:hAnsi="Calibri" w:cs="Calibri"/>
      <w:sz w:val="18"/>
      <w:szCs w:val="18"/>
    </w:rPr>
  </w:style>
  <w:style w:type="paragraph" w:styleId="14">
    <w:name w:val="table of authorities"/>
    <w:basedOn w:val="1"/>
    <w:next w:val="1"/>
    <w:unhideWhenUsed/>
    <w:qFormat/>
    <w:uiPriority w:val="99"/>
    <w:pPr>
      <w:ind w:left="420" w:leftChars="200"/>
    </w:pPr>
  </w:style>
  <w:style w:type="paragraph" w:styleId="15">
    <w:name w:val="Document Map"/>
    <w:basedOn w:val="1"/>
    <w:link w:val="74"/>
    <w:qFormat/>
    <w:uiPriority w:val="0"/>
    <w:rPr>
      <w:rFonts w:ascii="宋体"/>
      <w:sz w:val="18"/>
      <w:szCs w:val="18"/>
    </w:rPr>
  </w:style>
  <w:style w:type="paragraph" w:styleId="16">
    <w:name w:val="annotation text"/>
    <w:basedOn w:val="1"/>
    <w:link w:val="75"/>
    <w:semiHidden/>
    <w:qFormat/>
    <w:uiPriority w:val="0"/>
    <w:pPr>
      <w:adjustRightInd w:val="0"/>
      <w:spacing w:line="360" w:lineRule="atLeast"/>
      <w:jc w:val="left"/>
      <w:textAlignment w:val="baseline"/>
    </w:pPr>
    <w:rPr>
      <w:kern w:val="0"/>
      <w:sz w:val="24"/>
    </w:rPr>
  </w:style>
  <w:style w:type="paragraph" w:styleId="17">
    <w:name w:val="Body Text"/>
    <w:basedOn w:val="1"/>
    <w:next w:val="18"/>
    <w:qFormat/>
    <w:uiPriority w:val="0"/>
    <w:rPr>
      <w:sz w:val="28"/>
      <w:szCs w:val="20"/>
    </w:rPr>
  </w:style>
  <w:style w:type="paragraph" w:styleId="18">
    <w:name w:val="toc 9"/>
    <w:basedOn w:val="1"/>
    <w:next w:val="1"/>
    <w:unhideWhenUsed/>
    <w:qFormat/>
    <w:uiPriority w:val="39"/>
    <w:pPr>
      <w:ind w:left="1680"/>
      <w:jc w:val="left"/>
    </w:pPr>
    <w:rPr>
      <w:rFonts w:ascii="Calibri" w:hAnsi="Calibri" w:cs="Calibri"/>
      <w:sz w:val="18"/>
      <w:szCs w:val="18"/>
    </w:rPr>
  </w:style>
  <w:style w:type="paragraph" w:styleId="19">
    <w:name w:val="Body Text Indent"/>
    <w:basedOn w:val="1"/>
    <w:qFormat/>
    <w:uiPriority w:val="0"/>
    <w:pPr>
      <w:spacing w:after="120"/>
      <w:ind w:left="420" w:leftChars="200"/>
    </w:pPr>
  </w:style>
  <w:style w:type="paragraph" w:styleId="20">
    <w:name w:val="List Continue"/>
    <w:basedOn w:val="1"/>
    <w:qFormat/>
    <w:uiPriority w:val="0"/>
    <w:pPr>
      <w:autoSpaceDE w:val="0"/>
      <w:autoSpaceDN w:val="0"/>
      <w:adjustRightInd w:val="0"/>
      <w:spacing w:after="120" w:line="360" w:lineRule="auto"/>
      <w:ind w:left="420" w:leftChars="200"/>
      <w:jc w:val="left"/>
    </w:pPr>
    <w:rPr>
      <w:rFonts w:ascii="宋体"/>
      <w:kern w:val="0"/>
      <w:sz w:val="24"/>
      <w:szCs w:val="20"/>
    </w:rPr>
  </w:style>
  <w:style w:type="paragraph" w:styleId="21">
    <w:name w:val="Block Text"/>
    <w:basedOn w:val="1"/>
    <w:qFormat/>
    <w:uiPriority w:val="0"/>
    <w:pPr>
      <w:ind w:left="1440" w:leftChars="700" w:right="700" w:rightChars="700"/>
    </w:pPr>
    <w:rPr>
      <w:rFonts w:ascii="Calibri" w:hAnsi="Calibri" w:eastAsia="宋体" w:cs="Times New Roman"/>
    </w:rPr>
  </w:style>
  <w:style w:type="paragraph" w:styleId="22">
    <w:name w:val="toc 5"/>
    <w:basedOn w:val="1"/>
    <w:next w:val="1"/>
    <w:unhideWhenUsed/>
    <w:qFormat/>
    <w:uiPriority w:val="39"/>
    <w:pPr>
      <w:ind w:left="840"/>
      <w:jc w:val="left"/>
    </w:pPr>
    <w:rPr>
      <w:rFonts w:ascii="Calibri" w:hAnsi="Calibri" w:cs="Calibri"/>
      <w:sz w:val="18"/>
      <w:szCs w:val="18"/>
    </w:rPr>
  </w:style>
  <w:style w:type="paragraph" w:styleId="23">
    <w:name w:val="toc 3"/>
    <w:basedOn w:val="1"/>
    <w:next w:val="1"/>
    <w:unhideWhenUsed/>
    <w:qFormat/>
    <w:uiPriority w:val="39"/>
    <w:pPr>
      <w:ind w:left="420"/>
      <w:jc w:val="left"/>
    </w:pPr>
    <w:rPr>
      <w:rFonts w:ascii="Calibri" w:hAnsi="Calibri" w:cs="Calibri"/>
      <w:i/>
      <w:iCs/>
      <w:sz w:val="20"/>
      <w:szCs w:val="20"/>
    </w:rPr>
  </w:style>
  <w:style w:type="paragraph" w:styleId="24">
    <w:name w:val="Plain Text"/>
    <w:basedOn w:val="1"/>
    <w:link w:val="76"/>
    <w:qFormat/>
    <w:uiPriority w:val="0"/>
    <w:rPr>
      <w:rFonts w:ascii="宋体" w:hAnsi="Courier New"/>
    </w:rPr>
  </w:style>
  <w:style w:type="paragraph" w:styleId="25">
    <w:name w:val="toc 8"/>
    <w:basedOn w:val="1"/>
    <w:next w:val="1"/>
    <w:unhideWhenUsed/>
    <w:qFormat/>
    <w:uiPriority w:val="39"/>
    <w:pPr>
      <w:ind w:left="1470"/>
      <w:jc w:val="left"/>
    </w:pPr>
    <w:rPr>
      <w:rFonts w:ascii="Calibri" w:hAnsi="Calibri" w:cs="Calibri"/>
      <w:sz w:val="18"/>
      <w:szCs w:val="18"/>
    </w:rPr>
  </w:style>
  <w:style w:type="paragraph" w:styleId="26">
    <w:name w:val="Date"/>
    <w:basedOn w:val="1"/>
    <w:next w:val="1"/>
    <w:link w:val="77"/>
    <w:qFormat/>
    <w:uiPriority w:val="99"/>
  </w:style>
  <w:style w:type="paragraph" w:styleId="27">
    <w:name w:val="Body Text Indent 2"/>
    <w:basedOn w:val="1"/>
    <w:next w:val="28"/>
    <w:link w:val="78"/>
    <w:qFormat/>
    <w:uiPriority w:val="0"/>
    <w:pPr>
      <w:spacing w:line="460" w:lineRule="exact"/>
      <w:ind w:firstLine="570"/>
    </w:pPr>
    <w:rPr>
      <w:sz w:val="28"/>
      <w:szCs w:val="20"/>
    </w:rPr>
  </w:style>
  <w:style w:type="paragraph" w:styleId="28">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29">
    <w:name w:val="Balloon Text"/>
    <w:basedOn w:val="1"/>
    <w:semiHidden/>
    <w:qFormat/>
    <w:uiPriority w:val="0"/>
    <w:rPr>
      <w:sz w:val="18"/>
      <w:szCs w:val="18"/>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80"/>
    <w:qFormat/>
    <w:uiPriority w:val="99"/>
    <w:pPr>
      <w:widowControl w:val="0"/>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cs="Calibri"/>
      <w:b/>
      <w:bCs/>
      <w:caps/>
      <w:sz w:val="20"/>
      <w:szCs w:val="20"/>
    </w:rPr>
  </w:style>
  <w:style w:type="paragraph" w:styleId="34">
    <w:name w:val="toc 4"/>
    <w:basedOn w:val="1"/>
    <w:next w:val="1"/>
    <w:unhideWhenUsed/>
    <w:qFormat/>
    <w:uiPriority w:val="39"/>
    <w:pPr>
      <w:ind w:left="630"/>
      <w:jc w:val="left"/>
    </w:pPr>
    <w:rPr>
      <w:rFonts w:ascii="Calibri" w:hAnsi="Calibri" w:cs="Calibri"/>
      <w:sz w:val="18"/>
      <w:szCs w:val="18"/>
    </w:rPr>
  </w:style>
  <w:style w:type="paragraph" w:styleId="35">
    <w:name w:val="Subtitle"/>
    <w:basedOn w:val="1"/>
    <w:next w:val="1"/>
    <w:link w:val="81"/>
    <w:qFormat/>
    <w:uiPriority w:val="0"/>
    <w:pPr>
      <w:spacing w:before="120" w:after="120"/>
      <w:jc w:val="center"/>
      <w:outlineLvl w:val="1"/>
    </w:pPr>
    <w:rPr>
      <w:rFonts w:ascii="Cambria" w:hAnsi="Cambria"/>
      <w:b/>
      <w:bCs/>
      <w:kern w:val="28"/>
      <w:sz w:val="24"/>
      <w:szCs w:val="32"/>
    </w:rPr>
  </w:style>
  <w:style w:type="paragraph" w:styleId="36">
    <w:name w:val="toc 6"/>
    <w:basedOn w:val="1"/>
    <w:next w:val="1"/>
    <w:unhideWhenUsed/>
    <w:qFormat/>
    <w:uiPriority w:val="39"/>
    <w:pPr>
      <w:ind w:left="1050"/>
      <w:jc w:val="left"/>
    </w:pPr>
    <w:rPr>
      <w:rFonts w:ascii="Calibri" w:hAnsi="Calibri" w:cs="Calibri"/>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Body Text 2"/>
    <w:basedOn w:val="1"/>
    <w:qFormat/>
    <w:uiPriority w:val="0"/>
    <w:pPr>
      <w:jc w:val="center"/>
    </w:pPr>
    <w:rPr>
      <w:rFonts w:ascii="宋体" w:hAnsi="Arial"/>
      <w:color w:val="000000"/>
      <w:szCs w:val="20"/>
    </w:rPr>
  </w:style>
  <w:style w:type="paragraph" w:styleId="39">
    <w:name w:val="HTML Preformatted"/>
    <w:basedOn w:val="1"/>
    <w:link w:val="82"/>
    <w:qFormat/>
    <w:uiPriority w:val="0"/>
    <w:rPr>
      <w:rFonts w:ascii="Courier New" w:hAnsi="Courier New"/>
      <w:sz w:val="20"/>
      <w:szCs w:val="20"/>
    </w:rPr>
  </w:style>
  <w:style w:type="paragraph" w:styleId="40">
    <w:name w:val="index 1"/>
    <w:basedOn w:val="1"/>
    <w:next w:val="1"/>
    <w:qFormat/>
    <w:uiPriority w:val="0"/>
    <w:pPr>
      <w:spacing w:line="360" w:lineRule="auto"/>
    </w:pPr>
  </w:style>
  <w:style w:type="paragraph" w:styleId="41">
    <w:name w:val="index 2"/>
    <w:basedOn w:val="1"/>
    <w:next w:val="1"/>
    <w:qFormat/>
    <w:uiPriority w:val="0"/>
    <w:pPr>
      <w:spacing w:line="360" w:lineRule="auto"/>
      <w:ind w:left="200" w:leftChars="200"/>
    </w:pPr>
  </w:style>
  <w:style w:type="paragraph" w:styleId="42">
    <w:name w:val="Title"/>
    <w:basedOn w:val="1"/>
    <w:next w:val="1"/>
    <w:link w:val="83"/>
    <w:qFormat/>
    <w:uiPriority w:val="0"/>
    <w:pPr>
      <w:spacing w:before="240" w:after="60"/>
      <w:jc w:val="center"/>
      <w:outlineLvl w:val="0"/>
    </w:pPr>
    <w:rPr>
      <w:rFonts w:ascii="Cambria" w:hAnsi="Cambria"/>
      <w:b/>
      <w:bCs/>
      <w:sz w:val="36"/>
      <w:szCs w:val="32"/>
    </w:rPr>
  </w:style>
  <w:style w:type="paragraph" w:styleId="43">
    <w:name w:val="annotation subject"/>
    <w:basedOn w:val="16"/>
    <w:next w:val="16"/>
    <w:link w:val="84"/>
    <w:qFormat/>
    <w:uiPriority w:val="0"/>
    <w:pPr>
      <w:adjustRightInd/>
      <w:spacing w:line="240" w:lineRule="auto"/>
      <w:textAlignment w:val="auto"/>
    </w:pPr>
    <w:rPr>
      <w:b/>
      <w:bCs/>
      <w:kern w:val="2"/>
      <w:sz w:val="21"/>
    </w:rPr>
  </w:style>
  <w:style w:type="paragraph" w:styleId="44">
    <w:name w:val="Body Text First Indent"/>
    <w:basedOn w:val="17"/>
    <w:qFormat/>
    <w:uiPriority w:val="0"/>
    <w:pPr>
      <w:spacing w:after="0"/>
      <w:ind w:firstLine="200" w:firstLineChars="200"/>
    </w:pPr>
    <w:rPr>
      <w:rFonts w:eastAsia="仿宋_GB2312"/>
      <w:szCs w:val="20"/>
    </w:rPr>
  </w:style>
  <w:style w:type="paragraph" w:styleId="45">
    <w:name w:val="Body Text First Indent 2"/>
    <w:basedOn w:val="19"/>
    <w:qFormat/>
    <w:uiPriority w:val="0"/>
    <w:pPr>
      <w:ind w:left="420"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333333"/>
      <w:u w:val="none"/>
    </w:rPr>
  </w:style>
  <w:style w:type="character" w:styleId="52">
    <w:name w:val="Emphasis"/>
    <w:qFormat/>
    <w:uiPriority w:val="0"/>
    <w:rPr>
      <w:color w:val="666666"/>
      <w:sz w:val="18"/>
      <w:szCs w:val="18"/>
    </w:rPr>
  </w:style>
  <w:style w:type="character" w:styleId="53">
    <w:name w:val="HTML Definition"/>
    <w:qFormat/>
    <w:uiPriority w:val="0"/>
  </w:style>
  <w:style w:type="character" w:styleId="54">
    <w:name w:val="HTML Typewriter"/>
    <w:qFormat/>
    <w:uiPriority w:val="0"/>
    <w:rPr>
      <w:rFonts w:hint="default" w:ascii="monospace" w:hAnsi="monospace" w:eastAsia="monospace" w:cs="monospace"/>
      <w:sz w:val="20"/>
      <w:bdr w:val="single" w:color="BDBEC1" w:sz="6" w:space="0"/>
      <w:shd w:val="clear" w:color="auto" w:fill="F2F4F9"/>
    </w:rPr>
  </w:style>
  <w:style w:type="character" w:styleId="55">
    <w:name w:val="HTML Acronym"/>
    <w:qFormat/>
    <w:uiPriority w:val="0"/>
  </w:style>
  <w:style w:type="character" w:styleId="56">
    <w:name w:val="HTML Variable"/>
    <w:qFormat/>
    <w:uiPriority w:val="0"/>
  </w:style>
  <w:style w:type="character" w:styleId="57">
    <w:name w:val="Hyperlink"/>
    <w:qFormat/>
    <w:uiPriority w:val="99"/>
    <w:rPr>
      <w:color w:val="333333"/>
      <w:u w:val="none"/>
    </w:rPr>
  </w:style>
  <w:style w:type="character" w:styleId="58">
    <w:name w:val="HTML Code"/>
    <w:qFormat/>
    <w:uiPriority w:val="0"/>
    <w:rPr>
      <w:rFonts w:ascii="Courier New" w:hAnsi="Courier New"/>
      <w:sz w:val="20"/>
    </w:rPr>
  </w:style>
  <w:style w:type="character" w:styleId="59">
    <w:name w:val="annotation reference"/>
    <w:qFormat/>
    <w:uiPriority w:val="0"/>
    <w:rPr>
      <w:sz w:val="21"/>
      <w:szCs w:val="21"/>
    </w:rPr>
  </w:style>
  <w:style w:type="character" w:styleId="60">
    <w:name w:val="HTML Cite"/>
    <w:qFormat/>
    <w:uiPriority w:val="0"/>
  </w:style>
  <w:style w:type="character" w:styleId="61">
    <w:name w:val="footnote reference"/>
    <w:semiHidden/>
    <w:qFormat/>
    <w:uiPriority w:val="0"/>
    <w:rPr>
      <w:vertAlign w:val="superscript"/>
    </w:rPr>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hint="default" w:ascii="monospace" w:hAnsi="monospace" w:eastAsia="monospace" w:cs="monospace"/>
    </w:rPr>
  </w:style>
  <w:style w:type="character" w:customStyle="1" w:styleId="64">
    <w:name w:val="标题 1 字符"/>
    <w:link w:val="3"/>
    <w:qFormat/>
    <w:uiPriority w:val="0"/>
    <w:rPr>
      <w:b/>
      <w:bCs/>
      <w:kern w:val="44"/>
      <w:sz w:val="28"/>
      <w:szCs w:val="44"/>
    </w:rPr>
  </w:style>
  <w:style w:type="character" w:customStyle="1" w:styleId="65">
    <w:name w:val="标题 2 字符"/>
    <w:link w:val="4"/>
    <w:qFormat/>
    <w:uiPriority w:val="0"/>
    <w:rPr>
      <w:rFonts w:ascii="Arial" w:hAnsi="Arial" w:eastAsia="黑体"/>
      <w:b/>
      <w:sz w:val="30"/>
      <w:szCs w:val="24"/>
    </w:rPr>
  </w:style>
  <w:style w:type="character" w:customStyle="1" w:styleId="66">
    <w:name w:val="标题 3 字符"/>
    <w:link w:val="5"/>
    <w:qFormat/>
    <w:uiPriority w:val="0"/>
    <w:rPr>
      <w:b/>
      <w:sz w:val="21"/>
      <w:szCs w:val="24"/>
    </w:rPr>
  </w:style>
  <w:style w:type="character" w:customStyle="1" w:styleId="67">
    <w:name w:val="标题 4 字符"/>
    <w:link w:val="7"/>
    <w:qFormat/>
    <w:uiPriority w:val="0"/>
    <w:rPr>
      <w:rFonts w:ascii="Arial" w:hAnsi="Arial" w:eastAsia="黑体"/>
      <w:b/>
      <w:bCs/>
      <w:kern w:val="2"/>
      <w:sz w:val="28"/>
      <w:szCs w:val="28"/>
    </w:rPr>
  </w:style>
  <w:style w:type="character" w:customStyle="1" w:styleId="68">
    <w:name w:val="正文缩进 字符"/>
    <w:qFormat/>
    <w:uiPriority w:val="0"/>
    <w:rPr>
      <w:kern w:val="2"/>
      <w:sz w:val="21"/>
      <w:szCs w:val="24"/>
    </w:rPr>
  </w:style>
  <w:style w:type="character" w:customStyle="1" w:styleId="69">
    <w:name w:val="标题 5 字符"/>
    <w:link w:val="8"/>
    <w:qFormat/>
    <w:uiPriority w:val="0"/>
    <w:rPr>
      <w:b/>
      <w:bCs/>
      <w:kern w:val="2"/>
      <w:sz w:val="28"/>
      <w:szCs w:val="28"/>
    </w:rPr>
  </w:style>
  <w:style w:type="character" w:customStyle="1" w:styleId="70">
    <w:name w:val="标题 6 字符"/>
    <w:link w:val="9"/>
    <w:qFormat/>
    <w:uiPriority w:val="0"/>
    <w:rPr>
      <w:rFonts w:ascii="Arial" w:hAnsi="Arial" w:eastAsia="黑体"/>
      <w:b/>
      <w:bCs/>
      <w:kern w:val="2"/>
      <w:sz w:val="24"/>
      <w:szCs w:val="24"/>
    </w:rPr>
  </w:style>
  <w:style w:type="character" w:customStyle="1" w:styleId="71">
    <w:name w:val="标题 7 字符"/>
    <w:link w:val="10"/>
    <w:qFormat/>
    <w:uiPriority w:val="0"/>
    <w:rPr>
      <w:b/>
      <w:bCs/>
      <w:kern w:val="2"/>
      <w:sz w:val="24"/>
      <w:szCs w:val="24"/>
    </w:rPr>
  </w:style>
  <w:style w:type="character" w:customStyle="1" w:styleId="72">
    <w:name w:val="标题 8 字符"/>
    <w:link w:val="11"/>
    <w:qFormat/>
    <w:uiPriority w:val="0"/>
    <w:rPr>
      <w:rFonts w:ascii="Arial" w:hAnsi="Arial" w:eastAsia="黑体"/>
      <w:kern w:val="2"/>
      <w:sz w:val="24"/>
      <w:szCs w:val="24"/>
    </w:rPr>
  </w:style>
  <w:style w:type="character" w:customStyle="1" w:styleId="73">
    <w:name w:val="标题 9 字符"/>
    <w:link w:val="12"/>
    <w:qFormat/>
    <w:uiPriority w:val="0"/>
    <w:rPr>
      <w:rFonts w:ascii="Arial" w:hAnsi="Arial" w:eastAsia="黑体"/>
      <w:kern w:val="2"/>
      <w:sz w:val="21"/>
      <w:szCs w:val="21"/>
    </w:rPr>
  </w:style>
  <w:style w:type="character" w:customStyle="1" w:styleId="74">
    <w:name w:val="文档结构图 字符"/>
    <w:link w:val="15"/>
    <w:qFormat/>
    <w:uiPriority w:val="0"/>
    <w:rPr>
      <w:rFonts w:ascii="宋体"/>
      <w:kern w:val="2"/>
      <w:sz w:val="18"/>
      <w:szCs w:val="18"/>
    </w:rPr>
  </w:style>
  <w:style w:type="character" w:customStyle="1" w:styleId="75">
    <w:name w:val="批注文字 字符"/>
    <w:link w:val="16"/>
    <w:semiHidden/>
    <w:qFormat/>
    <w:uiPriority w:val="0"/>
    <w:rPr>
      <w:sz w:val="24"/>
      <w:szCs w:val="24"/>
    </w:rPr>
  </w:style>
  <w:style w:type="character" w:customStyle="1" w:styleId="76">
    <w:name w:val="纯文本 字符"/>
    <w:link w:val="24"/>
    <w:qFormat/>
    <w:uiPriority w:val="0"/>
    <w:rPr>
      <w:rFonts w:ascii="宋体" w:hAnsi="Courier New"/>
      <w:kern w:val="2"/>
      <w:sz w:val="21"/>
      <w:szCs w:val="24"/>
    </w:rPr>
  </w:style>
  <w:style w:type="character" w:customStyle="1" w:styleId="77">
    <w:name w:val="日期 字符"/>
    <w:link w:val="26"/>
    <w:qFormat/>
    <w:uiPriority w:val="99"/>
    <w:rPr>
      <w:rFonts w:eastAsia="宋体"/>
      <w:kern w:val="2"/>
      <w:sz w:val="21"/>
      <w:szCs w:val="24"/>
      <w:lang w:val="en-US" w:eastAsia="zh-CN" w:bidi="ar-SA"/>
    </w:rPr>
  </w:style>
  <w:style w:type="character" w:customStyle="1" w:styleId="78">
    <w:name w:val="正文文本缩进 2 字符"/>
    <w:link w:val="27"/>
    <w:qFormat/>
    <w:uiPriority w:val="0"/>
    <w:rPr>
      <w:kern w:val="2"/>
      <w:sz w:val="28"/>
    </w:rPr>
  </w:style>
  <w:style w:type="character" w:customStyle="1" w:styleId="79">
    <w:name w:val="页脚 字符"/>
    <w:link w:val="30"/>
    <w:qFormat/>
    <w:uiPriority w:val="99"/>
    <w:rPr>
      <w:rFonts w:eastAsia="宋体"/>
      <w:kern w:val="2"/>
      <w:sz w:val="18"/>
      <w:szCs w:val="18"/>
      <w:lang w:val="en-US" w:eastAsia="zh-CN" w:bidi="ar-SA"/>
    </w:rPr>
  </w:style>
  <w:style w:type="character" w:customStyle="1" w:styleId="80">
    <w:name w:val="页眉 字符"/>
    <w:link w:val="32"/>
    <w:qFormat/>
    <w:uiPriority w:val="99"/>
    <w:rPr>
      <w:kern w:val="2"/>
      <w:sz w:val="18"/>
      <w:szCs w:val="18"/>
      <w:lang w:val="en-US" w:eastAsia="zh-CN" w:bidi="ar-SA"/>
    </w:rPr>
  </w:style>
  <w:style w:type="character" w:customStyle="1" w:styleId="81">
    <w:name w:val="副标题 字符"/>
    <w:link w:val="35"/>
    <w:qFormat/>
    <w:uiPriority w:val="0"/>
    <w:rPr>
      <w:rFonts w:ascii="Cambria" w:hAnsi="Cambria" w:cs="Times New Roman"/>
      <w:b/>
      <w:bCs/>
      <w:kern w:val="28"/>
      <w:sz w:val="24"/>
      <w:szCs w:val="32"/>
    </w:rPr>
  </w:style>
  <w:style w:type="character" w:customStyle="1" w:styleId="82">
    <w:name w:val="HTML 预设格式 字符"/>
    <w:link w:val="39"/>
    <w:qFormat/>
    <w:uiPriority w:val="0"/>
    <w:rPr>
      <w:rFonts w:ascii="Courier New" w:hAnsi="Courier New" w:cs="Courier New"/>
      <w:kern w:val="2"/>
    </w:rPr>
  </w:style>
  <w:style w:type="character" w:customStyle="1" w:styleId="83">
    <w:name w:val="标题 字符"/>
    <w:link w:val="42"/>
    <w:qFormat/>
    <w:uiPriority w:val="0"/>
    <w:rPr>
      <w:rFonts w:ascii="Cambria" w:hAnsi="Cambria" w:cs="Times New Roman"/>
      <w:b/>
      <w:bCs/>
      <w:kern w:val="2"/>
      <w:sz w:val="36"/>
      <w:szCs w:val="32"/>
    </w:rPr>
  </w:style>
  <w:style w:type="character" w:customStyle="1" w:styleId="84">
    <w:name w:val="批注主题 字符"/>
    <w:link w:val="43"/>
    <w:qFormat/>
    <w:uiPriority w:val="0"/>
    <w:rPr>
      <w:b/>
      <w:bCs/>
      <w:kern w:val="2"/>
      <w:sz w:val="21"/>
      <w:szCs w:val="24"/>
    </w:rPr>
  </w:style>
  <w:style w:type="character" w:customStyle="1" w:styleId="85">
    <w:name w:val=" Char Char19"/>
    <w:qFormat/>
    <w:uiPriority w:val="0"/>
    <w:rPr>
      <w:rFonts w:ascii="Arial" w:hAnsi="Arial"/>
      <w:b/>
      <w:bCs/>
      <w:kern w:val="2"/>
      <w:sz w:val="24"/>
      <w:szCs w:val="28"/>
    </w:rPr>
  </w:style>
  <w:style w:type="paragraph" w:customStyle="1" w:styleId="86">
    <w:name w:val="TOC 标题1"/>
    <w:basedOn w:val="3"/>
    <w:next w:val="1"/>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87">
    <w:name w:val="BodyText"/>
    <w:basedOn w:val="1"/>
    <w:qFormat/>
    <w:uiPriority w:val="0"/>
    <w:pPr>
      <w:ind w:left="109"/>
      <w:jc w:val="both"/>
      <w:textAlignment w:val="baseline"/>
    </w:pPr>
    <w:rPr>
      <w:rFonts w:ascii="宋体" w:hAnsi="宋体" w:eastAsia="宋体"/>
      <w:kern w:val="2"/>
      <w:sz w:val="32"/>
      <w:szCs w:val="32"/>
      <w:lang w:val="zh-CN" w:eastAsia="zh-CN" w:bidi="zh-CN"/>
    </w:rPr>
  </w:style>
  <w:style w:type="character" w:customStyle="1" w:styleId="88">
    <w:name w:val="标题 1 Char1"/>
    <w:qFormat/>
    <w:uiPriority w:val="0"/>
    <w:rPr>
      <w:rFonts w:ascii="宋体" w:hAnsi="宋体" w:eastAsia="宋体"/>
      <w:b/>
      <w:bCs/>
      <w:kern w:val="44"/>
      <w:sz w:val="32"/>
      <w:szCs w:val="32"/>
    </w:rPr>
  </w:style>
  <w:style w:type="character" w:customStyle="1" w:styleId="89">
    <w:name w:val="样式 标题 1 + 加粗 Char"/>
    <w:qFormat/>
    <w:uiPriority w:val="0"/>
    <w:rPr>
      <w:rFonts w:eastAsia="黑体"/>
      <w:b/>
      <w:bCs/>
      <w:kern w:val="44"/>
      <w:sz w:val="28"/>
      <w:szCs w:val="28"/>
      <w:lang w:val="en-US" w:eastAsia="zh-CN" w:bidi="ar-SA"/>
    </w:rPr>
  </w:style>
  <w:style w:type="character" w:customStyle="1" w:styleId="90">
    <w:name w:val=" Char Char1"/>
    <w:qFormat/>
    <w:uiPriority w:val="0"/>
    <w:rPr>
      <w:rFonts w:eastAsia="宋体"/>
      <w:b/>
      <w:bCs/>
      <w:kern w:val="44"/>
      <w:sz w:val="52"/>
      <w:szCs w:val="44"/>
      <w:lang w:val="en-US" w:eastAsia="zh-CN" w:bidi="ar-SA"/>
    </w:rPr>
  </w:style>
  <w:style w:type="character" w:customStyle="1" w:styleId="91">
    <w:name w:val=" Char Char"/>
    <w:qFormat/>
    <w:uiPriority w:val="0"/>
    <w:rPr>
      <w:rFonts w:ascii="Arial" w:hAnsi="Arial" w:eastAsia="宋体"/>
      <w:b/>
      <w:bCs/>
      <w:kern w:val="2"/>
      <w:sz w:val="48"/>
      <w:szCs w:val="32"/>
      <w:lang w:val="en-US" w:eastAsia="zh-CN" w:bidi="ar-SA"/>
    </w:rPr>
  </w:style>
  <w:style w:type="character" w:customStyle="1" w:styleId="92">
    <w:name w:val="th_font1"/>
    <w:qFormat/>
    <w:uiPriority w:val="0"/>
    <w:rPr>
      <w:color w:val="333333"/>
      <w:sz w:val="18"/>
      <w:szCs w:val="18"/>
      <w:u w:val="none"/>
    </w:rPr>
  </w:style>
  <w:style w:type="character" w:customStyle="1" w:styleId="93">
    <w:name w:val="纯文本 Char1"/>
    <w:qFormat/>
    <w:uiPriority w:val="0"/>
    <w:rPr>
      <w:rFonts w:ascii="宋体" w:hAnsi="Courier New"/>
      <w:kern w:val="2"/>
      <w:sz w:val="21"/>
      <w:szCs w:val="24"/>
    </w:rPr>
  </w:style>
  <w:style w:type="character" w:customStyle="1" w:styleId="94">
    <w:name w:val="apple-converted-space"/>
    <w:qFormat/>
    <w:uiPriority w:val="0"/>
  </w:style>
  <w:style w:type="character" w:customStyle="1" w:styleId="95">
    <w:name w:val="标题 2 Char1"/>
    <w:qFormat/>
    <w:uiPriority w:val="0"/>
    <w:rPr>
      <w:rFonts w:ascii="Arial" w:hAnsi="Arial" w:eastAsia="宋体"/>
      <w:b/>
      <w:bCs/>
      <w:sz w:val="30"/>
      <w:szCs w:val="32"/>
    </w:rPr>
  </w:style>
  <w:style w:type="paragraph" w:customStyle="1" w:styleId="96">
    <w:name w:val="_Style 29"/>
    <w:basedOn w:val="1"/>
    <w:qFormat/>
    <w:uiPriority w:val="0"/>
    <w:pPr>
      <w:widowControl/>
      <w:spacing w:after="160" w:line="240" w:lineRule="exact"/>
      <w:jc w:val="left"/>
    </w:pPr>
    <w:rPr>
      <w:rFonts w:ascii="Verdana" w:hAnsi="Verdana"/>
      <w:kern w:val="0"/>
      <w:sz w:val="20"/>
      <w:szCs w:val="20"/>
      <w:lang w:eastAsia="en-US"/>
    </w:rPr>
  </w:style>
  <w:style w:type="paragraph" w:customStyle="1" w:styleId="97">
    <w:name w:val="【正文】"/>
    <w:basedOn w:val="1"/>
    <w:qFormat/>
    <w:uiPriority w:val="0"/>
    <w:pPr>
      <w:spacing w:line="360" w:lineRule="auto"/>
      <w:ind w:firstLine="480" w:firstLineChars="200"/>
    </w:pPr>
    <w:rPr>
      <w:rFonts w:cs="DokChampa"/>
      <w:sz w:val="24"/>
      <w:szCs w:val="20"/>
    </w:rPr>
  </w:style>
  <w:style w:type="paragraph" w:customStyle="1" w:styleId="98">
    <w:name w:val="Char Char Char Char"/>
    <w:basedOn w:val="28"/>
    <w:next w:val="1"/>
    <w:qFormat/>
    <w:uiPriority w:val="0"/>
    <w:pPr>
      <w:widowControl w:val="0"/>
      <w:shd w:val="clear" w:color="auto" w:fill="000080"/>
      <w:adjustRightInd w:val="0"/>
      <w:snapToGrid w:val="0"/>
      <w:spacing w:before="0" w:beforeAutospacing="0" w:after="0" w:afterAutospacing="0" w:line="360" w:lineRule="auto"/>
      <w:jc w:val="both"/>
    </w:pPr>
    <w:rPr>
      <w:rFonts w:cs="Times New Roman"/>
      <w:kern w:val="2"/>
      <w:szCs w:val="20"/>
    </w:rPr>
  </w:style>
  <w:style w:type="paragraph" w:customStyle="1" w:styleId="99">
    <w:name w:val="样式 标题 1 + 首行缩进:  2 字符 段前: 1 行 段后: 1 行"/>
    <w:basedOn w:val="3"/>
    <w:qFormat/>
    <w:uiPriority w:val="0"/>
    <w:pPr>
      <w:keepNext w:val="0"/>
      <w:keepLines w:val="0"/>
      <w:spacing w:before="312" w:beforeLines="100" w:after="312" w:afterLines="100"/>
      <w:jc w:val="both"/>
    </w:pPr>
    <w:rPr>
      <w:rFonts w:ascii="宋体" w:hAnsi="宋体"/>
      <w:sz w:val="24"/>
      <w:szCs w:val="20"/>
      <w:lang w:val="en-US" w:eastAsia="zh-CN"/>
    </w:rPr>
  </w:style>
  <w:style w:type="paragraph" w:customStyle="1" w:styleId="100">
    <w:name w:val="_Style 1"/>
    <w:basedOn w:val="1"/>
    <w:qFormat/>
    <w:uiPriority w:val="99"/>
    <w:pPr>
      <w:ind w:firstLine="420" w:firstLineChars="200"/>
    </w:pPr>
  </w:style>
  <w:style w:type="paragraph" w:customStyle="1" w:styleId="101">
    <w:name w:val="p0"/>
    <w:basedOn w:val="1"/>
    <w:qFormat/>
    <w:uiPriority w:val="0"/>
    <w:pPr>
      <w:widowControl/>
    </w:pPr>
    <w:rPr>
      <w:kern w:val="0"/>
      <w:szCs w:val="20"/>
    </w:rPr>
  </w:style>
  <w:style w:type="paragraph" w:customStyle="1" w:styleId="102">
    <w:name w:val="样式1"/>
    <w:basedOn w:val="1"/>
    <w:qFormat/>
    <w:uiPriority w:val="0"/>
    <w:pPr>
      <w:numPr>
        <w:ilvl w:val="0"/>
        <w:numId w:val="1"/>
      </w:numPr>
      <w:tabs>
        <w:tab w:val="left" w:pos="709"/>
        <w:tab w:val="clear" w:pos="1200"/>
      </w:tabs>
      <w:adjustRightInd w:val="0"/>
      <w:textAlignment w:val="baseline"/>
    </w:pPr>
    <w:rPr>
      <w:rFonts w:ascii="宋体" w:hAnsi="宋体"/>
      <w:kern w:val="0"/>
      <w:szCs w:val="21"/>
    </w:rPr>
  </w:style>
  <w:style w:type="paragraph" w:customStyle="1" w:styleId="103">
    <w:name w:val="样式"/>
    <w:qFormat/>
    <w:uiPriority w:val="0"/>
    <w:pPr>
      <w:widowControl w:val="0"/>
      <w:autoSpaceDE w:val="0"/>
      <w:autoSpaceDN w:val="0"/>
      <w:adjustRightInd w:val="0"/>
      <w:spacing w:after="200" w:line="276" w:lineRule="auto"/>
      <w:jc w:val="both"/>
    </w:pPr>
    <w:rPr>
      <w:rFonts w:ascii="宋体" w:hAnsi="Times New Roman" w:eastAsia="宋体" w:cs="宋体"/>
      <w:sz w:val="24"/>
      <w:szCs w:val="24"/>
      <w:lang w:val="en-US" w:eastAsia="en-US" w:bidi="en-US"/>
    </w:rPr>
  </w:style>
  <w:style w:type="paragraph" w:customStyle="1" w:styleId="10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5">
    <w:name w:val="1"/>
    <w:basedOn w:val="1"/>
    <w:next w:val="17"/>
    <w:qFormat/>
    <w:uiPriority w:val="0"/>
    <w:pPr>
      <w:autoSpaceDE w:val="0"/>
      <w:autoSpaceDN w:val="0"/>
      <w:adjustRightInd w:val="0"/>
      <w:spacing w:line="360" w:lineRule="auto"/>
      <w:jc w:val="left"/>
      <w:textAlignment w:val="baseline"/>
    </w:pPr>
    <w:rPr>
      <w:rFonts w:ascii="宋体"/>
      <w:kern w:val="0"/>
      <w:sz w:val="28"/>
      <w:szCs w:val="20"/>
    </w:rPr>
  </w:style>
  <w:style w:type="paragraph" w:customStyle="1" w:styleId="106">
    <w:name w:val="样式 标题 2 + Times New Roman 四号 非加粗 段前: 5 磅 段后: 0 磅 行距: 固定值 20..."/>
    <w:basedOn w:val="4"/>
    <w:qFormat/>
    <w:uiPriority w:val="0"/>
    <w:pPr>
      <w:adjustRightInd/>
      <w:spacing w:before="100" w:line="400" w:lineRule="exact"/>
      <w:textAlignment w:val="auto"/>
    </w:pPr>
    <w:rPr>
      <w:rFonts w:ascii="Times New Roman" w:hAnsi="Times New Roman" w:eastAsia="宋体" w:cs="宋体"/>
      <w:bCs/>
      <w:sz w:val="28"/>
      <w:szCs w:val="20"/>
      <w:lang w:val="en-US" w:eastAsia="zh-CN"/>
    </w:rPr>
  </w:style>
  <w:style w:type="paragraph" w:customStyle="1" w:styleId="107">
    <w:name w:val="标3"/>
    <w:basedOn w:val="1"/>
    <w:qFormat/>
    <w:uiPriority w:val="0"/>
    <w:pPr>
      <w:tabs>
        <w:tab w:val="left" w:pos="1740"/>
      </w:tabs>
      <w:adjustRightInd w:val="0"/>
      <w:snapToGrid w:val="0"/>
      <w:spacing w:before="50" w:line="360" w:lineRule="auto"/>
      <w:ind w:left="1740" w:hanging="420"/>
      <w:outlineLvl w:val="2"/>
    </w:pPr>
    <w:rPr>
      <w:rFonts w:ascii="Arial Narrow" w:hAnsi="Arial Narrow" w:eastAsia="仿宋_GB2312"/>
      <w:sz w:val="28"/>
      <w:szCs w:val="20"/>
    </w:rPr>
  </w:style>
  <w:style w:type="paragraph" w:styleId="108">
    <w:name w:val="List Paragraph"/>
    <w:basedOn w:val="1"/>
    <w:qFormat/>
    <w:uiPriority w:val="99"/>
    <w:pPr>
      <w:ind w:firstLine="420" w:firstLineChars="200"/>
    </w:pPr>
  </w:style>
  <w:style w:type="paragraph" w:customStyle="1" w:styleId="109">
    <w:name w:val="Normal"/>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10">
    <w:name w:val="样式 标题 1 + 加粗"/>
    <w:basedOn w:val="3"/>
    <w:qFormat/>
    <w:uiPriority w:val="0"/>
    <w:pPr>
      <w:spacing w:before="100" w:after="100"/>
      <w:jc w:val="both"/>
    </w:pPr>
    <w:rPr>
      <w:rFonts w:eastAsia="黑体"/>
      <w:bCs w:val="0"/>
      <w:szCs w:val="20"/>
    </w:rPr>
  </w:style>
  <w:style w:type="paragraph" w:customStyle="1" w:styleId="111">
    <w:name w:val="样式 样式 标题 2 + 段前: 0.5 行 段后: 0.5 行 + 首行缩进:  2 字符 段前: 0.5 行 段后: 0..."/>
    <w:basedOn w:val="1"/>
    <w:qFormat/>
    <w:uiPriority w:val="0"/>
    <w:pPr>
      <w:keepNext/>
      <w:keepLines/>
      <w:spacing w:before="156" w:beforeLines="50" w:after="156" w:afterLines="50"/>
      <w:outlineLvl w:val="1"/>
    </w:pPr>
    <w:rPr>
      <w:rFonts w:hAnsi="宋体"/>
      <w:b/>
      <w:bCs/>
      <w:sz w:val="24"/>
    </w:rPr>
  </w:style>
  <w:style w:type="paragraph" w:customStyle="1" w:styleId="112">
    <w:name w:val="样式3"/>
    <w:basedOn w:val="24"/>
    <w:qFormat/>
    <w:uiPriority w:val="0"/>
    <w:pPr>
      <w:spacing w:line="0" w:lineRule="atLeast"/>
      <w:outlineLvl w:val="0"/>
    </w:pPr>
    <w:rPr>
      <w:sz w:val="28"/>
      <w:szCs w:val="20"/>
      <w:lang w:val="en-US" w:eastAsia="zh-CN"/>
    </w:rPr>
  </w:style>
  <w:style w:type="paragraph" w:customStyle="1" w:styleId="113">
    <w:name w:val="没有缩进（为图形使用）"/>
    <w:basedOn w:val="1"/>
    <w:qFormat/>
    <w:uiPriority w:val="0"/>
    <w:pPr>
      <w:spacing w:before="120" w:after="120" w:line="360" w:lineRule="auto"/>
    </w:pPr>
    <w:rPr>
      <w:sz w:val="24"/>
      <w:szCs w:val="20"/>
    </w:rPr>
  </w:style>
  <w:style w:type="paragraph" w:customStyle="1" w:styleId="11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标题4"/>
    <w:basedOn w:val="1"/>
    <w:qFormat/>
    <w:uiPriority w:val="0"/>
    <w:pPr>
      <w:spacing w:before="312" w:beforeLines="100" w:after="312" w:afterLines="100" w:line="360" w:lineRule="auto"/>
    </w:pPr>
    <w:rPr>
      <w:sz w:val="28"/>
    </w:rPr>
  </w:style>
  <w:style w:type="paragraph" w:customStyle="1" w:styleId="116">
    <w:name w:val="注"/>
    <w:basedOn w:val="1"/>
    <w:qFormat/>
    <w:uiPriority w:val="0"/>
    <w:pPr>
      <w:adjustRightInd w:val="0"/>
      <w:spacing w:line="420" w:lineRule="atLeast"/>
      <w:ind w:firstLine="340"/>
      <w:textAlignment w:val="baseline"/>
    </w:pPr>
    <w:rPr>
      <w:kern w:val="0"/>
      <w:sz w:val="18"/>
      <w:szCs w:val="20"/>
    </w:rPr>
  </w:style>
  <w:style w:type="paragraph" w:customStyle="1" w:styleId="117">
    <w:name w:val="列出段落1"/>
    <w:basedOn w:val="1"/>
    <w:qFormat/>
    <w:uiPriority w:val="34"/>
    <w:pPr>
      <w:spacing w:line="360" w:lineRule="auto"/>
      <w:ind w:firstLine="420" w:firstLineChars="200"/>
    </w:pPr>
    <w:rPr>
      <w:rFonts w:ascii="Calibri" w:hAnsi="Calibri"/>
      <w:szCs w:val="22"/>
    </w:rPr>
  </w:style>
  <w:style w:type="paragraph" w:customStyle="1" w:styleId="11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9">
    <w:name w:val="样式 标题 2 + 宋体 五号 非加粗 黑色"/>
    <w:basedOn w:val="4"/>
    <w:qFormat/>
    <w:uiPriority w:val="0"/>
    <w:pPr>
      <w:spacing w:before="260" w:after="260" w:line="416" w:lineRule="atLeast"/>
      <w:jc w:val="left"/>
    </w:pPr>
    <w:rPr>
      <w:rFonts w:ascii="宋体" w:hAnsi="宋体" w:eastAsia="宋体"/>
      <w:b w:val="0"/>
      <w:color w:val="000000"/>
      <w:sz w:val="21"/>
      <w:szCs w:val="32"/>
    </w:rPr>
  </w:style>
  <w:style w:type="paragraph" w:customStyle="1" w:styleId="120">
    <w:name w:val="msonormalcxspmiddle"/>
    <w:basedOn w:val="1"/>
    <w:qFormat/>
    <w:uiPriority w:val="0"/>
    <w:pPr>
      <w:widowControl/>
      <w:spacing w:before="100" w:beforeAutospacing="1" w:after="100" w:afterAutospacing="1" w:line="240" w:lineRule="auto"/>
      <w:jc w:val="left"/>
    </w:pPr>
    <w:rPr>
      <w:rFonts w:ascii="宋体" w:cs="宋体"/>
      <w:kern w:val="0"/>
      <w:lang w:bidi="ar-SA"/>
    </w:rPr>
  </w:style>
  <w:style w:type="paragraph" w:customStyle="1" w:styleId="121">
    <w:name w:val="表中"/>
    <w:basedOn w:val="1"/>
    <w:qFormat/>
    <w:uiPriority w:val="0"/>
    <w:pPr>
      <w:adjustRightInd w:val="0"/>
      <w:snapToGrid w:val="0"/>
      <w:spacing w:line="420" w:lineRule="atLeast"/>
      <w:jc w:val="center"/>
      <w:textAlignment w:val="baseline"/>
    </w:pPr>
    <w:rPr>
      <w:snapToGrid w:val="0"/>
      <w:kern w:val="0"/>
      <w:szCs w:val="20"/>
    </w:rPr>
  </w:style>
  <w:style w:type="paragraph" w:customStyle="1" w:styleId="1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table" w:customStyle="1" w:styleId="123">
    <w:name w:val="Table Normal"/>
    <w:basedOn w:val="46"/>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124">
    <w:name w:val="图"/>
    <w:basedOn w:val="1"/>
    <w:qFormat/>
    <w:uiPriority w:val="0"/>
    <w:pPr>
      <w:keepNext/>
      <w:adjustRightInd w:val="0"/>
      <w:spacing w:before="60" w:after="60" w:line="300" w:lineRule="auto"/>
      <w:jc w:val="center"/>
      <w:textAlignment w:val="center"/>
    </w:pPr>
    <w:rPr>
      <w:snapToGrid w:val="0"/>
      <w:spacing w:val="20"/>
      <w:kern w:val="0"/>
      <w:szCs w:val="20"/>
    </w:rPr>
  </w:style>
  <w:style w:type="paragraph" w:customStyle="1" w:styleId="125">
    <w:name w:val="WPSOffice手动目录 1"/>
    <w:qFormat/>
    <w:uiPriority w:val="0"/>
    <w:rPr>
      <w:rFonts w:ascii="Times New Roman" w:hAnsi="Times New Roman" w:eastAsia="宋体" w:cs="Times New Roman"/>
      <w:lang w:val="en-US" w:eastAsia="zh-CN" w:bidi="ar-SA"/>
    </w:rPr>
  </w:style>
  <w:style w:type="paragraph" w:customStyle="1" w:styleId="126">
    <w:name w:val="WPSOffice手动目录 3"/>
    <w:qFormat/>
    <w:uiPriority w:val="0"/>
    <w:pPr>
      <w:ind w:leftChars="400"/>
    </w:pPr>
    <w:rPr>
      <w:rFonts w:ascii="Times New Roman" w:hAnsi="Times New Roman" w:eastAsia="宋体" w:cs="Times New Roman"/>
      <w:lang w:val="en-US" w:eastAsia="zh-CN" w:bidi="ar-SA"/>
    </w:rPr>
  </w:style>
  <w:style w:type="paragraph" w:customStyle="1" w:styleId="127">
    <w:name w:val="WPSOffice手动目录 2"/>
    <w:qFormat/>
    <w:uiPriority w:val="0"/>
    <w:pPr>
      <w:ind w:leftChars="200"/>
    </w:pPr>
    <w:rPr>
      <w:rFonts w:ascii="Times New Roman" w:hAnsi="Times New Roman" w:eastAsia="宋体" w:cs="Times New Roman"/>
      <w:lang w:val="en-US" w:eastAsia="zh-CN" w:bidi="ar-SA"/>
    </w:rPr>
  </w:style>
  <w:style w:type="character" w:customStyle="1" w:styleId="128">
    <w:name w:val="font11"/>
    <w:qFormat/>
    <w:uiPriority w:val="0"/>
    <w:rPr>
      <w:rFonts w:hint="eastAsia" w:ascii="宋体" w:hAnsi="宋体" w:eastAsia="宋体" w:cs="宋体"/>
      <w:color w:val="000000"/>
      <w:sz w:val="20"/>
      <w:szCs w:val="20"/>
      <w:u w:val="none"/>
    </w:rPr>
  </w:style>
  <w:style w:type="character" w:customStyle="1" w:styleId="129">
    <w:name w:val="font31"/>
    <w:qFormat/>
    <w:uiPriority w:val="0"/>
    <w:rPr>
      <w:rFonts w:hint="eastAsia" w:ascii="宋体" w:hAnsi="宋体" w:eastAsia="宋体" w:cs="宋体"/>
      <w:b/>
      <w:bCs/>
      <w:color w:val="000000"/>
      <w:sz w:val="20"/>
      <w:szCs w:val="20"/>
      <w:u w:val="none"/>
    </w:rPr>
  </w:style>
  <w:style w:type="character" w:customStyle="1" w:styleId="130">
    <w:name w:val="font01"/>
    <w:qFormat/>
    <w:uiPriority w:val="0"/>
    <w:rPr>
      <w:rFonts w:hint="eastAsia" w:ascii="宋体" w:hAnsi="宋体" w:eastAsia="宋体" w:cs="宋体"/>
      <w:color w:val="000000"/>
      <w:sz w:val="20"/>
      <w:szCs w:val="20"/>
      <w:u w:val="none"/>
    </w:rPr>
  </w:style>
  <w:style w:type="character" w:customStyle="1" w:styleId="131">
    <w:name w:val="font21"/>
    <w:qFormat/>
    <w:uiPriority w:val="0"/>
    <w:rPr>
      <w:rFonts w:hint="eastAsia" w:ascii="宋体" w:hAnsi="宋体" w:eastAsia="宋体" w:cs="宋体"/>
      <w:color w:val="000000"/>
      <w:sz w:val="20"/>
      <w:szCs w:val="20"/>
      <w:u w:val="none"/>
    </w:rPr>
  </w:style>
  <w:style w:type="paragraph" w:customStyle="1" w:styleId="132">
    <w:name w:val="Table Paragraph"/>
    <w:basedOn w:val="1"/>
    <w:qFormat/>
    <w:uiPriority w:val="1"/>
    <w:rPr>
      <w:rFonts w:ascii="宋体" w:hAnsi="宋体" w:eastAsia="宋体" w:cs="宋体"/>
      <w:lang w:val="zh-CN" w:eastAsia="zh-CN" w:bidi="zh-CN"/>
    </w:rPr>
  </w:style>
  <w:style w:type="character" w:customStyle="1" w:styleId="133">
    <w:name w:val="mini-outputtext1"/>
    <w:qFormat/>
    <w:uiPriority w:val="0"/>
  </w:style>
  <w:style w:type="character" w:customStyle="1" w:styleId="134">
    <w:name w:val="font61"/>
    <w:qFormat/>
    <w:uiPriority w:val="0"/>
    <w:rPr>
      <w:rFonts w:hint="eastAsia" w:ascii="微软雅黑" w:hAnsi="微软雅黑" w:eastAsia="微软雅黑" w:cs="微软雅黑"/>
      <w:color w:val="FF0000"/>
      <w:sz w:val="18"/>
      <w:szCs w:val="18"/>
      <w:u w:val="none"/>
    </w:rPr>
  </w:style>
  <w:style w:type="character" w:customStyle="1" w:styleId="135">
    <w:name w:val="font51"/>
    <w:qFormat/>
    <w:uiPriority w:val="0"/>
    <w:rPr>
      <w:rFonts w:hint="eastAsia" w:ascii="微软雅黑" w:hAnsi="微软雅黑" w:eastAsia="微软雅黑" w:cs="微软雅黑"/>
      <w:color w:val="000000"/>
      <w:sz w:val="18"/>
      <w:szCs w:val="18"/>
      <w:u w:val="none"/>
    </w:rPr>
  </w:style>
  <w:style w:type="character" w:customStyle="1" w:styleId="136">
    <w:name w:val="hover24"/>
    <w:qFormat/>
    <w:uiPriority w:val="0"/>
  </w:style>
  <w:style w:type="character" w:customStyle="1" w:styleId="137">
    <w:name w:val="hover25"/>
    <w:qFormat/>
    <w:uiPriority w:val="0"/>
    <w:rPr>
      <w:color w:val="315EFB"/>
    </w:rPr>
  </w:style>
  <w:style w:type="character" w:customStyle="1" w:styleId="138">
    <w:name w:val="c-icon28"/>
    <w:qFormat/>
    <w:uiPriority w:val="0"/>
  </w:style>
  <w:style w:type="character" w:customStyle="1" w:styleId="139">
    <w:name w:val="font111"/>
    <w:qFormat/>
    <w:uiPriority w:val="0"/>
    <w:rPr>
      <w:rFonts w:hint="default" w:ascii="Calibri" w:hAnsi="Calibri" w:cs="Calibri"/>
      <w:color w:val="000000"/>
      <w:sz w:val="21"/>
      <w:szCs w:val="21"/>
      <w:u w:val="none"/>
    </w:rPr>
  </w:style>
  <w:style w:type="character" w:customStyle="1" w:styleId="140">
    <w:name w:val="font101"/>
    <w:qFormat/>
    <w:uiPriority w:val="0"/>
    <w:rPr>
      <w:rFonts w:hint="eastAsia" w:ascii="宋体" w:hAnsi="宋体" w:eastAsia="宋体" w:cs="宋体"/>
      <w:color w:val="000000"/>
      <w:sz w:val="21"/>
      <w:szCs w:val="21"/>
      <w:u w:val="none"/>
    </w:rPr>
  </w:style>
  <w:style w:type="character" w:customStyle="1" w:styleId="141">
    <w:name w:val="font81"/>
    <w:qFormat/>
    <w:uiPriority w:val="0"/>
    <w:rPr>
      <w:rFonts w:hint="eastAsia" w:ascii="宋体" w:hAnsi="宋体" w:eastAsia="宋体" w:cs="宋体"/>
      <w:b/>
      <w:bCs/>
      <w:color w:val="000000"/>
      <w:sz w:val="36"/>
      <w:szCs w:val="36"/>
      <w:u w:val="none"/>
    </w:rPr>
  </w:style>
  <w:style w:type="character" w:customStyle="1" w:styleId="142">
    <w:name w:val="font71"/>
    <w:qFormat/>
    <w:uiPriority w:val="0"/>
    <w:rPr>
      <w:rFonts w:hint="eastAsia" w:ascii="宋体" w:hAnsi="宋体" w:eastAsia="宋体" w:cs="宋体"/>
      <w:b/>
      <w:bCs/>
      <w:color w:val="000000"/>
      <w:sz w:val="28"/>
      <w:szCs w:val="28"/>
      <w:u w:val="none"/>
    </w:rPr>
  </w:style>
  <w:style w:type="character" w:customStyle="1" w:styleId="143">
    <w:name w:val="font201"/>
    <w:qFormat/>
    <w:uiPriority w:val="0"/>
    <w:rPr>
      <w:rFonts w:ascii="Helvetica" w:hAnsi="Helvetica" w:eastAsia="Helvetica" w:cs="Helvetica"/>
      <w:color w:val="000000"/>
      <w:sz w:val="18"/>
      <w:szCs w:val="18"/>
      <w:u w:val="none"/>
    </w:rPr>
  </w:style>
  <w:style w:type="character" w:customStyle="1" w:styleId="144">
    <w:name w:val="font212"/>
    <w:qFormat/>
    <w:uiPriority w:val="0"/>
    <w:rPr>
      <w:rFonts w:hint="eastAsia" w:ascii="宋体" w:hAnsi="宋体" w:eastAsia="宋体" w:cs="宋体"/>
      <w:color w:val="000000"/>
      <w:sz w:val="18"/>
      <w:szCs w:val="18"/>
      <w:u w:val="none"/>
    </w:rPr>
  </w:style>
  <w:style w:type="character" w:customStyle="1" w:styleId="145">
    <w:name w:val="font191"/>
    <w:qFormat/>
    <w:uiPriority w:val="0"/>
    <w:rPr>
      <w:rFonts w:hint="default" w:ascii="等线" w:hAnsi="等线" w:eastAsia="等线" w:cs="等线"/>
      <w:color w:val="000000"/>
      <w:sz w:val="21"/>
      <w:szCs w:val="21"/>
      <w:u w:val="none"/>
    </w:rPr>
  </w:style>
  <w:style w:type="character" w:customStyle="1" w:styleId="146">
    <w:name w:val="font221"/>
    <w:qFormat/>
    <w:uiPriority w:val="0"/>
    <w:rPr>
      <w:rFonts w:hint="eastAsia" w:ascii="宋体" w:hAnsi="宋体" w:eastAsia="宋体" w:cs="宋体"/>
      <w:color w:val="000000"/>
      <w:sz w:val="18"/>
      <w:szCs w:val="18"/>
      <w:u w:val="none"/>
    </w:rPr>
  </w:style>
  <w:style w:type="character" w:customStyle="1" w:styleId="147">
    <w:name w:val="font151"/>
    <w:qFormat/>
    <w:uiPriority w:val="0"/>
    <w:rPr>
      <w:rFonts w:hint="eastAsia" w:ascii="宋体" w:hAnsi="宋体" w:eastAsia="宋体" w:cs="宋体"/>
      <w:b/>
      <w:bCs/>
      <w:color w:val="000000"/>
      <w:sz w:val="36"/>
      <w:szCs w:val="36"/>
      <w:u w:val="none"/>
    </w:rPr>
  </w:style>
  <w:style w:type="character" w:customStyle="1" w:styleId="148">
    <w:name w:val="font41"/>
    <w:qFormat/>
    <w:uiPriority w:val="0"/>
    <w:rPr>
      <w:rFonts w:hint="eastAsia" w:ascii="宋体" w:hAnsi="宋体" w:eastAsia="宋体" w:cs="宋体"/>
      <w:color w:val="000000"/>
      <w:sz w:val="20"/>
      <w:szCs w:val="20"/>
      <w:u w:val="none"/>
    </w:rPr>
  </w:style>
  <w:style w:type="paragraph" w:customStyle="1" w:styleId="149">
    <w:name w:val="List Paragraph1"/>
    <w:basedOn w:val="1"/>
    <w:qFormat/>
    <w:uiPriority w:val="99"/>
    <w:pPr>
      <w:ind w:firstLine="420" w:firstLineChars="200"/>
    </w:pPr>
    <w:rPr>
      <w:rFonts w:ascii="Calibri" w:hAnsi="Calibri" w:cs="Calibri"/>
      <w:szCs w:val="22"/>
    </w:rPr>
  </w:style>
  <w:style w:type="paragraph" w:customStyle="1" w:styleId="150">
    <w:name w:val="Body Text First Indent 21"/>
    <w:basedOn w:val="151"/>
    <w:qFormat/>
    <w:uiPriority w:val="0"/>
    <w:pPr>
      <w:ind w:firstLine="420" w:firstLineChars="200"/>
    </w:pPr>
  </w:style>
  <w:style w:type="paragraph" w:customStyle="1" w:styleId="151">
    <w:name w:val="Body Text Indent1"/>
    <w:basedOn w:val="1"/>
    <w:qFormat/>
    <w:uiPriority w:val="0"/>
    <w:pPr>
      <w:ind w:left="420" w:leftChars="200"/>
    </w:pPr>
  </w:style>
  <w:style w:type="paragraph" w:customStyle="1" w:styleId="152">
    <w:name w:val="Table Text"/>
    <w:qFormat/>
    <w:uiPriority w:val="0"/>
    <w:pPr>
      <w:suppressAutoHyphens/>
      <w:snapToGrid w:val="0"/>
      <w:spacing w:before="80" w:after="80"/>
    </w:pPr>
    <w:rPr>
      <w:rFonts w:ascii="Arial" w:hAnsi="Arial" w:eastAsia="宋体" w:cs="Arial"/>
      <w:kern w:val="1"/>
      <w:sz w:val="18"/>
      <w:lang w:val="en-US" w:eastAsia="zh-CN" w:bidi="ar-SA"/>
    </w:rPr>
  </w:style>
  <w:style w:type="paragraph" w:customStyle="1" w:styleId="153">
    <w:name w:val="GW-正文"/>
    <w:basedOn w:val="1"/>
    <w:qFormat/>
    <w:uiPriority w:val="99"/>
    <w:pPr>
      <w:spacing w:line="360" w:lineRule="auto"/>
      <w:ind w:firstLine="200" w:firstLineChars="200"/>
    </w:pPr>
    <w:rPr>
      <w:rFonts w:ascii="Times New Roman" w:hAnsi="Times New Roman" w:eastAsia="仿宋_GB2312"/>
      <w:sz w:val="24"/>
      <w:szCs w:val="24"/>
    </w:rPr>
  </w:style>
  <w:style w:type="paragraph" w:customStyle="1" w:styleId="154">
    <w:name w:val="正文格式"/>
    <w:basedOn w:val="17"/>
    <w:qFormat/>
    <w:uiPriority w:val="0"/>
    <w:pPr>
      <w:spacing w:line="400" w:lineRule="atLeast"/>
      <w:ind w:firstLine="482"/>
      <w:textAlignment w:val="baseline"/>
    </w:pPr>
    <w:rPr>
      <w:rFonts w:ascii="Times New Roman" w:hAnsi="Times New Roman" w:eastAsia="宋体" w:cs="Times New Roman"/>
      <w:sz w:val="24"/>
    </w:rPr>
  </w:style>
  <w:style w:type="character" w:customStyle="1" w:styleId="155">
    <w:name w:val="font131"/>
    <w:basedOn w:val="48"/>
    <w:qFormat/>
    <w:uiPriority w:val="0"/>
    <w:rPr>
      <w:rFonts w:hint="default" w:ascii="等线" w:hAnsi="等线" w:eastAsia="等线" w:cs="等线"/>
      <w:color w:val="000000"/>
      <w:sz w:val="22"/>
      <w:szCs w:val="22"/>
      <w:u w:val="none"/>
    </w:rPr>
  </w:style>
  <w:style w:type="character" w:customStyle="1" w:styleId="156">
    <w:name w:val="font171"/>
    <w:basedOn w:val="48"/>
    <w:qFormat/>
    <w:uiPriority w:val="0"/>
    <w:rPr>
      <w:rFonts w:hint="eastAsia" w:ascii="宋体" w:hAnsi="宋体" w:eastAsia="宋体" w:cs="宋体"/>
      <w:color w:val="000000"/>
      <w:sz w:val="24"/>
      <w:szCs w:val="24"/>
      <w:u w:val="none"/>
    </w:rPr>
  </w:style>
  <w:style w:type="character" w:customStyle="1" w:styleId="157">
    <w:name w:val="c-icon30"/>
    <w:basedOn w:val="48"/>
    <w:qFormat/>
    <w:uiPriority w:val="0"/>
  </w:style>
  <w:style w:type="character" w:customStyle="1" w:styleId="158">
    <w:name w:val="hover23"/>
    <w:basedOn w:val="48"/>
    <w:qFormat/>
    <w:uiPriority w:val="0"/>
  </w:style>
  <w:style w:type="character" w:customStyle="1" w:styleId="159">
    <w:name w:val="hover26"/>
    <w:basedOn w:val="48"/>
    <w:qFormat/>
    <w:uiPriority w:val="0"/>
    <w:rPr>
      <w:color w:val="315EFB"/>
      <w:shd w:val="clear" w:fill="F0F3FD"/>
    </w:rPr>
  </w:style>
  <w:style w:type="paragraph" w:customStyle="1" w:styleId="160">
    <w:name w:val="Body Text Indent"/>
    <w:basedOn w:val="1"/>
    <w:qFormat/>
    <w:uiPriority w:val="0"/>
    <w:pPr>
      <w:ind w:firstLine="630"/>
    </w:pPr>
    <w:rPr>
      <w:sz w:val="32"/>
    </w:rPr>
  </w:style>
  <w:style w:type="paragraph" w:customStyle="1" w:styleId="161">
    <w:name w:val="Plain Text"/>
    <w:basedOn w:val="1"/>
    <w:qFormat/>
    <w:uiPriority w:val="0"/>
    <w:rPr>
      <w:rFonts w:ascii="宋体" w:hAnsi="Courier New" w:cs="Courier New"/>
      <w:kern w:val="2"/>
      <w:sz w:val="21"/>
      <w:szCs w:val="21"/>
    </w:rPr>
  </w:style>
  <w:style w:type="paragraph" w:customStyle="1" w:styleId="16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24856</Words>
  <Characters>25850</Characters>
  <Lines>343</Lines>
  <Paragraphs>96</Paragraphs>
  <TotalTime>105</TotalTime>
  <ScaleCrop>false</ScaleCrop>
  <LinksUpToDate>false</LinksUpToDate>
  <CharactersWithSpaces>27133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2020-11-26T01:49:00Z</dcterms:created>
  <dc:creator>USER</dc:creator>
  <cp:lastModifiedBy>、Perfume</cp:lastModifiedBy>
  <cp:lastPrinted>2023-09-05T07:38:00Z</cp:lastPrinted>
  <dcterms:modified xsi:type="dcterms:W3CDTF">2024-11-20T08:12:11Z</dcterms:modified>
  <dc:title>政协统办一号楼</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EFBE752FD39C488EB75AB1550F63E0C5_13</vt:lpwstr>
  </property>
</Properties>
</file>