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263522">
      <w:pPr>
        <w:pStyle w:val="64"/>
        <w:ind w:left="108"/>
        <w:jc w:val="center"/>
        <w:rPr>
          <w:rFonts w:cs="Times New Roman"/>
          <w:b/>
          <w:bCs/>
          <w:sz w:val="48"/>
          <w:szCs w:val="48"/>
          <w:lang w:val="en-US"/>
        </w:rPr>
      </w:pPr>
    </w:p>
    <w:p w14:paraId="25CF1550">
      <w:pPr>
        <w:pStyle w:val="64"/>
        <w:jc w:val="center"/>
        <w:rPr>
          <w:rFonts w:cs="Times New Roman"/>
          <w:b/>
          <w:bCs/>
          <w:sz w:val="72"/>
          <w:szCs w:val="72"/>
          <w:lang w:val="en-US"/>
        </w:rPr>
      </w:pPr>
    </w:p>
    <w:p w14:paraId="0855C408">
      <w:pPr>
        <w:pStyle w:val="64"/>
        <w:jc w:val="center"/>
        <w:outlineLvl w:val="9"/>
        <w:rPr>
          <w:rFonts w:cs="Times New Roman"/>
          <w:b/>
          <w:bCs/>
          <w:sz w:val="72"/>
          <w:szCs w:val="72"/>
          <w:lang w:val="en-US"/>
        </w:rPr>
      </w:pPr>
      <w:r>
        <w:rPr>
          <w:rFonts w:hint="eastAsia"/>
          <w:b/>
          <w:bCs/>
          <w:sz w:val="72"/>
          <w:szCs w:val="72"/>
          <w:lang w:val="en-US"/>
        </w:rPr>
        <w:t>陇南市政府</w:t>
      </w:r>
      <w:r>
        <w:rPr>
          <w:rFonts w:hint="eastAsia"/>
          <w:b/>
          <w:bCs/>
          <w:sz w:val="72"/>
          <w:szCs w:val="72"/>
          <w:lang w:val="en-US" w:eastAsia="zh-CN"/>
        </w:rPr>
        <w:t>集中</w:t>
      </w:r>
      <w:r>
        <w:rPr>
          <w:rFonts w:hint="eastAsia"/>
          <w:b/>
          <w:bCs/>
          <w:sz w:val="72"/>
          <w:szCs w:val="72"/>
          <w:lang w:val="en-US"/>
        </w:rPr>
        <w:t>采购</w:t>
      </w:r>
    </w:p>
    <w:p w14:paraId="6F2BAD00">
      <w:pPr>
        <w:jc w:val="center"/>
        <w:outlineLvl w:val="9"/>
        <w:rPr>
          <w:rFonts w:ascii="宋体"/>
          <w:b/>
          <w:bCs/>
          <w:sz w:val="96"/>
          <w:szCs w:val="96"/>
        </w:rPr>
      </w:pPr>
    </w:p>
    <w:p w14:paraId="265E9520">
      <w:pPr>
        <w:jc w:val="center"/>
        <w:outlineLvl w:val="9"/>
        <w:rPr>
          <w:rFonts w:ascii="宋体"/>
          <w:b/>
          <w:bCs/>
          <w:sz w:val="72"/>
          <w:szCs w:val="72"/>
        </w:rPr>
      </w:pPr>
      <w:r>
        <w:rPr>
          <w:rFonts w:hint="eastAsia" w:ascii="宋体" w:hAnsi="宋体" w:cs="宋体"/>
          <w:b/>
          <w:bCs/>
          <w:sz w:val="72"/>
          <w:szCs w:val="72"/>
        </w:rPr>
        <w:t>招标文件</w:t>
      </w:r>
    </w:p>
    <w:p w14:paraId="02236029">
      <w:pPr>
        <w:spacing w:line="360" w:lineRule="auto"/>
        <w:outlineLvl w:val="9"/>
        <w:rPr>
          <w:rFonts w:ascii="宋体"/>
          <w:sz w:val="28"/>
          <w:szCs w:val="28"/>
        </w:rPr>
      </w:pPr>
    </w:p>
    <w:p w14:paraId="3EF3CA16">
      <w:pPr>
        <w:adjustRightInd w:val="0"/>
        <w:snapToGrid w:val="0"/>
        <w:spacing w:line="360" w:lineRule="auto"/>
        <w:jc w:val="center"/>
        <w:outlineLvl w:val="9"/>
        <w:rPr>
          <w:rFonts w:hAnsi="宋体"/>
          <w:b/>
          <w:bCs/>
          <w:spacing w:val="20"/>
          <w:sz w:val="36"/>
          <w:szCs w:val="36"/>
        </w:rPr>
      </w:pPr>
    </w:p>
    <w:p w14:paraId="43E3ED7F">
      <w:pPr>
        <w:adjustRightInd w:val="0"/>
        <w:snapToGrid w:val="0"/>
        <w:spacing w:line="360" w:lineRule="auto"/>
        <w:jc w:val="center"/>
        <w:outlineLvl w:val="9"/>
        <w:rPr>
          <w:rFonts w:hAnsi="宋体"/>
          <w:b/>
          <w:bCs/>
          <w:spacing w:val="20"/>
          <w:sz w:val="52"/>
          <w:szCs w:val="52"/>
          <w:highlight w:val="none"/>
        </w:rPr>
      </w:pPr>
      <w:r>
        <w:rPr>
          <w:rFonts w:hint="eastAsia" w:hAnsi="宋体" w:cs="宋体"/>
          <w:b/>
          <w:bCs/>
          <w:spacing w:val="20"/>
          <w:sz w:val="36"/>
          <w:szCs w:val="36"/>
          <w:highlight w:val="none"/>
        </w:rPr>
        <w:t>（货物类）</w:t>
      </w:r>
    </w:p>
    <w:p w14:paraId="7A0E1406">
      <w:pPr>
        <w:adjustRightInd w:val="0"/>
        <w:snapToGrid w:val="0"/>
        <w:spacing w:line="360" w:lineRule="auto"/>
        <w:outlineLvl w:val="9"/>
        <w:rPr>
          <w:rFonts w:hAnsi="宋体"/>
          <w:b/>
          <w:bCs/>
          <w:sz w:val="36"/>
          <w:szCs w:val="36"/>
        </w:rPr>
      </w:pPr>
      <w:r>
        <w:rPr>
          <w:rFonts w:hAnsi="宋体"/>
          <w:b/>
          <w:bCs/>
          <w:sz w:val="36"/>
          <w:szCs w:val="36"/>
        </w:rPr>
        <w:t xml:space="preserve">           </w:t>
      </w:r>
    </w:p>
    <w:p w14:paraId="2DE96882">
      <w:pPr>
        <w:pStyle w:val="16"/>
        <w:outlineLvl w:val="9"/>
        <w:rPr>
          <w:rFonts w:ascii="宋体"/>
        </w:rPr>
      </w:pPr>
    </w:p>
    <w:p w14:paraId="39806357">
      <w:pPr>
        <w:pStyle w:val="17"/>
        <w:outlineLvl w:val="9"/>
        <w:rPr>
          <w:rFonts w:cs="Times New Roman"/>
        </w:rPr>
      </w:pPr>
    </w:p>
    <w:p w14:paraId="3215A7F7">
      <w:pPr>
        <w:pStyle w:val="16"/>
        <w:outlineLvl w:val="9"/>
        <w:rPr>
          <w:rFonts w:ascii="宋体"/>
        </w:rPr>
      </w:pPr>
    </w:p>
    <w:p w14:paraId="2875154D">
      <w:pPr>
        <w:pStyle w:val="17"/>
        <w:outlineLvl w:val="9"/>
        <w:rPr>
          <w:rFonts w:cs="Times New Roman"/>
        </w:rPr>
      </w:pPr>
    </w:p>
    <w:p w14:paraId="5F9B1CB2">
      <w:pPr>
        <w:spacing w:line="360" w:lineRule="auto"/>
        <w:outlineLvl w:val="9"/>
        <w:rPr>
          <w:rFonts w:hint="default" w:ascii="宋体" w:eastAsia="宋体"/>
          <w:b/>
          <w:bCs/>
          <w:sz w:val="28"/>
          <w:szCs w:val="28"/>
          <w:lang w:val="en-US" w:eastAsia="zh-CN"/>
        </w:rPr>
      </w:pPr>
      <w:r>
        <w:rPr>
          <w:rFonts w:hint="eastAsia" w:ascii="宋体" w:hAnsi="宋体" w:cs="宋体"/>
          <w:b/>
          <w:bCs/>
          <w:sz w:val="28"/>
          <w:szCs w:val="28"/>
        </w:rPr>
        <w:t>项目编号：</w:t>
      </w:r>
      <w:r>
        <w:rPr>
          <w:rFonts w:hint="eastAsia" w:ascii="宋体" w:hAnsi="宋体" w:cs="宋体"/>
          <w:b/>
          <w:bCs/>
          <w:sz w:val="28"/>
          <w:szCs w:val="28"/>
          <w:lang w:val="en-US" w:eastAsia="zh-CN"/>
        </w:rPr>
        <w:t>122001JH6212002</w:t>
      </w:r>
    </w:p>
    <w:p w14:paraId="3AC40104">
      <w:pPr>
        <w:spacing w:line="360" w:lineRule="auto"/>
        <w:outlineLvl w:val="9"/>
        <w:rPr>
          <w:rFonts w:hint="eastAsia" w:ascii="宋体" w:hAnsi="宋体" w:cs="宋体"/>
          <w:b/>
          <w:bCs/>
          <w:sz w:val="28"/>
          <w:szCs w:val="28"/>
        </w:rPr>
      </w:pPr>
      <w:r>
        <w:rPr>
          <w:rFonts w:hint="eastAsia" w:ascii="宋体" w:hAnsi="宋体" w:cs="宋体"/>
          <w:b/>
          <w:bCs/>
          <w:sz w:val="28"/>
          <w:szCs w:val="28"/>
        </w:rPr>
        <w:t>项目名称：</w:t>
      </w:r>
      <w:r>
        <w:rPr>
          <w:rFonts w:hint="eastAsia" w:ascii="宋体" w:hAnsi="宋体" w:cs="宋体"/>
          <w:b/>
          <w:bCs/>
          <w:sz w:val="28"/>
          <w:szCs w:val="28"/>
          <w:lang w:eastAsia="zh-CN"/>
        </w:rPr>
        <w:t>陇南市妇女联合会“巾帼家美积分超市”奖补货品</w:t>
      </w:r>
      <w:r>
        <w:rPr>
          <w:rFonts w:hint="eastAsia" w:ascii="宋体" w:hAnsi="宋体" w:cs="宋体"/>
          <w:b/>
          <w:bCs/>
          <w:sz w:val="28"/>
          <w:szCs w:val="28"/>
        </w:rPr>
        <w:t>项目</w:t>
      </w:r>
    </w:p>
    <w:p w14:paraId="39B695BA">
      <w:pPr>
        <w:spacing w:line="360" w:lineRule="auto"/>
        <w:outlineLvl w:val="9"/>
        <w:rPr>
          <w:rFonts w:ascii="宋体"/>
          <w:b/>
          <w:bCs/>
          <w:sz w:val="28"/>
          <w:szCs w:val="28"/>
        </w:rPr>
      </w:pPr>
      <w:r>
        <w:rPr>
          <w:rFonts w:hint="eastAsia" w:ascii="宋体" w:hAnsi="宋体" w:cs="宋体"/>
          <w:b/>
          <w:bCs/>
          <w:sz w:val="28"/>
          <w:szCs w:val="28"/>
        </w:rPr>
        <w:t>采</w:t>
      </w:r>
      <w:r>
        <w:rPr>
          <w:rFonts w:ascii="宋体" w:hAnsi="宋体" w:cs="宋体"/>
          <w:b/>
          <w:bCs/>
          <w:sz w:val="28"/>
          <w:szCs w:val="28"/>
        </w:rPr>
        <w:t xml:space="preserve"> </w:t>
      </w:r>
      <w:r>
        <w:rPr>
          <w:rFonts w:hint="eastAsia" w:ascii="宋体" w:hAnsi="宋体" w:cs="宋体"/>
          <w:b/>
          <w:bCs/>
          <w:sz w:val="28"/>
          <w:szCs w:val="28"/>
        </w:rPr>
        <w:t>购</w:t>
      </w:r>
      <w:r>
        <w:rPr>
          <w:rFonts w:ascii="宋体" w:hAnsi="宋体" w:cs="宋体"/>
          <w:b/>
          <w:bCs/>
          <w:sz w:val="28"/>
          <w:szCs w:val="28"/>
        </w:rPr>
        <w:t xml:space="preserve"> </w:t>
      </w:r>
      <w:r>
        <w:rPr>
          <w:rFonts w:hint="eastAsia" w:ascii="宋体" w:hAnsi="宋体" w:cs="宋体"/>
          <w:b/>
          <w:bCs/>
          <w:sz w:val="28"/>
          <w:szCs w:val="28"/>
        </w:rPr>
        <w:t>人：</w:t>
      </w:r>
      <w:r>
        <w:rPr>
          <w:rFonts w:hint="eastAsia" w:ascii="宋体" w:hAnsi="宋体" w:cs="宋体"/>
          <w:b/>
          <w:bCs/>
          <w:sz w:val="28"/>
          <w:szCs w:val="28"/>
          <w:lang w:eastAsia="zh-CN"/>
        </w:rPr>
        <w:t>陇南市妇女联合会</w:t>
      </w:r>
    </w:p>
    <w:p w14:paraId="1F4B11AE">
      <w:pPr>
        <w:pStyle w:val="37"/>
        <w:jc w:val="left"/>
        <w:outlineLvl w:val="9"/>
        <w:rPr>
          <w:rFonts w:hint="default" w:hAnsi="宋体" w:eastAsia="宋体" w:cs="Times New Roman"/>
          <w:b/>
          <w:bCs/>
          <w:sz w:val="28"/>
          <w:szCs w:val="28"/>
          <w:lang w:val="en-US" w:eastAsia="zh-CN"/>
        </w:rPr>
      </w:pPr>
      <w:r>
        <w:rPr>
          <w:rFonts w:hint="eastAsia" w:hAnsi="宋体"/>
          <w:b/>
          <w:bCs/>
          <w:sz w:val="28"/>
          <w:szCs w:val="28"/>
          <w:lang w:val="en-US" w:eastAsia="zh-CN"/>
        </w:rPr>
        <w:t>集采</w:t>
      </w:r>
      <w:r>
        <w:rPr>
          <w:rFonts w:hint="eastAsia" w:hAnsi="宋体"/>
          <w:b/>
          <w:bCs/>
          <w:sz w:val="28"/>
          <w:szCs w:val="28"/>
          <w:lang w:eastAsia="zh-CN"/>
        </w:rPr>
        <w:t>机构</w:t>
      </w:r>
      <w:r>
        <w:rPr>
          <w:rFonts w:hint="eastAsia" w:hAnsi="宋体"/>
          <w:b/>
          <w:bCs/>
          <w:sz w:val="28"/>
          <w:szCs w:val="28"/>
        </w:rPr>
        <w:t>：</w:t>
      </w:r>
      <w:r>
        <w:rPr>
          <w:rFonts w:hint="eastAsia" w:hAnsi="宋体"/>
          <w:b/>
          <w:bCs/>
          <w:sz w:val="28"/>
          <w:szCs w:val="28"/>
          <w:lang w:val="en-US" w:eastAsia="zh-CN"/>
        </w:rPr>
        <w:t>陇南市公共资源交易中心</w:t>
      </w:r>
    </w:p>
    <w:p w14:paraId="37BC90F5">
      <w:pPr>
        <w:pStyle w:val="37"/>
        <w:jc w:val="left"/>
        <w:outlineLvl w:val="9"/>
        <w:rPr>
          <w:rFonts w:hAnsi="宋体" w:cs="Times New Roman"/>
          <w:sz w:val="28"/>
          <w:szCs w:val="28"/>
        </w:rPr>
      </w:pPr>
    </w:p>
    <w:p w14:paraId="682936D9">
      <w:pPr>
        <w:pStyle w:val="37"/>
        <w:jc w:val="left"/>
        <w:outlineLvl w:val="9"/>
        <w:rPr>
          <w:rFonts w:hAnsi="宋体" w:cs="Times New Roman"/>
          <w:sz w:val="28"/>
          <w:szCs w:val="28"/>
        </w:rPr>
      </w:pPr>
    </w:p>
    <w:p w14:paraId="2E0483E0">
      <w:pPr>
        <w:pStyle w:val="37"/>
        <w:jc w:val="left"/>
        <w:outlineLvl w:val="9"/>
        <w:rPr>
          <w:rFonts w:hAnsi="宋体" w:cs="Times New Roman"/>
          <w:sz w:val="28"/>
          <w:szCs w:val="28"/>
        </w:rPr>
      </w:pPr>
    </w:p>
    <w:p w14:paraId="544C9F2A">
      <w:pPr>
        <w:pStyle w:val="37"/>
        <w:jc w:val="left"/>
        <w:outlineLvl w:val="9"/>
        <w:rPr>
          <w:rFonts w:hAnsi="宋体" w:cs="Times New Roman"/>
          <w:sz w:val="28"/>
          <w:szCs w:val="28"/>
        </w:rPr>
      </w:pPr>
    </w:p>
    <w:p w14:paraId="46D0486C">
      <w:pPr>
        <w:pStyle w:val="37"/>
        <w:jc w:val="left"/>
        <w:outlineLvl w:val="9"/>
        <w:rPr>
          <w:rFonts w:hAnsi="宋体" w:cs="Times New Roman"/>
          <w:sz w:val="28"/>
          <w:szCs w:val="28"/>
        </w:rPr>
      </w:pPr>
    </w:p>
    <w:p w14:paraId="6395EEF2">
      <w:pPr>
        <w:spacing w:line="360" w:lineRule="auto"/>
        <w:jc w:val="center"/>
        <w:outlineLvl w:val="9"/>
        <w:rPr>
          <w:rFonts w:ascii="宋体"/>
          <w:b/>
          <w:bCs/>
          <w:sz w:val="36"/>
          <w:szCs w:val="36"/>
        </w:rPr>
        <w:sectPr>
          <w:headerReference r:id="rId3" w:type="default"/>
          <w:footerReference r:id="rId4" w:type="default"/>
          <w:type w:val="continuous"/>
          <w:pgSz w:w="11910" w:h="16840"/>
          <w:pgMar w:top="1460" w:right="1680" w:bottom="1280" w:left="1640" w:header="0" w:footer="1096" w:gutter="0"/>
          <w:pgNumType w:fmt="decimal"/>
          <w:cols w:space="720" w:num="1"/>
        </w:sectPr>
      </w:pPr>
      <w:r>
        <w:rPr>
          <w:rFonts w:ascii="宋体" w:hAnsi="宋体" w:cs="宋体"/>
          <w:b/>
          <w:bCs/>
          <w:sz w:val="36"/>
          <w:szCs w:val="36"/>
          <w:u w:val="single"/>
        </w:rPr>
        <w:t>202</w:t>
      </w:r>
      <w:r>
        <w:rPr>
          <w:rFonts w:hint="eastAsia" w:ascii="宋体" w:hAnsi="宋体" w:cs="宋体"/>
          <w:b/>
          <w:bCs/>
          <w:sz w:val="36"/>
          <w:szCs w:val="36"/>
          <w:u w:val="single"/>
          <w:lang w:val="en-US" w:eastAsia="zh-CN"/>
        </w:rPr>
        <w:t>4</w:t>
      </w:r>
      <w:r>
        <w:rPr>
          <w:rFonts w:hint="eastAsia" w:ascii="宋体" w:hAnsi="宋体" w:cs="宋体"/>
          <w:b/>
          <w:bCs/>
          <w:sz w:val="36"/>
          <w:szCs w:val="36"/>
        </w:rPr>
        <w:t>年</w:t>
      </w:r>
      <w:r>
        <w:rPr>
          <w:rFonts w:hint="eastAsia" w:ascii="宋体" w:hAnsi="宋体" w:cs="宋体"/>
          <w:b/>
          <w:bCs/>
          <w:sz w:val="36"/>
          <w:szCs w:val="36"/>
          <w:u w:val="single"/>
          <w:lang w:val="en-US" w:eastAsia="zh-CN"/>
        </w:rPr>
        <w:t>11</w:t>
      </w:r>
      <w:r>
        <w:rPr>
          <w:rFonts w:hint="eastAsia" w:ascii="宋体" w:hAnsi="宋体" w:cs="宋体"/>
          <w:b/>
          <w:bCs/>
          <w:sz w:val="36"/>
          <w:szCs w:val="36"/>
        </w:rPr>
        <w:t>月</w:t>
      </w:r>
    </w:p>
    <w:p w14:paraId="3B7C637C">
      <w:pPr>
        <w:jc w:val="center"/>
        <w:rPr>
          <w:rFonts w:ascii="宋体"/>
          <w:b/>
          <w:bCs/>
          <w:sz w:val="44"/>
          <w:szCs w:val="44"/>
        </w:rPr>
      </w:pPr>
      <w:r>
        <w:rPr>
          <w:rFonts w:hint="eastAsia" w:ascii="宋体" w:hAnsi="宋体" w:cs="宋体"/>
          <w:b/>
          <w:bCs/>
          <w:sz w:val="40"/>
          <w:szCs w:val="40"/>
        </w:rPr>
        <w:t>目</w:t>
      </w:r>
      <w:r>
        <w:rPr>
          <w:rFonts w:ascii="宋体" w:hAnsi="宋体" w:cs="宋体"/>
          <w:b/>
          <w:bCs/>
          <w:sz w:val="40"/>
          <w:szCs w:val="40"/>
        </w:rPr>
        <w:t xml:space="preserve">  </w:t>
      </w:r>
      <w:r>
        <w:rPr>
          <w:rFonts w:hint="eastAsia" w:ascii="宋体" w:hAnsi="宋体" w:cs="宋体"/>
          <w:b/>
          <w:bCs/>
          <w:sz w:val="40"/>
          <w:szCs w:val="40"/>
        </w:rPr>
        <w:t>录</w:t>
      </w:r>
    </w:p>
    <w:p w14:paraId="0FF9EC85">
      <w:pPr>
        <w:pStyle w:val="3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1"/>
          <w:szCs w:val="21"/>
        </w:rPr>
      </w:pPr>
      <w:bookmarkStart w:id="0" w:name="_Hlk484387211"/>
      <w:bookmarkStart w:id="1" w:name="_Toc373314691"/>
      <w:r>
        <w:fldChar w:fldCharType="begin"/>
      </w:r>
      <w:r>
        <w:instrText xml:space="preserve">TOC \o "1-2" \h \u </w:instrText>
      </w:r>
      <w:r>
        <w:fldChar w:fldCharType="separate"/>
      </w:r>
      <w:r>
        <w:rPr>
          <w:sz w:val="21"/>
          <w:szCs w:val="21"/>
        </w:rPr>
        <w:fldChar w:fldCharType="begin"/>
      </w:r>
      <w:r>
        <w:rPr>
          <w:sz w:val="21"/>
          <w:szCs w:val="21"/>
        </w:rPr>
        <w:instrText xml:space="preserve"> HYPERLINK \l _Toc1120 </w:instrText>
      </w:r>
      <w:r>
        <w:rPr>
          <w:sz w:val="21"/>
          <w:szCs w:val="21"/>
        </w:rPr>
        <w:fldChar w:fldCharType="separate"/>
      </w:r>
      <w:r>
        <w:rPr>
          <w:rFonts w:hint="eastAsia" w:ascii="宋体"/>
          <w:bCs/>
          <w:sz w:val="21"/>
          <w:szCs w:val="40"/>
        </w:rPr>
        <w:t xml:space="preserve">第一章 </w:t>
      </w:r>
      <w:r>
        <w:rPr>
          <w:rFonts w:hint="eastAsia" w:ascii="宋体" w:hAnsi="宋体" w:cs="宋体"/>
          <w:bCs/>
          <w:sz w:val="21"/>
          <w:szCs w:val="40"/>
        </w:rPr>
        <w:t>招标公告</w:t>
      </w:r>
      <w:r>
        <w:rPr>
          <w:sz w:val="21"/>
          <w:szCs w:val="21"/>
        </w:rPr>
        <w:tab/>
      </w:r>
      <w:r>
        <w:rPr>
          <w:sz w:val="21"/>
          <w:szCs w:val="21"/>
        </w:rPr>
        <w:fldChar w:fldCharType="begin"/>
      </w:r>
      <w:r>
        <w:rPr>
          <w:sz w:val="21"/>
          <w:szCs w:val="21"/>
        </w:rPr>
        <w:instrText xml:space="preserve"> PAGEREF _Toc1120 \h </w:instrText>
      </w:r>
      <w:r>
        <w:rPr>
          <w:sz w:val="21"/>
          <w:szCs w:val="21"/>
        </w:rPr>
        <w:fldChar w:fldCharType="separate"/>
      </w:r>
      <w:r>
        <w:rPr>
          <w:sz w:val="21"/>
          <w:szCs w:val="21"/>
        </w:rPr>
        <w:t>4</w:t>
      </w:r>
      <w:r>
        <w:rPr>
          <w:sz w:val="21"/>
          <w:szCs w:val="21"/>
        </w:rPr>
        <w:fldChar w:fldCharType="end"/>
      </w:r>
      <w:r>
        <w:rPr>
          <w:sz w:val="21"/>
          <w:szCs w:val="21"/>
        </w:rPr>
        <w:fldChar w:fldCharType="end"/>
      </w:r>
    </w:p>
    <w:p w14:paraId="70D85EB0">
      <w:pPr>
        <w:pStyle w:val="3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1"/>
          <w:szCs w:val="21"/>
        </w:rPr>
      </w:pPr>
      <w:r>
        <w:rPr>
          <w:sz w:val="21"/>
          <w:szCs w:val="21"/>
        </w:rPr>
        <w:fldChar w:fldCharType="begin"/>
      </w:r>
      <w:r>
        <w:rPr>
          <w:sz w:val="21"/>
          <w:szCs w:val="21"/>
        </w:rPr>
        <w:instrText xml:space="preserve"> HYPERLINK \l _Toc6346 </w:instrText>
      </w:r>
      <w:r>
        <w:rPr>
          <w:sz w:val="21"/>
          <w:szCs w:val="21"/>
        </w:rPr>
        <w:fldChar w:fldCharType="separate"/>
      </w:r>
      <w:r>
        <w:rPr>
          <w:rFonts w:hint="eastAsia" w:ascii="宋体" w:hAnsi="宋体" w:cs="宋体"/>
          <w:bCs/>
          <w:kern w:val="0"/>
          <w:sz w:val="21"/>
          <w:szCs w:val="44"/>
        </w:rPr>
        <w:t>第二章 供应商须知及前附表</w:t>
      </w:r>
      <w:r>
        <w:rPr>
          <w:sz w:val="21"/>
          <w:szCs w:val="21"/>
        </w:rPr>
        <w:tab/>
      </w:r>
      <w:r>
        <w:rPr>
          <w:sz w:val="21"/>
          <w:szCs w:val="21"/>
        </w:rPr>
        <w:fldChar w:fldCharType="begin"/>
      </w:r>
      <w:r>
        <w:rPr>
          <w:sz w:val="21"/>
          <w:szCs w:val="21"/>
        </w:rPr>
        <w:instrText xml:space="preserve"> PAGEREF _Toc6346 \h </w:instrText>
      </w:r>
      <w:r>
        <w:rPr>
          <w:sz w:val="21"/>
          <w:szCs w:val="21"/>
        </w:rPr>
        <w:fldChar w:fldCharType="separate"/>
      </w:r>
      <w:r>
        <w:rPr>
          <w:sz w:val="21"/>
          <w:szCs w:val="21"/>
        </w:rPr>
        <w:t>5</w:t>
      </w:r>
      <w:r>
        <w:rPr>
          <w:sz w:val="21"/>
          <w:szCs w:val="21"/>
        </w:rPr>
        <w:fldChar w:fldCharType="end"/>
      </w:r>
      <w:r>
        <w:rPr>
          <w:sz w:val="21"/>
          <w:szCs w:val="21"/>
        </w:rPr>
        <w:fldChar w:fldCharType="end"/>
      </w:r>
    </w:p>
    <w:p w14:paraId="7128F576">
      <w:pPr>
        <w:pStyle w:val="3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1"/>
          <w:szCs w:val="21"/>
        </w:rPr>
      </w:pPr>
      <w:r>
        <w:rPr>
          <w:sz w:val="21"/>
          <w:szCs w:val="21"/>
        </w:rPr>
        <w:fldChar w:fldCharType="begin"/>
      </w:r>
      <w:r>
        <w:rPr>
          <w:sz w:val="21"/>
          <w:szCs w:val="21"/>
        </w:rPr>
        <w:instrText xml:space="preserve"> HYPERLINK \l _Toc11402 </w:instrText>
      </w:r>
      <w:r>
        <w:rPr>
          <w:sz w:val="21"/>
          <w:szCs w:val="21"/>
        </w:rPr>
        <w:fldChar w:fldCharType="separate"/>
      </w:r>
      <w:r>
        <w:rPr>
          <w:rFonts w:hint="eastAsia" w:ascii="宋体" w:hAnsi="宋体" w:eastAsia="宋体" w:cs="宋体"/>
          <w:bCs/>
          <w:smallCaps w:val="0"/>
          <w:kern w:val="0"/>
          <w:sz w:val="21"/>
          <w:szCs w:val="36"/>
          <w:lang w:val="en-US" w:eastAsia="zh-CN" w:bidi="ar-SA"/>
        </w:rPr>
        <w:t>第一节</w:t>
      </w:r>
      <w:r>
        <w:rPr>
          <w:rFonts w:hint="eastAsia" w:ascii="宋体" w:hAnsi="宋体" w:cs="宋体"/>
          <w:bCs/>
          <w:smallCaps w:val="0"/>
          <w:kern w:val="0"/>
          <w:sz w:val="21"/>
          <w:szCs w:val="36"/>
          <w:lang w:val="en-US" w:eastAsia="zh-CN" w:bidi="ar-SA"/>
        </w:rPr>
        <w:t xml:space="preserve"> </w:t>
      </w:r>
      <w:r>
        <w:rPr>
          <w:rFonts w:hint="eastAsia" w:ascii="宋体" w:hAnsi="宋体" w:eastAsia="宋体" w:cs="宋体"/>
          <w:bCs/>
          <w:smallCaps w:val="0"/>
          <w:kern w:val="0"/>
          <w:sz w:val="21"/>
          <w:szCs w:val="36"/>
          <w:lang w:val="en-US" w:eastAsia="zh-CN" w:bidi="ar-SA"/>
        </w:rPr>
        <w:t>供应商须知前附表</w:t>
      </w:r>
      <w:r>
        <w:rPr>
          <w:sz w:val="21"/>
          <w:szCs w:val="21"/>
        </w:rPr>
        <w:tab/>
      </w:r>
      <w:r>
        <w:rPr>
          <w:sz w:val="21"/>
          <w:szCs w:val="21"/>
        </w:rPr>
        <w:fldChar w:fldCharType="begin"/>
      </w:r>
      <w:r>
        <w:rPr>
          <w:sz w:val="21"/>
          <w:szCs w:val="21"/>
        </w:rPr>
        <w:instrText xml:space="preserve"> PAGEREF _Toc11402 \h </w:instrText>
      </w:r>
      <w:r>
        <w:rPr>
          <w:sz w:val="21"/>
          <w:szCs w:val="21"/>
        </w:rPr>
        <w:fldChar w:fldCharType="separate"/>
      </w:r>
      <w:r>
        <w:rPr>
          <w:sz w:val="21"/>
          <w:szCs w:val="21"/>
        </w:rPr>
        <w:t>5</w:t>
      </w:r>
      <w:r>
        <w:rPr>
          <w:sz w:val="21"/>
          <w:szCs w:val="21"/>
        </w:rPr>
        <w:fldChar w:fldCharType="end"/>
      </w:r>
      <w:r>
        <w:rPr>
          <w:sz w:val="21"/>
          <w:szCs w:val="21"/>
        </w:rPr>
        <w:fldChar w:fldCharType="end"/>
      </w:r>
    </w:p>
    <w:p w14:paraId="632849E1">
      <w:pPr>
        <w:pStyle w:val="3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1"/>
          <w:szCs w:val="21"/>
        </w:rPr>
      </w:pPr>
      <w:r>
        <w:rPr>
          <w:sz w:val="21"/>
          <w:szCs w:val="21"/>
        </w:rPr>
        <w:fldChar w:fldCharType="begin"/>
      </w:r>
      <w:r>
        <w:rPr>
          <w:sz w:val="21"/>
          <w:szCs w:val="21"/>
        </w:rPr>
        <w:instrText xml:space="preserve"> HYPERLINK \l _Toc4912 </w:instrText>
      </w:r>
      <w:r>
        <w:rPr>
          <w:sz w:val="21"/>
          <w:szCs w:val="21"/>
        </w:rPr>
        <w:fldChar w:fldCharType="separate"/>
      </w:r>
      <w:r>
        <w:rPr>
          <w:rFonts w:hint="eastAsia" w:ascii="宋体" w:hAnsi="宋体" w:cs="宋体"/>
          <w:bCs/>
          <w:kern w:val="0"/>
          <w:sz w:val="21"/>
          <w:szCs w:val="36"/>
        </w:rPr>
        <w:t>第二节</w:t>
      </w:r>
      <w:r>
        <w:rPr>
          <w:rFonts w:hint="eastAsia" w:ascii="宋体" w:hAnsi="宋体" w:cs="宋体"/>
          <w:bCs/>
          <w:kern w:val="0"/>
          <w:sz w:val="21"/>
          <w:szCs w:val="36"/>
          <w:lang w:val="en-US" w:eastAsia="zh-CN"/>
        </w:rPr>
        <w:t xml:space="preserve"> </w:t>
      </w:r>
      <w:r>
        <w:rPr>
          <w:rFonts w:hint="eastAsia" w:ascii="宋体" w:hAnsi="宋体" w:cs="宋体"/>
          <w:bCs/>
          <w:kern w:val="0"/>
          <w:sz w:val="21"/>
          <w:szCs w:val="36"/>
        </w:rPr>
        <w:t>投标文件否决性条款</w:t>
      </w:r>
      <w:r>
        <w:rPr>
          <w:sz w:val="21"/>
          <w:szCs w:val="21"/>
        </w:rPr>
        <w:tab/>
      </w:r>
      <w:r>
        <w:rPr>
          <w:sz w:val="21"/>
          <w:szCs w:val="21"/>
        </w:rPr>
        <w:fldChar w:fldCharType="begin"/>
      </w:r>
      <w:r>
        <w:rPr>
          <w:sz w:val="21"/>
          <w:szCs w:val="21"/>
        </w:rPr>
        <w:instrText xml:space="preserve"> PAGEREF _Toc4912 \h </w:instrText>
      </w:r>
      <w:r>
        <w:rPr>
          <w:sz w:val="21"/>
          <w:szCs w:val="21"/>
        </w:rPr>
        <w:fldChar w:fldCharType="separate"/>
      </w:r>
      <w:r>
        <w:rPr>
          <w:sz w:val="21"/>
          <w:szCs w:val="21"/>
        </w:rPr>
        <w:t>11</w:t>
      </w:r>
      <w:r>
        <w:rPr>
          <w:sz w:val="21"/>
          <w:szCs w:val="21"/>
        </w:rPr>
        <w:fldChar w:fldCharType="end"/>
      </w:r>
      <w:r>
        <w:rPr>
          <w:sz w:val="21"/>
          <w:szCs w:val="21"/>
        </w:rPr>
        <w:fldChar w:fldCharType="end"/>
      </w:r>
    </w:p>
    <w:p w14:paraId="0B13CFF4">
      <w:pPr>
        <w:pStyle w:val="3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1"/>
          <w:szCs w:val="21"/>
        </w:rPr>
      </w:pPr>
      <w:r>
        <w:rPr>
          <w:sz w:val="21"/>
          <w:szCs w:val="21"/>
        </w:rPr>
        <w:fldChar w:fldCharType="begin"/>
      </w:r>
      <w:r>
        <w:rPr>
          <w:sz w:val="21"/>
          <w:szCs w:val="21"/>
        </w:rPr>
        <w:instrText xml:space="preserve"> HYPERLINK \l _Toc12216 </w:instrText>
      </w:r>
      <w:r>
        <w:rPr>
          <w:sz w:val="21"/>
          <w:szCs w:val="21"/>
        </w:rPr>
        <w:fldChar w:fldCharType="separate"/>
      </w:r>
      <w:r>
        <w:rPr>
          <w:rFonts w:hint="eastAsia" w:ascii="宋体"/>
          <w:bCs/>
          <w:kern w:val="0"/>
          <w:sz w:val="21"/>
          <w:szCs w:val="40"/>
        </w:rPr>
        <w:t xml:space="preserve">第三章 </w:t>
      </w:r>
      <w:r>
        <w:rPr>
          <w:rFonts w:hint="eastAsia" w:ascii="宋体" w:hAnsi="宋体" w:cs="宋体"/>
          <w:bCs/>
          <w:kern w:val="0"/>
          <w:sz w:val="21"/>
          <w:szCs w:val="40"/>
        </w:rPr>
        <w:t>采购</w:t>
      </w:r>
      <w:r>
        <w:rPr>
          <w:rFonts w:hint="eastAsia" w:ascii="宋体" w:hAnsi="宋体" w:cs="宋体"/>
          <w:bCs/>
          <w:kern w:val="0"/>
          <w:sz w:val="21"/>
          <w:szCs w:val="40"/>
          <w:lang w:val="en-US" w:eastAsia="zh-CN"/>
        </w:rPr>
        <w:t>项目</w:t>
      </w:r>
      <w:r>
        <w:rPr>
          <w:rFonts w:hint="eastAsia" w:ascii="宋体" w:hAnsi="宋体" w:cs="宋体"/>
          <w:bCs/>
          <w:kern w:val="0"/>
          <w:sz w:val="21"/>
          <w:szCs w:val="40"/>
        </w:rPr>
        <w:t>需求及要求</w:t>
      </w:r>
      <w:r>
        <w:rPr>
          <w:sz w:val="21"/>
          <w:szCs w:val="21"/>
        </w:rPr>
        <w:tab/>
      </w:r>
      <w:r>
        <w:rPr>
          <w:sz w:val="21"/>
          <w:szCs w:val="21"/>
        </w:rPr>
        <w:fldChar w:fldCharType="begin"/>
      </w:r>
      <w:r>
        <w:rPr>
          <w:sz w:val="21"/>
          <w:szCs w:val="21"/>
        </w:rPr>
        <w:instrText xml:space="preserve"> PAGEREF _Toc12216 \h </w:instrText>
      </w:r>
      <w:r>
        <w:rPr>
          <w:sz w:val="21"/>
          <w:szCs w:val="21"/>
        </w:rPr>
        <w:fldChar w:fldCharType="separate"/>
      </w:r>
      <w:r>
        <w:rPr>
          <w:sz w:val="21"/>
          <w:szCs w:val="21"/>
        </w:rPr>
        <w:t>25</w:t>
      </w:r>
      <w:r>
        <w:rPr>
          <w:sz w:val="21"/>
          <w:szCs w:val="21"/>
        </w:rPr>
        <w:fldChar w:fldCharType="end"/>
      </w:r>
      <w:r>
        <w:rPr>
          <w:sz w:val="21"/>
          <w:szCs w:val="21"/>
        </w:rPr>
        <w:fldChar w:fldCharType="end"/>
      </w:r>
    </w:p>
    <w:p w14:paraId="42424F0F">
      <w:pPr>
        <w:pStyle w:val="3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1"/>
          <w:szCs w:val="21"/>
        </w:rPr>
      </w:pPr>
      <w:r>
        <w:rPr>
          <w:sz w:val="21"/>
          <w:szCs w:val="21"/>
        </w:rPr>
        <w:fldChar w:fldCharType="begin"/>
      </w:r>
      <w:r>
        <w:rPr>
          <w:sz w:val="21"/>
          <w:szCs w:val="21"/>
        </w:rPr>
        <w:instrText xml:space="preserve"> HYPERLINK \l _Toc32293 </w:instrText>
      </w:r>
      <w:r>
        <w:rPr>
          <w:sz w:val="21"/>
          <w:szCs w:val="21"/>
        </w:rPr>
        <w:fldChar w:fldCharType="separate"/>
      </w:r>
      <w:r>
        <w:rPr>
          <w:rFonts w:ascii="Times New Roman"/>
          <w:sz w:val="21"/>
          <w:szCs w:val="36"/>
          <w:highlight w:val="none"/>
        </w:rPr>
        <w:t>第</w:t>
      </w:r>
      <w:r>
        <w:rPr>
          <w:rFonts w:hint="eastAsia" w:ascii="Times New Roman"/>
          <w:sz w:val="21"/>
          <w:szCs w:val="36"/>
          <w:highlight w:val="none"/>
        </w:rPr>
        <w:t>一</w:t>
      </w:r>
      <w:r>
        <w:rPr>
          <w:rFonts w:ascii="Times New Roman"/>
          <w:sz w:val="21"/>
          <w:szCs w:val="36"/>
          <w:highlight w:val="none"/>
        </w:rPr>
        <w:t xml:space="preserve">部分 </w:t>
      </w:r>
      <w:r>
        <w:rPr>
          <w:rFonts w:hint="eastAsia" w:ascii="Times New Roman"/>
          <w:sz w:val="21"/>
          <w:szCs w:val="36"/>
          <w:highlight w:val="none"/>
        </w:rPr>
        <w:t>商务要求</w:t>
      </w:r>
      <w:r>
        <w:rPr>
          <w:sz w:val="21"/>
          <w:szCs w:val="21"/>
        </w:rPr>
        <w:tab/>
      </w:r>
      <w:r>
        <w:rPr>
          <w:sz w:val="21"/>
          <w:szCs w:val="21"/>
        </w:rPr>
        <w:fldChar w:fldCharType="begin"/>
      </w:r>
      <w:r>
        <w:rPr>
          <w:sz w:val="21"/>
          <w:szCs w:val="21"/>
        </w:rPr>
        <w:instrText xml:space="preserve"> PAGEREF _Toc32293 \h </w:instrText>
      </w:r>
      <w:r>
        <w:rPr>
          <w:sz w:val="21"/>
          <w:szCs w:val="21"/>
        </w:rPr>
        <w:fldChar w:fldCharType="separate"/>
      </w:r>
      <w:r>
        <w:rPr>
          <w:sz w:val="21"/>
          <w:szCs w:val="21"/>
        </w:rPr>
        <w:t>25</w:t>
      </w:r>
      <w:r>
        <w:rPr>
          <w:sz w:val="21"/>
          <w:szCs w:val="21"/>
        </w:rPr>
        <w:fldChar w:fldCharType="end"/>
      </w:r>
      <w:r>
        <w:rPr>
          <w:sz w:val="21"/>
          <w:szCs w:val="21"/>
        </w:rPr>
        <w:fldChar w:fldCharType="end"/>
      </w:r>
    </w:p>
    <w:p w14:paraId="36610015">
      <w:pPr>
        <w:pStyle w:val="3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1"/>
          <w:szCs w:val="21"/>
        </w:rPr>
      </w:pPr>
      <w:r>
        <w:rPr>
          <w:sz w:val="21"/>
          <w:szCs w:val="21"/>
        </w:rPr>
        <w:fldChar w:fldCharType="begin"/>
      </w:r>
      <w:r>
        <w:rPr>
          <w:sz w:val="21"/>
          <w:szCs w:val="21"/>
        </w:rPr>
        <w:instrText xml:space="preserve"> HYPERLINK \l _Toc26753 </w:instrText>
      </w:r>
      <w:r>
        <w:rPr>
          <w:sz w:val="21"/>
          <w:szCs w:val="21"/>
        </w:rPr>
        <w:fldChar w:fldCharType="separate"/>
      </w:r>
      <w:r>
        <w:rPr>
          <w:rFonts w:hint="eastAsia" w:ascii="Times New Roman"/>
          <w:sz w:val="21"/>
          <w:szCs w:val="36"/>
          <w:highlight w:val="none"/>
          <w:lang w:eastAsia="zh-CN"/>
        </w:rPr>
        <w:t>第</w:t>
      </w:r>
      <w:r>
        <w:rPr>
          <w:rFonts w:hint="eastAsia" w:ascii="Times New Roman"/>
          <w:sz w:val="21"/>
          <w:szCs w:val="36"/>
          <w:highlight w:val="none"/>
        </w:rPr>
        <w:t>二</w:t>
      </w:r>
      <w:r>
        <w:rPr>
          <w:rFonts w:ascii="Times New Roman"/>
          <w:sz w:val="21"/>
          <w:szCs w:val="36"/>
          <w:highlight w:val="none"/>
        </w:rPr>
        <w:t xml:space="preserve">部分 </w:t>
      </w:r>
      <w:r>
        <w:rPr>
          <w:rFonts w:hint="eastAsia" w:ascii="Times New Roman"/>
          <w:sz w:val="21"/>
          <w:szCs w:val="36"/>
          <w:highlight w:val="none"/>
        </w:rPr>
        <w:t>项目需求书</w:t>
      </w:r>
      <w:r>
        <w:rPr>
          <w:sz w:val="21"/>
          <w:szCs w:val="21"/>
        </w:rPr>
        <w:tab/>
      </w:r>
      <w:r>
        <w:rPr>
          <w:sz w:val="21"/>
          <w:szCs w:val="21"/>
        </w:rPr>
        <w:fldChar w:fldCharType="begin"/>
      </w:r>
      <w:r>
        <w:rPr>
          <w:sz w:val="21"/>
          <w:szCs w:val="21"/>
        </w:rPr>
        <w:instrText xml:space="preserve"> PAGEREF _Toc26753 \h </w:instrText>
      </w:r>
      <w:r>
        <w:rPr>
          <w:sz w:val="21"/>
          <w:szCs w:val="21"/>
        </w:rPr>
        <w:fldChar w:fldCharType="separate"/>
      </w:r>
      <w:r>
        <w:rPr>
          <w:sz w:val="21"/>
          <w:szCs w:val="21"/>
        </w:rPr>
        <w:t>26</w:t>
      </w:r>
      <w:r>
        <w:rPr>
          <w:sz w:val="21"/>
          <w:szCs w:val="21"/>
        </w:rPr>
        <w:fldChar w:fldCharType="end"/>
      </w:r>
      <w:r>
        <w:rPr>
          <w:sz w:val="21"/>
          <w:szCs w:val="21"/>
        </w:rPr>
        <w:fldChar w:fldCharType="end"/>
      </w:r>
    </w:p>
    <w:p w14:paraId="587683BE">
      <w:pPr>
        <w:pStyle w:val="3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1"/>
          <w:szCs w:val="21"/>
        </w:rPr>
      </w:pPr>
      <w:r>
        <w:rPr>
          <w:sz w:val="21"/>
          <w:szCs w:val="21"/>
        </w:rPr>
        <w:fldChar w:fldCharType="begin"/>
      </w:r>
      <w:r>
        <w:rPr>
          <w:sz w:val="21"/>
          <w:szCs w:val="21"/>
        </w:rPr>
        <w:instrText xml:space="preserve"> HYPERLINK \l _Toc9079 </w:instrText>
      </w:r>
      <w:r>
        <w:rPr>
          <w:sz w:val="21"/>
          <w:szCs w:val="21"/>
        </w:rPr>
        <w:fldChar w:fldCharType="separate"/>
      </w:r>
      <w:r>
        <w:rPr>
          <w:rFonts w:hint="eastAsia" w:ascii="宋体"/>
          <w:bCs/>
          <w:kern w:val="0"/>
          <w:sz w:val="21"/>
          <w:szCs w:val="40"/>
        </w:rPr>
        <w:t xml:space="preserve">第四章 </w:t>
      </w:r>
      <w:r>
        <w:rPr>
          <w:rFonts w:hint="eastAsia" w:ascii="宋体" w:hAnsi="宋体" w:cs="宋体"/>
          <w:bCs/>
          <w:kern w:val="0"/>
          <w:sz w:val="21"/>
          <w:szCs w:val="40"/>
        </w:rPr>
        <w:t>评标方法及标准</w:t>
      </w:r>
      <w:r>
        <w:rPr>
          <w:sz w:val="21"/>
          <w:szCs w:val="21"/>
        </w:rPr>
        <w:tab/>
      </w:r>
      <w:r>
        <w:rPr>
          <w:sz w:val="21"/>
          <w:szCs w:val="21"/>
        </w:rPr>
        <w:fldChar w:fldCharType="begin"/>
      </w:r>
      <w:r>
        <w:rPr>
          <w:sz w:val="21"/>
          <w:szCs w:val="21"/>
        </w:rPr>
        <w:instrText xml:space="preserve"> PAGEREF _Toc9079 \h </w:instrText>
      </w:r>
      <w:r>
        <w:rPr>
          <w:sz w:val="21"/>
          <w:szCs w:val="21"/>
        </w:rPr>
        <w:fldChar w:fldCharType="separate"/>
      </w:r>
      <w:r>
        <w:rPr>
          <w:sz w:val="21"/>
          <w:szCs w:val="21"/>
        </w:rPr>
        <w:t>27</w:t>
      </w:r>
      <w:r>
        <w:rPr>
          <w:sz w:val="21"/>
          <w:szCs w:val="21"/>
        </w:rPr>
        <w:fldChar w:fldCharType="end"/>
      </w:r>
      <w:r>
        <w:rPr>
          <w:sz w:val="21"/>
          <w:szCs w:val="21"/>
        </w:rPr>
        <w:fldChar w:fldCharType="end"/>
      </w:r>
    </w:p>
    <w:p w14:paraId="1B1D2C50">
      <w:pPr>
        <w:pStyle w:val="3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1"/>
          <w:szCs w:val="21"/>
        </w:rPr>
      </w:pPr>
      <w:r>
        <w:rPr>
          <w:sz w:val="21"/>
          <w:szCs w:val="21"/>
        </w:rPr>
        <w:fldChar w:fldCharType="begin"/>
      </w:r>
      <w:r>
        <w:rPr>
          <w:sz w:val="21"/>
          <w:szCs w:val="21"/>
        </w:rPr>
        <w:instrText xml:space="preserve"> HYPERLINK \l _Toc21415 </w:instrText>
      </w:r>
      <w:r>
        <w:rPr>
          <w:sz w:val="21"/>
          <w:szCs w:val="21"/>
        </w:rPr>
        <w:fldChar w:fldCharType="separate"/>
      </w:r>
      <w:r>
        <w:rPr>
          <w:rFonts w:hint="eastAsia" w:ascii="宋体" w:hAnsi="宋体" w:cs="宋体"/>
          <w:bCs w:val="0"/>
          <w:kern w:val="2"/>
          <w:sz w:val="21"/>
          <w:szCs w:val="36"/>
        </w:rPr>
        <w:t>一、总则</w:t>
      </w:r>
      <w:r>
        <w:rPr>
          <w:sz w:val="21"/>
          <w:szCs w:val="21"/>
        </w:rPr>
        <w:tab/>
      </w:r>
      <w:r>
        <w:rPr>
          <w:sz w:val="21"/>
          <w:szCs w:val="21"/>
        </w:rPr>
        <w:fldChar w:fldCharType="begin"/>
      </w:r>
      <w:r>
        <w:rPr>
          <w:sz w:val="21"/>
          <w:szCs w:val="21"/>
        </w:rPr>
        <w:instrText xml:space="preserve"> PAGEREF _Toc21415 \h </w:instrText>
      </w:r>
      <w:r>
        <w:rPr>
          <w:sz w:val="21"/>
          <w:szCs w:val="21"/>
        </w:rPr>
        <w:fldChar w:fldCharType="separate"/>
      </w:r>
      <w:r>
        <w:rPr>
          <w:sz w:val="21"/>
          <w:szCs w:val="21"/>
        </w:rPr>
        <w:t>27</w:t>
      </w:r>
      <w:r>
        <w:rPr>
          <w:sz w:val="21"/>
          <w:szCs w:val="21"/>
        </w:rPr>
        <w:fldChar w:fldCharType="end"/>
      </w:r>
      <w:r>
        <w:rPr>
          <w:sz w:val="21"/>
          <w:szCs w:val="21"/>
        </w:rPr>
        <w:fldChar w:fldCharType="end"/>
      </w:r>
    </w:p>
    <w:p w14:paraId="08BB38BD">
      <w:pPr>
        <w:pStyle w:val="3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1"/>
          <w:szCs w:val="21"/>
        </w:rPr>
      </w:pPr>
      <w:r>
        <w:rPr>
          <w:sz w:val="21"/>
          <w:szCs w:val="21"/>
        </w:rPr>
        <w:fldChar w:fldCharType="begin"/>
      </w:r>
      <w:r>
        <w:rPr>
          <w:sz w:val="21"/>
          <w:szCs w:val="21"/>
        </w:rPr>
        <w:instrText xml:space="preserve"> HYPERLINK \l _Toc29266 </w:instrText>
      </w:r>
      <w:r>
        <w:rPr>
          <w:sz w:val="21"/>
          <w:szCs w:val="21"/>
        </w:rPr>
        <w:fldChar w:fldCharType="separate"/>
      </w:r>
      <w:r>
        <w:rPr>
          <w:rFonts w:hint="eastAsia" w:hAnsi="宋体"/>
          <w:bCs/>
          <w:sz w:val="21"/>
          <w:szCs w:val="36"/>
        </w:rPr>
        <w:t>二、评标程序</w:t>
      </w:r>
      <w:r>
        <w:rPr>
          <w:sz w:val="21"/>
          <w:szCs w:val="21"/>
        </w:rPr>
        <w:tab/>
      </w:r>
      <w:r>
        <w:rPr>
          <w:sz w:val="21"/>
          <w:szCs w:val="21"/>
        </w:rPr>
        <w:fldChar w:fldCharType="begin"/>
      </w:r>
      <w:r>
        <w:rPr>
          <w:sz w:val="21"/>
          <w:szCs w:val="21"/>
        </w:rPr>
        <w:instrText xml:space="preserve"> PAGEREF _Toc29266 \h </w:instrText>
      </w:r>
      <w:r>
        <w:rPr>
          <w:sz w:val="21"/>
          <w:szCs w:val="21"/>
        </w:rPr>
        <w:fldChar w:fldCharType="separate"/>
      </w:r>
      <w:r>
        <w:rPr>
          <w:sz w:val="21"/>
          <w:szCs w:val="21"/>
        </w:rPr>
        <w:t>31</w:t>
      </w:r>
      <w:r>
        <w:rPr>
          <w:sz w:val="21"/>
          <w:szCs w:val="21"/>
        </w:rPr>
        <w:fldChar w:fldCharType="end"/>
      </w:r>
      <w:r>
        <w:rPr>
          <w:sz w:val="21"/>
          <w:szCs w:val="21"/>
        </w:rPr>
        <w:fldChar w:fldCharType="end"/>
      </w:r>
    </w:p>
    <w:p w14:paraId="5BEDE173">
      <w:pPr>
        <w:pStyle w:val="3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1"/>
          <w:szCs w:val="21"/>
        </w:rPr>
      </w:pPr>
      <w:r>
        <w:rPr>
          <w:sz w:val="21"/>
          <w:szCs w:val="21"/>
        </w:rPr>
        <w:fldChar w:fldCharType="begin"/>
      </w:r>
      <w:r>
        <w:rPr>
          <w:sz w:val="21"/>
          <w:szCs w:val="21"/>
        </w:rPr>
        <w:instrText xml:space="preserve"> HYPERLINK \l _Toc20818 </w:instrText>
      </w:r>
      <w:r>
        <w:rPr>
          <w:sz w:val="21"/>
          <w:szCs w:val="21"/>
        </w:rPr>
        <w:fldChar w:fldCharType="separate"/>
      </w:r>
      <w:r>
        <w:rPr>
          <w:rFonts w:hint="eastAsia" w:ascii="宋体"/>
          <w:bCs/>
          <w:kern w:val="0"/>
          <w:sz w:val="21"/>
          <w:szCs w:val="40"/>
        </w:rPr>
        <w:t xml:space="preserve">第五章 </w:t>
      </w:r>
      <w:r>
        <w:rPr>
          <w:rFonts w:hint="eastAsia" w:ascii="宋体" w:hAnsi="宋体" w:cs="宋体"/>
          <w:bCs/>
          <w:kern w:val="0"/>
          <w:sz w:val="21"/>
          <w:szCs w:val="40"/>
        </w:rPr>
        <w:t>投标文件格式</w:t>
      </w:r>
      <w:r>
        <w:rPr>
          <w:sz w:val="21"/>
          <w:szCs w:val="21"/>
        </w:rPr>
        <w:tab/>
      </w:r>
      <w:r>
        <w:rPr>
          <w:sz w:val="21"/>
          <w:szCs w:val="21"/>
        </w:rPr>
        <w:fldChar w:fldCharType="begin"/>
      </w:r>
      <w:r>
        <w:rPr>
          <w:sz w:val="21"/>
          <w:szCs w:val="21"/>
        </w:rPr>
        <w:instrText xml:space="preserve"> PAGEREF _Toc20818 \h </w:instrText>
      </w:r>
      <w:r>
        <w:rPr>
          <w:sz w:val="21"/>
          <w:szCs w:val="21"/>
        </w:rPr>
        <w:fldChar w:fldCharType="separate"/>
      </w:r>
      <w:r>
        <w:rPr>
          <w:sz w:val="21"/>
          <w:szCs w:val="21"/>
        </w:rPr>
        <w:t>34</w:t>
      </w:r>
      <w:r>
        <w:rPr>
          <w:sz w:val="21"/>
          <w:szCs w:val="21"/>
        </w:rPr>
        <w:fldChar w:fldCharType="end"/>
      </w:r>
      <w:r>
        <w:rPr>
          <w:sz w:val="21"/>
          <w:szCs w:val="21"/>
        </w:rPr>
        <w:fldChar w:fldCharType="end"/>
      </w:r>
    </w:p>
    <w:p w14:paraId="31615E17">
      <w:pPr>
        <w:pStyle w:val="3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1"/>
          <w:szCs w:val="21"/>
        </w:rPr>
      </w:pPr>
      <w:r>
        <w:rPr>
          <w:sz w:val="21"/>
          <w:szCs w:val="21"/>
        </w:rPr>
        <w:fldChar w:fldCharType="begin"/>
      </w:r>
      <w:r>
        <w:rPr>
          <w:sz w:val="21"/>
          <w:szCs w:val="21"/>
        </w:rPr>
        <w:instrText xml:space="preserve"> HYPERLINK \l _Toc26944 </w:instrText>
      </w:r>
      <w:r>
        <w:rPr>
          <w:sz w:val="21"/>
          <w:szCs w:val="21"/>
        </w:rPr>
        <w:fldChar w:fldCharType="separate"/>
      </w:r>
      <w:r>
        <w:rPr>
          <w:rFonts w:hint="eastAsia" w:ascii="宋体" w:hAnsi="宋体" w:cs="宋体"/>
          <w:sz w:val="21"/>
          <w:szCs w:val="32"/>
        </w:rPr>
        <w:t>一、投标文件封面</w:t>
      </w:r>
      <w:r>
        <w:rPr>
          <w:sz w:val="21"/>
          <w:szCs w:val="21"/>
        </w:rPr>
        <w:tab/>
      </w:r>
      <w:r>
        <w:rPr>
          <w:sz w:val="21"/>
          <w:szCs w:val="21"/>
        </w:rPr>
        <w:fldChar w:fldCharType="begin"/>
      </w:r>
      <w:r>
        <w:rPr>
          <w:sz w:val="21"/>
          <w:szCs w:val="21"/>
        </w:rPr>
        <w:instrText xml:space="preserve"> PAGEREF _Toc26944 \h </w:instrText>
      </w:r>
      <w:r>
        <w:rPr>
          <w:sz w:val="21"/>
          <w:szCs w:val="21"/>
        </w:rPr>
        <w:fldChar w:fldCharType="separate"/>
      </w:r>
      <w:r>
        <w:rPr>
          <w:sz w:val="21"/>
          <w:szCs w:val="21"/>
        </w:rPr>
        <w:t>34</w:t>
      </w:r>
      <w:r>
        <w:rPr>
          <w:sz w:val="21"/>
          <w:szCs w:val="21"/>
        </w:rPr>
        <w:fldChar w:fldCharType="end"/>
      </w:r>
      <w:r>
        <w:rPr>
          <w:sz w:val="21"/>
          <w:szCs w:val="21"/>
        </w:rPr>
        <w:fldChar w:fldCharType="end"/>
      </w:r>
    </w:p>
    <w:p w14:paraId="3B492B5B">
      <w:pPr>
        <w:pStyle w:val="3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1"/>
          <w:szCs w:val="21"/>
        </w:rPr>
      </w:pPr>
      <w:r>
        <w:rPr>
          <w:sz w:val="21"/>
          <w:szCs w:val="21"/>
        </w:rPr>
        <w:fldChar w:fldCharType="begin"/>
      </w:r>
      <w:r>
        <w:rPr>
          <w:sz w:val="21"/>
          <w:szCs w:val="21"/>
        </w:rPr>
        <w:instrText xml:space="preserve"> HYPERLINK \l _Toc4316 </w:instrText>
      </w:r>
      <w:r>
        <w:rPr>
          <w:sz w:val="21"/>
          <w:szCs w:val="21"/>
        </w:rPr>
        <w:fldChar w:fldCharType="separate"/>
      </w:r>
      <w:r>
        <w:rPr>
          <w:rFonts w:hint="eastAsia" w:ascii="宋体" w:hAnsi="宋体" w:cs="宋体"/>
          <w:bCs w:val="0"/>
          <w:kern w:val="2"/>
          <w:sz w:val="21"/>
          <w:szCs w:val="32"/>
          <w:lang w:val="en-US" w:eastAsia="zh-CN"/>
        </w:rPr>
        <w:t>二</w:t>
      </w:r>
      <w:r>
        <w:rPr>
          <w:rFonts w:hint="eastAsia" w:ascii="宋体" w:hAnsi="宋体" w:cs="宋体"/>
          <w:bCs w:val="0"/>
          <w:kern w:val="2"/>
          <w:sz w:val="21"/>
          <w:szCs w:val="32"/>
        </w:rPr>
        <w:t>、</w:t>
      </w:r>
      <w:r>
        <w:rPr>
          <w:rFonts w:hint="eastAsia" w:ascii="宋体" w:hAnsi="宋体" w:eastAsia="宋体" w:cs="宋体"/>
          <w:bCs w:val="0"/>
          <w:kern w:val="2"/>
          <w:sz w:val="21"/>
          <w:szCs w:val="32"/>
          <w:lang w:val="en-US" w:eastAsia="zh-CN" w:bidi="ar-SA"/>
        </w:rPr>
        <w:t>投 标 函</w:t>
      </w:r>
      <w:r>
        <w:rPr>
          <w:sz w:val="21"/>
          <w:szCs w:val="21"/>
        </w:rPr>
        <w:tab/>
      </w:r>
      <w:r>
        <w:rPr>
          <w:sz w:val="21"/>
          <w:szCs w:val="21"/>
        </w:rPr>
        <w:fldChar w:fldCharType="begin"/>
      </w:r>
      <w:r>
        <w:rPr>
          <w:sz w:val="21"/>
          <w:szCs w:val="21"/>
        </w:rPr>
        <w:instrText xml:space="preserve"> PAGEREF _Toc4316 \h </w:instrText>
      </w:r>
      <w:r>
        <w:rPr>
          <w:sz w:val="21"/>
          <w:szCs w:val="21"/>
        </w:rPr>
        <w:fldChar w:fldCharType="separate"/>
      </w:r>
      <w:r>
        <w:rPr>
          <w:sz w:val="21"/>
          <w:szCs w:val="21"/>
        </w:rPr>
        <w:t>35</w:t>
      </w:r>
      <w:r>
        <w:rPr>
          <w:sz w:val="21"/>
          <w:szCs w:val="21"/>
        </w:rPr>
        <w:fldChar w:fldCharType="end"/>
      </w:r>
      <w:r>
        <w:rPr>
          <w:sz w:val="21"/>
          <w:szCs w:val="21"/>
        </w:rPr>
        <w:fldChar w:fldCharType="end"/>
      </w:r>
    </w:p>
    <w:p w14:paraId="2B27C777">
      <w:pPr>
        <w:pStyle w:val="3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1"/>
          <w:szCs w:val="21"/>
        </w:rPr>
      </w:pPr>
      <w:r>
        <w:rPr>
          <w:sz w:val="21"/>
          <w:szCs w:val="21"/>
        </w:rPr>
        <w:fldChar w:fldCharType="begin"/>
      </w:r>
      <w:r>
        <w:rPr>
          <w:sz w:val="21"/>
          <w:szCs w:val="21"/>
        </w:rPr>
        <w:instrText xml:space="preserve"> HYPERLINK \l _Toc24899 </w:instrText>
      </w:r>
      <w:r>
        <w:rPr>
          <w:sz w:val="21"/>
          <w:szCs w:val="21"/>
        </w:rPr>
        <w:fldChar w:fldCharType="separate"/>
      </w:r>
      <w:r>
        <w:rPr>
          <w:rFonts w:hint="eastAsia" w:ascii="宋体" w:hAnsi="宋体" w:cs="宋体"/>
          <w:bCs w:val="0"/>
          <w:kern w:val="2"/>
          <w:sz w:val="21"/>
          <w:szCs w:val="32"/>
          <w:lang w:val="en-US" w:eastAsia="zh-CN"/>
        </w:rPr>
        <w:t>三</w:t>
      </w:r>
      <w:r>
        <w:rPr>
          <w:rFonts w:hint="eastAsia" w:ascii="宋体" w:hAnsi="宋体" w:cs="宋体"/>
          <w:bCs w:val="0"/>
          <w:kern w:val="2"/>
          <w:sz w:val="21"/>
          <w:szCs w:val="32"/>
        </w:rPr>
        <w:t>、开标一览表</w:t>
      </w:r>
      <w:r>
        <w:rPr>
          <w:sz w:val="21"/>
          <w:szCs w:val="21"/>
        </w:rPr>
        <w:tab/>
      </w:r>
      <w:r>
        <w:rPr>
          <w:sz w:val="21"/>
          <w:szCs w:val="21"/>
        </w:rPr>
        <w:fldChar w:fldCharType="begin"/>
      </w:r>
      <w:r>
        <w:rPr>
          <w:sz w:val="21"/>
          <w:szCs w:val="21"/>
        </w:rPr>
        <w:instrText xml:space="preserve"> PAGEREF _Toc24899 \h </w:instrText>
      </w:r>
      <w:r>
        <w:rPr>
          <w:sz w:val="21"/>
          <w:szCs w:val="21"/>
        </w:rPr>
        <w:fldChar w:fldCharType="separate"/>
      </w:r>
      <w:r>
        <w:rPr>
          <w:sz w:val="21"/>
          <w:szCs w:val="21"/>
        </w:rPr>
        <w:t>37</w:t>
      </w:r>
      <w:r>
        <w:rPr>
          <w:sz w:val="21"/>
          <w:szCs w:val="21"/>
        </w:rPr>
        <w:fldChar w:fldCharType="end"/>
      </w:r>
      <w:r>
        <w:rPr>
          <w:sz w:val="21"/>
          <w:szCs w:val="21"/>
        </w:rPr>
        <w:fldChar w:fldCharType="end"/>
      </w:r>
    </w:p>
    <w:p w14:paraId="25934F23">
      <w:pPr>
        <w:pStyle w:val="3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1"/>
          <w:szCs w:val="21"/>
        </w:rPr>
      </w:pPr>
      <w:r>
        <w:rPr>
          <w:sz w:val="21"/>
          <w:szCs w:val="21"/>
        </w:rPr>
        <w:fldChar w:fldCharType="begin"/>
      </w:r>
      <w:r>
        <w:rPr>
          <w:sz w:val="21"/>
          <w:szCs w:val="21"/>
        </w:rPr>
        <w:instrText xml:space="preserve"> HYPERLINK \l _Toc6666 </w:instrText>
      </w:r>
      <w:r>
        <w:rPr>
          <w:sz w:val="21"/>
          <w:szCs w:val="21"/>
        </w:rPr>
        <w:fldChar w:fldCharType="separate"/>
      </w:r>
      <w:r>
        <w:rPr>
          <w:rFonts w:hint="eastAsia" w:ascii="宋体" w:hAnsi="宋体" w:cs="宋体"/>
          <w:bCs w:val="0"/>
          <w:kern w:val="2"/>
          <w:sz w:val="21"/>
          <w:szCs w:val="32"/>
          <w:lang w:val="en-US" w:eastAsia="zh-CN"/>
        </w:rPr>
        <w:t>四</w:t>
      </w:r>
      <w:r>
        <w:rPr>
          <w:rFonts w:hint="eastAsia" w:ascii="宋体" w:hAnsi="宋体" w:cs="宋体"/>
          <w:bCs w:val="0"/>
          <w:kern w:val="2"/>
          <w:sz w:val="21"/>
          <w:szCs w:val="32"/>
        </w:rPr>
        <w:t>、</w:t>
      </w:r>
      <w:r>
        <w:rPr>
          <w:rFonts w:hint="eastAsia" w:ascii="宋体" w:hAnsi="宋体" w:cs="宋体"/>
          <w:bCs w:val="0"/>
          <w:kern w:val="2"/>
          <w:sz w:val="21"/>
          <w:szCs w:val="32"/>
          <w:lang w:val="en-US" w:eastAsia="zh-CN"/>
        </w:rPr>
        <w:t>报价明细</w:t>
      </w:r>
      <w:r>
        <w:rPr>
          <w:rFonts w:hint="eastAsia" w:ascii="宋体" w:hAnsi="宋体" w:cs="宋体"/>
          <w:bCs w:val="0"/>
          <w:kern w:val="2"/>
          <w:sz w:val="21"/>
          <w:szCs w:val="32"/>
        </w:rPr>
        <w:t>表</w:t>
      </w:r>
      <w:r>
        <w:rPr>
          <w:sz w:val="21"/>
          <w:szCs w:val="21"/>
        </w:rPr>
        <w:tab/>
      </w:r>
      <w:r>
        <w:rPr>
          <w:sz w:val="21"/>
          <w:szCs w:val="21"/>
        </w:rPr>
        <w:fldChar w:fldCharType="begin"/>
      </w:r>
      <w:r>
        <w:rPr>
          <w:sz w:val="21"/>
          <w:szCs w:val="21"/>
        </w:rPr>
        <w:instrText xml:space="preserve"> PAGEREF _Toc6666 \h </w:instrText>
      </w:r>
      <w:r>
        <w:rPr>
          <w:sz w:val="21"/>
          <w:szCs w:val="21"/>
        </w:rPr>
        <w:fldChar w:fldCharType="separate"/>
      </w:r>
      <w:r>
        <w:rPr>
          <w:sz w:val="21"/>
          <w:szCs w:val="21"/>
        </w:rPr>
        <w:t>38</w:t>
      </w:r>
      <w:r>
        <w:rPr>
          <w:sz w:val="21"/>
          <w:szCs w:val="21"/>
        </w:rPr>
        <w:fldChar w:fldCharType="end"/>
      </w:r>
      <w:r>
        <w:rPr>
          <w:sz w:val="21"/>
          <w:szCs w:val="21"/>
        </w:rPr>
        <w:fldChar w:fldCharType="end"/>
      </w:r>
    </w:p>
    <w:p w14:paraId="16A38172">
      <w:pPr>
        <w:pStyle w:val="3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1"/>
          <w:szCs w:val="21"/>
        </w:rPr>
      </w:pPr>
      <w:r>
        <w:rPr>
          <w:sz w:val="21"/>
          <w:szCs w:val="21"/>
        </w:rPr>
        <w:fldChar w:fldCharType="begin"/>
      </w:r>
      <w:r>
        <w:rPr>
          <w:sz w:val="21"/>
          <w:szCs w:val="21"/>
        </w:rPr>
        <w:instrText xml:space="preserve"> HYPERLINK \l _Toc12979 </w:instrText>
      </w:r>
      <w:r>
        <w:rPr>
          <w:sz w:val="21"/>
          <w:szCs w:val="21"/>
        </w:rPr>
        <w:fldChar w:fldCharType="separate"/>
      </w:r>
      <w:r>
        <w:rPr>
          <w:rFonts w:hint="eastAsia" w:ascii="宋体" w:hAnsi="宋体" w:cs="宋体"/>
          <w:bCs w:val="0"/>
          <w:kern w:val="2"/>
          <w:sz w:val="21"/>
          <w:szCs w:val="32"/>
          <w:lang w:val="en-US" w:eastAsia="zh-CN"/>
        </w:rPr>
        <w:t>五</w:t>
      </w:r>
      <w:r>
        <w:rPr>
          <w:rFonts w:hint="eastAsia" w:ascii="宋体" w:hAnsi="宋体" w:cs="宋体"/>
          <w:bCs w:val="0"/>
          <w:kern w:val="2"/>
          <w:sz w:val="21"/>
          <w:szCs w:val="32"/>
        </w:rPr>
        <w:t>、投标人资格证明文件</w:t>
      </w:r>
      <w:r>
        <w:rPr>
          <w:sz w:val="21"/>
          <w:szCs w:val="21"/>
        </w:rPr>
        <w:tab/>
      </w:r>
      <w:r>
        <w:rPr>
          <w:sz w:val="21"/>
          <w:szCs w:val="21"/>
        </w:rPr>
        <w:fldChar w:fldCharType="begin"/>
      </w:r>
      <w:r>
        <w:rPr>
          <w:sz w:val="21"/>
          <w:szCs w:val="21"/>
        </w:rPr>
        <w:instrText xml:space="preserve"> PAGEREF _Toc12979 \h </w:instrText>
      </w:r>
      <w:r>
        <w:rPr>
          <w:sz w:val="21"/>
          <w:szCs w:val="21"/>
        </w:rPr>
        <w:fldChar w:fldCharType="separate"/>
      </w:r>
      <w:r>
        <w:rPr>
          <w:sz w:val="21"/>
          <w:szCs w:val="21"/>
        </w:rPr>
        <w:t>39</w:t>
      </w:r>
      <w:r>
        <w:rPr>
          <w:sz w:val="21"/>
          <w:szCs w:val="21"/>
        </w:rPr>
        <w:fldChar w:fldCharType="end"/>
      </w:r>
      <w:r>
        <w:rPr>
          <w:sz w:val="21"/>
          <w:szCs w:val="21"/>
        </w:rPr>
        <w:fldChar w:fldCharType="end"/>
      </w:r>
    </w:p>
    <w:p w14:paraId="434A5C53">
      <w:pPr>
        <w:pStyle w:val="3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1"/>
          <w:szCs w:val="21"/>
        </w:rPr>
      </w:pPr>
      <w:r>
        <w:rPr>
          <w:sz w:val="21"/>
          <w:szCs w:val="21"/>
        </w:rPr>
        <w:fldChar w:fldCharType="begin"/>
      </w:r>
      <w:r>
        <w:rPr>
          <w:sz w:val="21"/>
          <w:szCs w:val="21"/>
        </w:rPr>
        <w:instrText xml:space="preserve"> HYPERLINK \l _Toc9740 </w:instrText>
      </w:r>
      <w:r>
        <w:rPr>
          <w:sz w:val="21"/>
          <w:szCs w:val="21"/>
        </w:rPr>
        <w:fldChar w:fldCharType="separate"/>
      </w:r>
      <w:r>
        <w:rPr>
          <w:rFonts w:hint="eastAsia" w:hAnsi="宋体"/>
          <w:kern w:val="2"/>
          <w:sz w:val="21"/>
          <w:szCs w:val="32"/>
          <w:highlight w:val="none"/>
          <w:lang w:val="en-US" w:eastAsia="zh-CN"/>
        </w:rPr>
        <w:t>六</w:t>
      </w:r>
      <w:r>
        <w:rPr>
          <w:rFonts w:hint="eastAsia" w:hAnsi="宋体"/>
          <w:kern w:val="2"/>
          <w:sz w:val="21"/>
          <w:szCs w:val="32"/>
          <w:highlight w:val="none"/>
        </w:rPr>
        <w:t>、投标人及其投标产品的相关资料和业绩证明材料</w:t>
      </w:r>
      <w:r>
        <w:rPr>
          <w:sz w:val="21"/>
          <w:szCs w:val="21"/>
        </w:rPr>
        <w:tab/>
      </w:r>
      <w:r>
        <w:rPr>
          <w:sz w:val="21"/>
          <w:szCs w:val="21"/>
        </w:rPr>
        <w:fldChar w:fldCharType="begin"/>
      </w:r>
      <w:r>
        <w:rPr>
          <w:sz w:val="21"/>
          <w:szCs w:val="21"/>
        </w:rPr>
        <w:instrText xml:space="preserve"> PAGEREF _Toc9740 \h </w:instrText>
      </w:r>
      <w:r>
        <w:rPr>
          <w:sz w:val="21"/>
          <w:szCs w:val="21"/>
        </w:rPr>
        <w:fldChar w:fldCharType="separate"/>
      </w:r>
      <w:r>
        <w:rPr>
          <w:sz w:val="21"/>
          <w:szCs w:val="21"/>
        </w:rPr>
        <w:t>44</w:t>
      </w:r>
      <w:r>
        <w:rPr>
          <w:sz w:val="21"/>
          <w:szCs w:val="21"/>
        </w:rPr>
        <w:fldChar w:fldCharType="end"/>
      </w:r>
      <w:r>
        <w:rPr>
          <w:sz w:val="21"/>
          <w:szCs w:val="21"/>
        </w:rPr>
        <w:fldChar w:fldCharType="end"/>
      </w:r>
    </w:p>
    <w:p w14:paraId="7019C91E">
      <w:pPr>
        <w:pStyle w:val="3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1"/>
          <w:szCs w:val="21"/>
        </w:rPr>
      </w:pPr>
      <w:r>
        <w:rPr>
          <w:sz w:val="21"/>
          <w:szCs w:val="21"/>
        </w:rPr>
        <w:fldChar w:fldCharType="begin"/>
      </w:r>
      <w:r>
        <w:rPr>
          <w:sz w:val="21"/>
          <w:szCs w:val="21"/>
        </w:rPr>
        <w:instrText xml:space="preserve"> HYPERLINK \l _Toc13304 </w:instrText>
      </w:r>
      <w:r>
        <w:rPr>
          <w:sz w:val="21"/>
          <w:szCs w:val="21"/>
        </w:rPr>
        <w:fldChar w:fldCharType="separate"/>
      </w:r>
      <w:r>
        <w:rPr>
          <w:rFonts w:hint="eastAsia" w:ascii="宋体" w:hAnsi="宋体" w:cs="宋体"/>
          <w:bCs w:val="0"/>
          <w:kern w:val="2"/>
          <w:sz w:val="21"/>
          <w:szCs w:val="32"/>
          <w:lang w:val="en-US" w:eastAsia="zh-CN"/>
        </w:rPr>
        <w:t>七</w:t>
      </w:r>
      <w:r>
        <w:rPr>
          <w:rFonts w:hint="eastAsia" w:ascii="宋体" w:hAnsi="宋体" w:cs="宋体"/>
          <w:bCs w:val="0"/>
          <w:kern w:val="2"/>
          <w:sz w:val="21"/>
          <w:szCs w:val="32"/>
        </w:rPr>
        <w:t>、商务响应表</w:t>
      </w:r>
      <w:r>
        <w:rPr>
          <w:sz w:val="21"/>
          <w:szCs w:val="21"/>
        </w:rPr>
        <w:tab/>
      </w:r>
      <w:r>
        <w:rPr>
          <w:sz w:val="21"/>
          <w:szCs w:val="21"/>
        </w:rPr>
        <w:fldChar w:fldCharType="begin"/>
      </w:r>
      <w:r>
        <w:rPr>
          <w:sz w:val="21"/>
          <w:szCs w:val="21"/>
        </w:rPr>
        <w:instrText xml:space="preserve"> PAGEREF _Toc13304 \h </w:instrText>
      </w:r>
      <w:r>
        <w:rPr>
          <w:sz w:val="21"/>
          <w:szCs w:val="21"/>
        </w:rPr>
        <w:fldChar w:fldCharType="separate"/>
      </w:r>
      <w:r>
        <w:rPr>
          <w:sz w:val="21"/>
          <w:szCs w:val="21"/>
        </w:rPr>
        <w:t>45</w:t>
      </w:r>
      <w:r>
        <w:rPr>
          <w:sz w:val="21"/>
          <w:szCs w:val="21"/>
        </w:rPr>
        <w:fldChar w:fldCharType="end"/>
      </w:r>
      <w:r>
        <w:rPr>
          <w:sz w:val="21"/>
          <w:szCs w:val="21"/>
        </w:rPr>
        <w:fldChar w:fldCharType="end"/>
      </w:r>
    </w:p>
    <w:p w14:paraId="3459D7D9">
      <w:pPr>
        <w:pStyle w:val="3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1"/>
          <w:szCs w:val="21"/>
        </w:rPr>
      </w:pPr>
      <w:r>
        <w:rPr>
          <w:sz w:val="21"/>
          <w:szCs w:val="21"/>
        </w:rPr>
        <w:fldChar w:fldCharType="begin"/>
      </w:r>
      <w:r>
        <w:rPr>
          <w:sz w:val="21"/>
          <w:szCs w:val="21"/>
        </w:rPr>
        <w:instrText xml:space="preserve"> HYPERLINK \l _Toc122 </w:instrText>
      </w:r>
      <w:r>
        <w:rPr>
          <w:sz w:val="21"/>
          <w:szCs w:val="21"/>
        </w:rPr>
        <w:fldChar w:fldCharType="separate"/>
      </w:r>
      <w:r>
        <w:rPr>
          <w:rFonts w:hint="eastAsia"/>
          <w:sz w:val="21"/>
          <w:szCs w:val="32"/>
          <w:highlight w:val="none"/>
          <w:lang w:val="en-US" w:eastAsia="zh-CN"/>
        </w:rPr>
        <w:t>八</w:t>
      </w:r>
      <w:r>
        <w:rPr>
          <w:rFonts w:hint="eastAsia"/>
          <w:sz w:val="21"/>
          <w:szCs w:val="32"/>
          <w:highlight w:val="none"/>
        </w:rPr>
        <w:t>、</w:t>
      </w:r>
      <w:r>
        <w:rPr>
          <w:rFonts w:hint="eastAsia"/>
          <w:bCs/>
          <w:sz w:val="21"/>
          <w:szCs w:val="32"/>
          <w:highlight w:val="none"/>
        </w:rPr>
        <w:t>售后服务承诺</w:t>
      </w:r>
      <w:r>
        <w:rPr>
          <w:sz w:val="21"/>
          <w:szCs w:val="21"/>
        </w:rPr>
        <w:tab/>
      </w:r>
      <w:r>
        <w:rPr>
          <w:sz w:val="21"/>
          <w:szCs w:val="21"/>
        </w:rPr>
        <w:fldChar w:fldCharType="begin"/>
      </w:r>
      <w:r>
        <w:rPr>
          <w:sz w:val="21"/>
          <w:szCs w:val="21"/>
        </w:rPr>
        <w:instrText xml:space="preserve"> PAGEREF _Toc122 \h </w:instrText>
      </w:r>
      <w:r>
        <w:rPr>
          <w:sz w:val="21"/>
          <w:szCs w:val="21"/>
        </w:rPr>
        <w:fldChar w:fldCharType="separate"/>
      </w:r>
      <w:r>
        <w:rPr>
          <w:sz w:val="21"/>
          <w:szCs w:val="21"/>
        </w:rPr>
        <w:t>46</w:t>
      </w:r>
      <w:r>
        <w:rPr>
          <w:sz w:val="21"/>
          <w:szCs w:val="21"/>
        </w:rPr>
        <w:fldChar w:fldCharType="end"/>
      </w:r>
      <w:r>
        <w:rPr>
          <w:sz w:val="21"/>
          <w:szCs w:val="21"/>
        </w:rPr>
        <w:fldChar w:fldCharType="end"/>
      </w:r>
    </w:p>
    <w:p w14:paraId="17B68638">
      <w:pPr>
        <w:pStyle w:val="3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1"/>
          <w:szCs w:val="21"/>
        </w:rPr>
      </w:pPr>
      <w:r>
        <w:rPr>
          <w:sz w:val="21"/>
          <w:szCs w:val="21"/>
        </w:rPr>
        <w:fldChar w:fldCharType="begin"/>
      </w:r>
      <w:r>
        <w:rPr>
          <w:sz w:val="21"/>
          <w:szCs w:val="21"/>
        </w:rPr>
        <w:instrText xml:space="preserve"> HYPERLINK \l _Toc9110 </w:instrText>
      </w:r>
      <w:r>
        <w:rPr>
          <w:sz w:val="21"/>
          <w:szCs w:val="21"/>
        </w:rPr>
        <w:fldChar w:fldCharType="separate"/>
      </w:r>
      <w:r>
        <w:rPr>
          <w:rFonts w:hint="eastAsia" w:ascii="宋体" w:hAnsi="宋体" w:cs="宋体"/>
          <w:bCs/>
          <w:kern w:val="2"/>
          <w:sz w:val="21"/>
          <w:szCs w:val="32"/>
          <w:lang w:val="en-US" w:eastAsia="zh-CN"/>
        </w:rPr>
        <w:t>九</w:t>
      </w:r>
      <w:r>
        <w:rPr>
          <w:rFonts w:hint="eastAsia" w:ascii="宋体" w:hAnsi="宋体" w:cs="宋体"/>
          <w:bCs/>
          <w:kern w:val="2"/>
          <w:sz w:val="21"/>
          <w:szCs w:val="32"/>
        </w:rPr>
        <w:t>、</w:t>
      </w:r>
      <w:r>
        <w:rPr>
          <w:rFonts w:hint="eastAsia" w:hAnsi="宋体"/>
          <w:bCs/>
          <w:sz w:val="21"/>
          <w:szCs w:val="32"/>
          <w:highlight w:val="none"/>
          <w:lang w:eastAsia="zh-CN"/>
        </w:rPr>
        <w:t>技术响应表</w:t>
      </w:r>
      <w:r>
        <w:rPr>
          <w:sz w:val="21"/>
          <w:szCs w:val="21"/>
        </w:rPr>
        <w:tab/>
      </w:r>
      <w:r>
        <w:rPr>
          <w:sz w:val="21"/>
          <w:szCs w:val="21"/>
        </w:rPr>
        <w:fldChar w:fldCharType="begin"/>
      </w:r>
      <w:r>
        <w:rPr>
          <w:sz w:val="21"/>
          <w:szCs w:val="21"/>
        </w:rPr>
        <w:instrText xml:space="preserve"> PAGEREF _Toc9110 \h </w:instrText>
      </w:r>
      <w:r>
        <w:rPr>
          <w:sz w:val="21"/>
          <w:szCs w:val="21"/>
        </w:rPr>
        <w:fldChar w:fldCharType="separate"/>
      </w:r>
      <w:r>
        <w:rPr>
          <w:sz w:val="21"/>
          <w:szCs w:val="21"/>
        </w:rPr>
        <w:t>47</w:t>
      </w:r>
      <w:r>
        <w:rPr>
          <w:sz w:val="21"/>
          <w:szCs w:val="21"/>
        </w:rPr>
        <w:fldChar w:fldCharType="end"/>
      </w:r>
      <w:r>
        <w:rPr>
          <w:sz w:val="21"/>
          <w:szCs w:val="21"/>
        </w:rPr>
        <w:fldChar w:fldCharType="end"/>
      </w:r>
    </w:p>
    <w:p w14:paraId="7800A16A">
      <w:pPr>
        <w:pStyle w:val="3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1"/>
          <w:szCs w:val="21"/>
        </w:rPr>
      </w:pPr>
      <w:r>
        <w:rPr>
          <w:sz w:val="21"/>
          <w:szCs w:val="21"/>
        </w:rPr>
        <w:fldChar w:fldCharType="begin"/>
      </w:r>
      <w:r>
        <w:rPr>
          <w:sz w:val="21"/>
          <w:szCs w:val="21"/>
        </w:rPr>
        <w:instrText xml:space="preserve"> HYPERLINK \l _Toc7688 </w:instrText>
      </w:r>
      <w:r>
        <w:rPr>
          <w:sz w:val="21"/>
          <w:szCs w:val="21"/>
        </w:rPr>
        <w:fldChar w:fldCharType="separate"/>
      </w:r>
      <w:r>
        <w:rPr>
          <w:rFonts w:hint="eastAsia" w:ascii="宋体" w:hAnsi="宋体" w:cs="宋体"/>
          <w:bCs/>
          <w:kern w:val="2"/>
          <w:sz w:val="21"/>
          <w:szCs w:val="32"/>
          <w:lang w:val="en-US" w:eastAsia="zh-CN"/>
        </w:rPr>
        <w:t>十</w:t>
      </w:r>
      <w:r>
        <w:rPr>
          <w:rFonts w:hint="eastAsia" w:ascii="宋体" w:hAnsi="宋体" w:cs="宋体"/>
          <w:bCs/>
          <w:kern w:val="2"/>
          <w:sz w:val="21"/>
          <w:szCs w:val="32"/>
        </w:rPr>
        <w:t>、</w:t>
      </w:r>
      <w:r>
        <w:rPr>
          <w:rFonts w:hint="eastAsia" w:ascii="宋体" w:hAnsi="宋体" w:eastAsia="宋体"/>
          <w:bCs/>
          <w:sz w:val="21"/>
          <w:szCs w:val="32"/>
          <w:highlight w:val="none"/>
          <w:lang w:eastAsia="zh-CN"/>
        </w:rPr>
        <w:t>投标产品详细配置</w:t>
      </w:r>
      <w:r>
        <w:rPr>
          <w:sz w:val="21"/>
          <w:szCs w:val="21"/>
        </w:rPr>
        <w:tab/>
      </w:r>
      <w:r>
        <w:rPr>
          <w:sz w:val="21"/>
          <w:szCs w:val="21"/>
        </w:rPr>
        <w:fldChar w:fldCharType="begin"/>
      </w:r>
      <w:r>
        <w:rPr>
          <w:sz w:val="21"/>
          <w:szCs w:val="21"/>
        </w:rPr>
        <w:instrText xml:space="preserve"> PAGEREF _Toc7688 \h </w:instrText>
      </w:r>
      <w:r>
        <w:rPr>
          <w:sz w:val="21"/>
          <w:szCs w:val="21"/>
        </w:rPr>
        <w:fldChar w:fldCharType="separate"/>
      </w:r>
      <w:r>
        <w:rPr>
          <w:sz w:val="21"/>
          <w:szCs w:val="21"/>
        </w:rPr>
        <w:t>48</w:t>
      </w:r>
      <w:r>
        <w:rPr>
          <w:sz w:val="21"/>
          <w:szCs w:val="21"/>
        </w:rPr>
        <w:fldChar w:fldCharType="end"/>
      </w:r>
      <w:r>
        <w:rPr>
          <w:sz w:val="21"/>
          <w:szCs w:val="21"/>
        </w:rPr>
        <w:fldChar w:fldCharType="end"/>
      </w:r>
    </w:p>
    <w:p w14:paraId="18D63B8A">
      <w:pPr>
        <w:pStyle w:val="3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pPr>
      <w:r>
        <w:rPr>
          <w:sz w:val="21"/>
          <w:szCs w:val="21"/>
        </w:rPr>
        <w:fldChar w:fldCharType="begin"/>
      </w:r>
      <w:r>
        <w:rPr>
          <w:sz w:val="21"/>
          <w:szCs w:val="21"/>
        </w:rPr>
        <w:instrText xml:space="preserve"> HYPERLINK \l _Toc23995 </w:instrText>
      </w:r>
      <w:r>
        <w:rPr>
          <w:sz w:val="21"/>
          <w:szCs w:val="21"/>
        </w:rPr>
        <w:fldChar w:fldCharType="separate"/>
      </w:r>
      <w:r>
        <w:rPr>
          <w:rFonts w:hint="eastAsia" w:ascii="宋体"/>
          <w:bCs/>
          <w:kern w:val="0"/>
          <w:sz w:val="21"/>
          <w:szCs w:val="40"/>
        </w:rPr>
        <w:t xml:space="preserve">第六章 </w:t>
      </w:r>
      <w:r>
        <w:rPr>
          <w:rFonts w:hint="eastAsia" w:ascii="宋体" w:hAnsi="宋体" w:cs="宋体"/>
          <w:bCs/>
          <w:kern w:val="0"/>
          <w:sz w:val="21"/>
          <w:szCs w:val="40"/>
        </w:rPr>
        <w:t>政府采购合同（以实际签订的合同为准）</w:t>
      </w:r>
      <w:r>
        <w:rPr>
          <w:sz w:val="21"/>
          <w:szCs w:val="21"/>
        </w:rPr>
        <w:tab/>
      </w:r>
      <w:r>
        <w:rPr>
          <w:sz w:val="21"/>
          <w:szCs w:val="21"/>
        </w:rPr>
        <w:fldChar w:fldCharType="begin"/>
      </w:r>
      <w:r>
        <w:rPr>
          <w:sz w:val="21"/>
          <w:szCs w:val="21"/>
        </w:rPr>
        <w:instrText xml:space="preserve"> PAGEREF _Toc23995 \h </w:instrText>
      </w:r>
      <w:r>
        <w:rPr>
          <w:sz w:val="21"/>
          <w:szCs w:val="21"/>
        </w:rPr>
        <w:fldChar w:fldCharType="separate"/>
      </w:r>
      <w:r>
        <w:rPr>
          <w:sz w:val="21"/>
          <w:szCs w:val="21"/>
        </w:rPr>
        <w:t>49</w:t>
      </w:r>
      <w:r>
        <w:rPr>
          <w:sz w:val="21"/>
          <w:szCs w:val="21"/>
        </w:rPr>
        <w:fldChar w:fldCharType="end"/>
      </w:r>
      <w:r>
        <w:rPr>
          <w:sz w:val="21"/>
          <w:szCs w:val="21"/>
        </w:rPr>
        <w:fldChar w:fldCharType="end"/>
      </w:r>
    </w:p>
    <w:p w14:paraId="3A127A0E">
      <w:pPr>
        <w:rPr>
          <w:rFonts w:ascii="宋体"/>
          <w:sz w:val="22"/>
          <w:szCs w:val="22"/>
        </w:rPr>
      </w:pPr>
      <w:r>
        <w:fldChar w:fldCharType="end"/>
      </w:r>
    </w:p>
    <w:p w14:paraId="149237C9">
      <w:pPr>
        <w:spacing w:line="360" w:lineRule="exact"/>
        <w:rPr>
          <w:rFonts w:ascii="宋体"/>
          <w:sz w:val="22"/>
          <w:szCs w:val="22"/>
        </w:rPr>
      </w:pPr>
    </w:p>
    <w:p w14:paraId="270642C3">
      <w:pPr>
        <w:spacing w:line="360" w:lineRule="exact"/>
        <w:rPr>
          <w:rFonts w:ascii="宋体"/>
          <w:sz w:val="22"/>
          <w:szCs w:val="22"/>
        </w:rPr>
      </w:pPr>
    </w:p>
    <w:p w14:paraId="7C532A11">
      <w:pPr>
        <w:spacing w:line="360" w:lineRule="exact"/>
        <w:rPr>
          <w:rFonts w:ascii="宋体"/>
          <w:b/>
          <w:bCs/>
          <w:sz w:val="36"/>
          <w:szCs w:val="36"/>
        </w:rPr>
      </w:pPr>
      <w:r>
        <w:rPr>
          <w:rFonts w:hint="eastAsia" w:ascii="宋体" w:hAnsi="宋体" w:cs="宋体"/>
          <w:b/>
          <w:bCs/>
          <w:sz w:val="36"/>
          <w:szCs w:val="36"/>
        </w:rPr>
        <w:t>特别提示：</w:t>
      </w:r>
    </w:p>
    <w:p w14:paraId="769F4664">
      <w:pPr>
        <w:pStyle w:val="4"/>
        <w:adjustRightInd w:val="0"/>
        <w:snapToGrid w:val="0"/>
        <w:spacing w:line="360" w:lineRule="auto"/>
        <w:ind w:firstLine="708" w:firstLineChars="196"/>
        <w:rPr>
          <w:rFonts w:ascii="宋体"/>
          <w:b/>
          <w:bCs/>
          <w:sz w:val="36"/>
          <w:szCs w:val="36"/>
        </w:rPr>
      </w:pPr>
    </w:p>
    <w:p w14:paraId="4A518835">
      <w:pPr>
        <w:pStyle w:val="4"/>
        <w:adjustRightInd w:val="0"/>
        <w:snapToGrid w:val="0"/>
        <w:spacing w:line="360" w:lineRule="auto"/>
        <w:ind w:firstLine="708" w:firstLineChars="196"/>
        <w:rPr>
          <w:rFonts w:ascii="宋体"/>
          <w:b/>
          <w:bCs/>
          <w:sz w:val="56"/>
          <w:szCs w:val="56"/>
        </w:rPr>
      </w:pPr>
      <w:r>
        <w:rPr>
          <w:rFonts w:hint="eastAsia" w:ascii="宋体" w:hAnsi="宋体" w:cs="宋体"/>
          <w:b/>
          <w:bCs/>
          <w:sz w:val="36"/>
          <w:szCs w:val="36"/>
        </w:rPr>
        <w:t>请各参与项目的供应商认真阅读招标文件的所有条款，严格按规定的交易流程完成各阶段的投标工作，及时查看甘肃省政府采购网上的关于该项目相关信息，否则造成后果由投标人自负。</w:t>
      </w:r>
    </w:p>
    <w:bookmarkEnd w:id="0"/>
    <w:p w14:paraId="217DA695">
      <w:pPr>
        <w:pStyle w:val="44"/>
        <w:ind w:firstLine="31680"/>
      </w:pPr>
    </w:p>
    <w:p w14:paraId="24118921">
      <w:pPr>
        <w:numPr>
          <w:ilvl w:val="0"/>
          <w:numId w:val="2"/>
        </w:numPr>
        <w:spacing w:line="640" w:lineRule="exact"/>
        <w:jc w:val="center"/>
        <w:outlineLvl w:val="0"/>
        <w:rPr>
          <w:rFonts w:ascii="宋体"/>
          <w:b/>
          <w:bCs/>
          <w:sz w:val="36"/>
          <w:szCs w:val="36"/>
        </w:rPr>
      </w:pPr>
      <w:r>
        <w:rPr>
          <w:rFonts w:ascii="宋体"/>
          <w:sz w:val="32"/>
          <w:szCs w:val="32"/>
        </w:rPr>
        <w:br w:type="page"/>
      </w:r>
      <w:bookmarkStart w:id="2" w:name="_Toc7612"/>
      <w:bookmarkStart w:id="3" w:name="_Toc484102374"/>
      <w:bookmarkStart w:id="4" w:name="_Toc10913"/>
      <w:r>
        <w:rPr>
          <w:rFonts w:ascii="宋体" w:hAnsi="宋体" w:cs="宋体"/>
          <w:b/>
          <w:bCs/>
          <w:sz w:val="36"/>
          <w:szCs w:val="36"/>
        </w:rPr>
        <w:t xml:space="preserve"> </w:t>
      </w:r>
      <w:bookmarkStart w:id="5" w:name="_Toc6782"/>
      <w:bookmarkStart w:id="6" w:name="_Toc32708"/>
      <w:bookmarkStart w:id="7" w:name="_Toc1120"/>
      <w:r>
        <w:rPr>
          <w:rFonts w:hint="eastAsia" w:ascii="宋体" w:hAnsi="宋体" w:cs="宋体"/>
          <w:b/>
          <w:bCs/>
          <w:sz w:val="36"/>
          <w:szCs w:val="36"/>
        </w:rPr>
        <w:t>招标公告</w:t>
      </w:r>
      <w:bookmarkEnd w:id="1"/>
      <w:bookmarkEnd w:id="2"/>
      <w:bookmarkEnd w:id="3"/>
      <w:bookmarkEnd w:id="4"/>
      <w:bookmarkEnd w:id="5"/>
      <w:bookmarkEnd w:id="6"/>
      <w:bookmarkEnd w:id="7"/>
      <w:bookmarkStart w:id="8" w:name="_Toc373314696"/>
    </w:p>
    <w:p w14:paraId="0C9E0390">
      <w:pPr>
        <w:keepNext w:val="0"/>
        <w:keepLines w:val="0"/>
        <w:widowControl/>
        <w:suppressLineNumbers w:val="0"/>
        <w:spacing w:before="75" w:beforeAutospacing="0" w:after="75" w:afterAutospacing="0"/>
        <w:ind w:left="0" w:right="0" w:firstLine="420"/>
        <w:jc w:val="center"/>
        <w:rPr>
          <w:rFonts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kern w:val="0"/>
          <w:sz w:val="36"/>
          <w:szCs w:val="36"/>
          <w:lang w:val="en-US" w:eastAsia="zh-CN" w:bidi="ar"/>
        </w:rPr>
        <w:t>陇南市妇女联合会“巾帼家美积分”超市奖补货品项目公开招标公告</w:t>
      </w:r>
    </w:p>
    <w:p w14:paraId="1205652E">
      <w:pPr>
        <w:keepNext w:val="0"/>
        <w:keepLines w:val="0"/>
        <w:widowControl/>
        <w:suppressLineNumbers w:val="0"/>
        <w:spacing w:before="75" w:beforeAutospacing="0" w:after="75" w:afterAutospacing="0"/>
        <w:ind w:left="0" w:right="0" w:firstLine="420"/>
        <w:jc w:val="center"/>
        <w:rPr>
          <w:rFonts w:hint="default" w:ascii="Tahoma" w:hAnsi="Tahoma" w:eastAsia="Tahoma" w:cs="Tahoma"/>
          <w:i w:val="0"/>
          <w:iCs w:val="0"/>
          <w:caps w:val="0"/>
          <w:color w:val="000000"/>
          <w:spacing w:val="0"/>
          <w:sz w:val="18"/>
          <w:szCs w:val="18"/>
        </w:rPr>
      </w:pPr>
    </w:p>
    <w:p w14:paraId="10A17EB7">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u w:val="single"/>
          <w:lang w:val="en-US" w:eastAsia="zh-CN" w:bidi="ar"/>
        </w:rPr>
        <w:t>陇南市妇女联合会</w:t>
      </w:r>
      <w:r>
        <w:rPr>
          <w:rFonts w:hint="default" w:ascii="Tahoma" w:hAnsi="Tahoma" w:eastAsia="Tahoma" w:cs="Tahoma"/>
          <w:i w:val="0"/>
          <w:iCs w:val="0"/>
          <w:caps w:val="0"/>
          <w:color w:val="000000"/>
          <w:spacing w:val="0"/>
          <w:kern w:val="0"/>
          <w:sz w:val="18"/>
          <w:szCs w:val="18"/>
          <w:lang w:val="en-US" w:eastAsia="zh-CN" w:bidi="ar"/>
        </w:rPr>
        <w:t>招标项目的潜在投标人应在</w:t>
      </w:r>
      <w:r>
        <w:rPr>
          <w:rFonts w:hint="default" w:ascii="Tahoma" w:hAnsi="Tahoma" w:eastAsia="Tahoma" w:cs="Tahoma"/>
          <w:i w:val="0"/>
          <w:iCs w:val="0"/>
          <w:caps w:val="0"/>
          <w:color w:val="000000"/>
          <w:spacing w:val="0"/>
          <w:kern w:val="0"/>
          <w:sz w:val="18"/>
          <w:szCs w:val="18"/>
          <w:u w:val="single"/>
          <w:lang w:val="en-US" w:eastAsia="zh-CN" w:bidi="ar"/>
        </w:rPr>
        <w:t>陇南市公共资源交易网（网址：http://60.164.200.102/）免费下载 </w:t>
      </w:r>
      <w:r>
        <w:rPr>
          <w:rFonts w:hint="default" w:ascii="Tahoma" w:hAnsi="Tahoma" w:eastAsia="Tahoma" w:cs="Tahoma"/>
          <w:i w:val="0"/>
          <w:iCs w:val="0"/>
          <w:caps w:val="0"/>
          <w:color w:val="000000"/>
          <w:spacing w:val="0"/>
          <w:kern w:val="0"/>
          <w:sz w:val="18"/>
          <w:szCs w:val="18"/>
          <w:lang w:val="en-US" w:eastAsia="zh-CN" w:bidi="ar"/>
        </w:rPr>
        <w:t>获取招标文件，并于</w:t>
      </w:r>
      <w:r>
        <w:rPr>
          <w:rFonts w:hint="default" w:ascii="Tahoma" w:hAnsi="Tahoma" w:eastAsia="Tahoma" w:cs="Tahoma"/>
          <w:i w:val="0"/>
          <w:iCs w:val="0"/>
          <w:caps w:val="0"/>
          <w:color w:val="000000"/>
          <w:spacing w:val="0"/>
          <w:kern w:val="0"/>
          <w:sz w:val="18"/>
          <w:szCs w:val="18"/>
          <w:u w:val="single"/>
          <w:lang w:val="en-US" w:eastAsia="zh-CN" w:bidi="ar"/>
        </w:rPr>
        <w:t>2024-12-02 15:00:00</w:t>
      </w:r>
      <w:r>
        <w:rPr>
          <w:rFonts w:hint="default" w:ascii="Tahoma" w:hAnsi="Tahoma" w:eastAsia="Tahoma" w:cs="Tahoma"/>
          <w:i w:val="0"/>
          <w:iCs w:val="0"/>
          <w:caps w:val="0"/>
          <w:color w:val="000000"/>
          <w:spacing w:val="0"/>
          <w:kern w:val="0"/>
          <w:sz w:val="18"/>
          <w:szCs w:val="18"/>
          <w:lang w:val="en-US" w:eastAsia="zh-CN" w:bidi="ar"/>
        </w:rPr>
        <w:t>（北京时间）前递交投标文件。</w:t>
      </w:r>
    </w:p>
    <w:p w14:paraId="29867CAE">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一、项目基本情况</w:t>
      </w:r>
    </w:p>
    <w:p w14:paraId="6A15D560">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项目编号：122001JH6212002</w:t>
      </w:r>
    </w:p>
    <w:p w14:paraId="6A3BC6FC">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项目名称：巾帼家美积分超市奖补货品</w:t>
      </w:r>
    </w:p>
    <w:p w14:paraId="56CF5183">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预算金额：50.000000(万元)</w:t>
      </w:r>
    </w:p>
    <w:p w14:paraId="3A2CCF79">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最高限价：50(万元)</w:t>
      </w:r>
    </w:p>
    <w:p w14:paraId="63D324A6">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采购需求：陇南市妇女联合会巾帼家美积分超市奖补货品项目，具体内容详见附件。</w:t>
      </w:r>
    </w:p>
    <w:p w14:paraId="309044EC">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合同履行期限：按合同约定执行</w:t>
      </w:r>
    </w:p>
    <w:p w14:paraId="7D0D139A">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本项目（是/否）接受联合体投标：否</w:t>
      </w:r>
    </w:p>
    <w:p w14:paraId="2E599E7D">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二、申请人的资格要求</w:t>
      </w:r>
    </w:p>
    <w:p w14:paraId="70455BCA">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1.（1）、必须符合《中华人民共和国政府采购法》第二十二条之规定，并提供《中华人民共和国政府采购法实施条例》第十七条所要求的材料。 （2）、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的方可参加本项目的投标；（以招标公告发布之日起至投标截止时间前在“信用中国”网站[www.creditchina.gov.cn]、中国政府采购网[www.ccgp.gov.cn]查询结果为准，如相关失信记录已失效，投标人需提供相关证明资料）。 （3）、本项目不接受联合体投标。</w:t>
      </w:r>
    </w:p>
    <w:p w14:paraId="5C32B174">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2.落实政府采购政策需满足的资格要求：《政府采购促进中小企业发展管理办法》（财库〔2020〕46号）、关于印发中小企业划型标准规定的通知（工信部联企业【2011】300号）、符合政府采购《节能产品政府采购清单》、《环境标志产品政府采购清单》优先采购政策、《关于促进残疾人就业政府采购政策的通知》（财库【2017】141号）等。</w:t>
      </w:r>
    </w:p>
    <w:p w14:paraId="3BB0CE43">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3.本项目的特定资格要求：无</w:t>
      </w:r>
    </w:p>
    <w:p w14:paraId="55698B0B">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三、获取招标文件</w:t>
      </w:r>
    </w:p>
    <w:p w14:paraId="0316574A">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时间：</w:t>
      </w:r>
      <w:r>
        <w:rPr>
          <w:rFonts w:hint="default" w:ascii="Tahoma" w:hAnsi="Tahoma" w:eastAsia="Tahoma" w:cs="Tahoma"/>
          <w:i w:val="0"/>
          <w:iCs w:val="0"/>
          <w:caps w:val="0"/>
          <w:color w:val="000000"/>
          <w:spacing w:val="0"/>
          <w:kern w:val="0"/>
          <w:sz w:val="18"/>
          <w:szCs w:val="18"/>
          <w:u w:val="single"/>
          <w:lang w:val="en-US" w:eastAsia="zh-CN" w:bidi="ar"/>
        </w:rPr>
        <w:t>2024-11-11</w:t>
      </w:r>
      <w:r>
        <w:rPr>
          <w:rFonts w:hint="default" w:ascii="Tahoma" w:hAnsi="Tahoma" w:eastAsia="Tahoma" w:cs="Tahoma"/>
          <w:i w:val="0"/>
          <w:iCs w:val="0"/>
          <w:caps w:val="0"/>
          <w:color w:val="000000"/>
          <w:spacing w:val="0"/>
          <w:kern w:val="0"/>
          <w:sz w:val="18"/>
          <w:szCs w:val="18"/>
          <w:lang w:val="en-US" w:eastAsia="zh-CN" w:bidi="ar"/>
        </w:rPr>
        <w:t>至</w:t>
      </w:r>
      <w:r>
        <w:rPr>
          <w:rFonts w:hint="default" w:ascii="Tahoma" w:hAnsi="Tahoma" w:eastAsia="Tahoma" w:cs="Tahoma"/>
          <w:i w:val="0"/>
          <w:iCs w:val="0"/>
          <w:caps w:val="0"/>
          <w:color w:val="000000"/>
          <w:spacing w:val="0"/>
          <w:kern w:val="0"/>
          <w:sz w:val="18"/>
          <w:szCs w:val="18"/>
          <w:u w:val="single"/>
          <w:lang w:val="en-US" w:eastAsia="zh-CN" w:bidi="ar"/>
        </w:rPr>
        <w:t>2024-11-15</w:t>
      </w:r>
      <w:r>
        <w:rPr>
          <w:rFonts w:hint="default" w:ascii="Tahoma" w:hAnsi="Tahoma" w:eastAsia="Tahoma" w:cs="Tahoma"/>
          <w:i w:val="0"/>
          <w:iCs w:val="0"/>
          <w:caps w:val="0"/>
          <w:color w:val="000000"/>
          <w:spacing w:val="0"/>
          <w:kern w:val="0"/>
          <w:sz w:val="18"/>
          <w:szCs w:val="18"/>
          <w:lang w:val="en-US" w:eastAsia="zh-CN" w:bidi="ar"/>
        </w:rPr>
        <w:t>，每天上午</w:t>
      </w:r>
      <w:r>
        <w:rPr>
          <w:rFonts w:hint="default" w:ascii="Tahoma" w:hAnsi="Tahoma" w:eastAsia="Tahoma" w:cs="Tahoma"/>
          <w:i w:val="0"/>
          <w:iCs w:val="0"/>
          <w:caps w:val="0"/>
          <w:color w:val="000000"/>
          <w:spacing w:val="0"/>
          <w:kern w:val="0"/>
          <w:sz w:val="18"/>
          <w:szCs w:val="18"/>
          <w:u w:val="single"/>
          <w:lang w:val="en-US" w:eastAsia="zh-CN" w:bidi="ar"/>
        </w:rPr>
        <w:t>8:30</w:t>
      </w:r>
      <w:r>
        <w:rPr>
          <w:rFonts w:hint="default" w:ascii="Tahoma" w:hAnsi="Tahoma" w:eastAsia="Tahoma" w:cs="Tahoma"/>
          <w:i w:val="0"/>
          <w:iCs w:val="0"/>
          <w:caps w:val="0"/>
          <w:color w:val="000000"/>
          <w:spacing w:val="0"/>
          <w:kern w:val="0"/>
          <w:sz w:val="18"/>
          <w:szCs w:val="18"/>
          <w:lang w:val="en-US" w:eastAsia="zh-CN" w:bidi="ar"/>
        </w:rPr>
        <w:t>至</w:t>
      </w:r>
      <w:r>
        <w:rPr>
          <w:rFonts w:hint="default" w:ascii="Tahoma" w:hAnsi="Tahoma" w:eastAsia="Tahoma" w:cs="Tahoma"/>
          <w:i w:val="0"/>
          <w:iCs w:val="0"/>
          <w:caps w:val="0"/>
          <w:color w:val="000000"/>
          <w:spacing w:val="0"/>
          <w:kern w:val="0"/>
          <w:sz w:val="18"/>
          <w:szCs w:val="18"/>
          <w:u w:val="single"/>
          <w:lang w:val="en-US" w:eastAsia="zh-CN" w:bidi="ar"/>
        </w:rPr>
        <w:t>12:00</w:t>
      </w:r>
      <w:r>
        <w:rPr>
          <w:rFonts w:hint="default" w:ascii="Tahoma" w:hAnsi="Tahoma" w:eastAsia="Tahoma" w:cs="Tahoma"/>
          <w:i w:val="0"/>
          <w:iCs w:val="0"/>
          <w:caps w:val="0"/>
          <w:color w:val="000000"/>
          <w:spacing w:val="0"/>
          <w:kern w:val="0"/>
          <w:sz w:val="18"/>
          <w:szCs w:val="18"/>
          <w:lang w:val="en-US" w:eastAsia="zh-CN" w:bidi="ar"/>
        </w:rPr>
        <w:t>，下午</w:t>
      </w:r>
      <w:r>
        <w:rPr>
          <w:rFonts w:hint="default" w:ascii="Tahoma" w:hAnsi="Tahoma" w:eastAsia="Tahoma" w:cs="Tahoma"/>
          <w:i w:val="0"/>
          <w:iCs w:val="0"/>
          <w:caps w:val="0"/>
          <w:color w:val="000000"/>
          <w:spacing w:val="0"/>
          <w:kern w:val="0"/>
          <w:sz w:val="18"/>
          <w:szCs w:val="18"/>
          <w:u w:val="single"/>
          <w:lang w:val="en-US" w:eastAsia="zh-CN" w:bidi="ar"/>
        </w:rPr>
        <w:t>12:00</w:t>
      </w:r>
      <w:r>
        <w:rPr>
          <w:rFonts w:hint="default" w:ascii="Tahoma" w:hAnsi="Tahoma" w:eastAsia="Tahoma" w:cs="Tahoma"/>
          <w:i w:val="0"/>
          <w:iCs w:val="0"/>
          <w:caps w:val="0"/>
          <w:color w:val="000000"/>
          <w:spacing w:val="0"/>
          <w:kern w:val="0"/>
          <w:sz w:val="18"/>
          <w:szCs w:val="18"/>
          <w:lang w:val="en-US" w:eastAsia="zh-CN" w:bidi="ar"/>
        </w:rPr>
        <w:t>至</w:t>
      </w:r>
      <w:r>
        <w:rPr>
          <w:rFonts w:hint="default" w:ascii="Tahoma" w:hAnsi="Tahoma" w:eastAsia="Tahoma" w:cs="Tahoma"/>
          <w:i w:val="0"/>
          <w:iCs w:val="0"/>
          <w:caps w:val="0"/>
          <w:color w:val="000000"/>
          <w:spacing w:val="0"/>
          <w:kern w:val="0"/>
          <w:sz w:val="18"/>
          <w:szCs w:val="18"/>
          <w:u w:val="single"/>
          <w:lang w:val="en-US" w:eastAsia="zh-CN" w:bidi="ar"/>
        </w:rPr>
        <w:t>17:30</w:t>
      </w:r>
    </w:p>
    <w:p w14:paraId="72C6E084">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地点：陇南市公共资源交易网（网址：http://60.164.200.102/）免费下载</w:t>
      </w:r>
    </w:p>
    <w:p w14:paraId="3DEB5676">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方式：</w:t>
      </w:r>
      <w:r>
        <w:rPr>
          <w:rFonts w:ascii="Arial" w:hAnsi="Arial" w:eastAsia="宋体" w:cs="Arial"/>
          <w:i w:val="0"/>
          <w:iCs w:val="0"/>
          <w:caps w:val="0"/>
          <w:color w:val="333333"/>
          <w:spacing w:val="0"/>
          <w:sz w:val="19"/>
          <w:szCs w:val="19"/>
          <w:shd w:val="clear" w:fill="FFFFFF"/>
        </w:rPr>
        <w:t>1.社会公众可通过陇南市公共资源交易网免费下载或查阅招标文件，拟参与本项目的潜在投标人在获取期限内，凭CA数字证书或通过“用户名+密码”方式登录陇南市公共资源交易网（登录网址http://60.164.200.102/TPBidder/memberLogin）在线免费下载获取招标文件，并点击“我要投标”按要求填写信息，未填写信息的投标无效。2.请潜在投标人随时关注陇南市公共资源交易网及甘肃政府采购网本项目相关变更公告及澄清答疑文件，否则由变更引起的相关责任自负。</w:t>
      </w:r>
      <w:bookmarkStart w:id="135" w:name="_GoBack"/>
      <w:bookmarkEnd w:id="135"/>
    </w:p>
    <w:p w14:paraId="0FE620B0">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售价：0(元)</w:t>
      </w:r>
    </w:p>
    <w:p w14:paraId="66A776B1">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四、提交投标文件截止时间、开标时间和地点</w:t>
      </w:r>
    </w:p>
    <w:p w14:paraId="7EB85EC0">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时间：2024-12-02 15:00:00</w:t>
      </w:r>
    </w:p>
    <w:p w14:paraId="53CCBCAC">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地点：陇南市公共资源交易中心网络开标直播二厅第1坐席（陇南市行政中心5号楼环保大厦）</w:t>
      </w:r>
    </w:p>
    <w:p w14:paraId="3FB19251">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五、公告期限</w:t>
      </w:r>
    </w:p>
    <w:p w14:paraId="1B551F45">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自本公告发布之日起5个工作日。</w:t>
      </w:r>
    </w:p>
    <w:p w14:paraId="0FCC8873">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六、其他补充事宜</w:t>
      </w:r>
    </w:p>
    <w:p w14:paraId="6ED54DEE">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该项目开标评标活动通过“陇南市（新点）网上开评标系统”进行：①投标人应当在投标文件递交截止时间（开标时间）前，在陇南市公共资源交易网首页“下载中心”，下载并安装投标文件制作工具“新点投标文件制作软件（陇南版）”，按照“服务指南”-“全流程电子化交易投标人操作手册”制作固化投标文件，并凭CA数字证书登录陇南市公共资源交易网上传投标文件，本项目全流程必须使用同一把CA数字证书进行操作；若在投标文件递交截止时间（开标时间）前没有网上投标（上传投标文件）则视为放弃投标。② 投标人须按时凭CA数字证书登录陇南市公共资源交易网-新点不见面开标大厅参与网上开标。</w:t>
      </w:r>
    </w:p>
    <w:p w14:paraId="1C17336A">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①陇南市公共资源交易网：http://60.164.200.102/</w:t>
      </w:r>
    </w:p>
    <w:p w14:paraId="6E098DF7">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②信用中国”网站：https://www.creditchina.gov.cn</w:t>
      </w:r>
    </w:p>
    <w:p w14:paraId="3951BA6A">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③中国政府采购网网址：http://www.ccgp.gov.cn/</w:t>
      </w:r>
    </w:p>
    <w:p w14:paraId="1011FDEB">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七、对本次招标提出询问，请按以下方式联系</w:t>
      </w:r>
    </w:p>
    <w:p w14:paraId="5B1E8137">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1.采购人信息</w:t>
      </w:r>
    </w:p>
    <w:p w14:paraId="49B41A22">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名 称：</w:t>
      </w:r>
      <w:r>
        <w:rPr>
          <w:rFonts w:hint="default" w:ascii="Tahoma" w:hAnsi="Tahoma" w:eastAsia="Tahoma" w:cs="Tahoma"/>
          <w:i w:val="0"/>
          <w:iCs w:val="0"/>
          <w:caps w:val="0"/>
          <w:color w:val="000000"/>
          <w:spacing w:val="0"/>
          <w:kern w:val="0"/>
          <w:sz w:val="18"/>
          <w:szCs w:val="18"/>
          <w:u w:val="single"/>
          <w:lang w:val="en-US" w:eastAsia="zh-CN" w:bidi="ar"/>
        </w:rPr>
        <w:t>陇南市妇女联合会</w:t>
      </w:r>
    </w:p>
    <w:p w14:paraId="61D582D4">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地 址：</w:t>
      </w:r>
      <w:r>
        <w:rPr>
          <w:rFonts w:hint="default" w:ascii="Tahoma" w:hAnsi="Tahoma" w:eastAsia="Tahoma" w:cs="Tahoma"/>
          <w:i w:val="0"/>
          <w:iCs w:val="0"/>
          <w:caps w:val="0"/>
          <w:color w:val="000000"/>
          <w:spacing w:val="0"/>
          <w:kern w:val="0"/>
          <w:sz w:val="18"/>
          <w:szCs w:val="18"/>
          <w:u w:val="single"/>
          <w:lang w:val="en-US" w:eastAsia="zh-CN" w:bidi="ar"/>
        </w:rPr>
        <w:t>甘肃省陇南市武都区东江行政中心D栋5楼</w:t>
      </w:r>
    </w:p>
    <w:p w14:paraId="37FC0D97">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联系方式：</w:t>
      </w:r>
      <w:r>
        <w:rPr>
          <w:rFonts w:hint="default" w:ascii="Tahoma" w:hAnsi="Tahoma" w:eastAsia="Tahoma" w:cs="Tahoma"/>
          <w:i w:val="0"/>
          <w:iCs w:val="0"/>
          <w:caps w:val="0"/>
          <w:color w:val="000000"/>
          <w:spacing w:val="0"/>
          <w:kern w:val="0"/>
          <w:sz w:val="18"/>
          <w:szCs w:val="18"/>
          <w:u w:val="single"/>
          <w:lang w:val="en-US" w:eastAsia="zh-CN" w:bidi="ar"/>
        </w:rPr>
        <w:t>0939-8211956</w:t>
      </w:r>
    </w:p>
    <w:p w14:paraId="0CEC9657">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2.采购代理机构信息</w:t>
      </w:r>
    </w:p>
    <w:p w14:paraId="71B360C7">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名 称：</w:t>
      </w:r>
      <w:r>
        <w:rPr>
          <w:rFonts w:hint="default" w:ascii="Tahoma" w:hAnsi="Tahoma" w:eastAsia="Tahoma" w:cs="Tahoma"/>
          <w:i w:val="0"/>
          <w:iCs w:val="0"/>
          <w:caps w:val="0"/>
          <w:color w:val="000000"/>
          <w:spacing w:val="0"/>
          <w:kern w:val="0"/>
          <w:sz w:val="18"/>
          <w:szCs w:val="18"/>
          <w:u w:val="single"/>
          <w:lang w:val="en-US" w:eastAsia="zh-CN" w:bidi="ar"/>
        </w:rPr>
        <w:t>陇南市公共资源交易中心</w:t>
      </w:r>
    </w:p>
    <w:p w14:paraId="7ECB34C7">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地 址：</w:t>
      </w:r>
      <w:r>
        <w:rPr>
          <w:rFonts w:hint="default" w:ascii="Tahoma" w:hAnsi="Tahoma" w:eastAsia="Tahoma" w:cs="Tahoma"/>
          <w:i w:val="0"/>
          <w:iCs w:val="0"/>
          <w:caps w:val="0"/>
          <w:color w:val="000000"/>
          <w:spacing w:val="0"/>
          <w:kern w:val="0"/>
          <w:sz w:val="18"/>
          <w:szCs w:val="18"/>
          <w:u w:val="single"/>
          <w:lang w:val="en-US" w:eastAsia="zh-CN" w:bidi="ar"/>
        </w:rPr>
        <w:t>陇南市东江新区统办5号楼二楼</w:t>
      </w:r>
    </w:p>
    <w:p w14:paraId="1FAC8B92">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联系方式：</w:t>
      </w:r>
      <w:r>
        <w:rPr>
          <w:rFonts w:hint="default" w:ascii="Tahoma" w:hAnsi="Tahoma" w:eastAsia="Tahoma" w:cs="Tahoma"/>
          <w:i w:val="0"/>
          <w:iCs w:val="0"/>
          <w:caps w:val="0"/>
          <w:color w:val="000000"/>
          <w:spacing w:val="0"/>
          <w:kern w:val="0"/>
          <w:sz w:val="18"/>
          <w:szCs w:val="18"/>
          <w:u w:val="single"/>
          <w:lang w:val="en-US" w:eastAsia="zh-CN" w:bidi="ar"/>
        </w:rPr>
        <w:t>0939-8460432</w:t>
      </w:r>
    </w:p>
    <w:p w14:paraId="1B0191EB">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3.项目联系方式</w:t>
      </w:r>
    </w:p>
    <w:p w14:paraId="47F0BA46">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项目联系人：</w:t>
      </w:r>
      <w:r>
        <w:rPr>
          <w:rFonts w:hint="default" w:ascii="Tahoma" w:hAnsi="Tahoma" w:eastAsia="Tahoma" w:cs="Tahoma"/>
          <w:i w:val="0"/>
          <w:iCs w:val="0"/>
          <w:caps w:val="0"/>
          <w:color w:val="000000"/>
          <w:spacing w:val="0"/>
          <w:kern w:val="0"/>
          <w:sz w:val="18"/>
          <w:szCs w:val="18"/>
          <w:u w:val="single"/>
          <w:lang w:val="en-US" w:eastAsia="zh-CN" w:bidi="ar"/>
        </w:rPr>
        <w:t>冯蕾</w:t>
      </w:r>
    </w:p>
    <w:p w14:paraId="404B14D7">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电　话：</w:t>
      </w:r>
      <w:r>
        <w:rPr>
          <w:rFonts w:hint="default" w:ascii="Tahoma" w:hAnsi="Tahoma" w:eastAsia="Tahoma" w:cs="Tahoma"/>
          <w:i w:val="0"/>
          <w:iCs w:val="0"/>
          <w:caps w:val="0"/>
          <w:color w:val="000000"/>
          <w:spacing w:val="0"/>
          <w:kern w:val="0"/>
          <w:sz w:val="18"/>
          <w:szCs w:val="18"/>
          <w:u w:val="single"/>
          <w:lang w:val="en-US" w:eastAsia="zh-CN" w:bidi="ar"/>
        </w:rPr>
        <w:t>0939-8211956</w:t>
      </w:r>
    </w:p>
    <w:p w14:paraId="7EBE6B41">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p>
    <w:p w14:paraId="5F3C1F97">
      <w:pPr>
        <w:widowControl/>
        <w:spacing w:before="75" w:after="75"/>
        <w:ind w:firstLine="420"/>
        <w:jc w:val="left"/>
        <w:rPr>
          <w:rFonts w:hint="default" w:eastAsia="宋体"/>
          <w:lang w:val="en-US" w:eastAsia="zh-CN"/>
        </w:rPr>
      </w:pPr>
      <w:r>
        <w:rPr>
          <w:rFonts w:hint="eastAsia"/>
          <w:lang w:val="en-US" w:eastAsia="zh-CN"/>
        </w:rPr>
        <w:t xml:space="preserve">                                         2024年11月8日</w:t>
      </w:r>
    </w:p>
    <w:p w14:paraId="177F1515">
      <w:pPr>
        <w:pStyle w:val="44"/>
        <w:ind w:firstLine="31680"/>
      </w:pPr>
      <w:r>
        <w:t xml:space="preserve">     </w:t>
      </w:r>
    </w:p>
    <w:p w14:paraId="40F919CB">
      <w:pPr>
        <w:pStyle w:val="44"/>
        <w:ind w:left="0" w:leftChars="0" w:firstLine="0" w:firstLineChars="0"/>
      </w:pPr>
    </w:p>
    <w:p w14:paraId="501C6FF8">
      <w:pPr>
        <w:pageBreakBefore/>
        <w:numPr>
          <w:ilvl w:val="0"/>
          <w:numId w:val="2"/>
        </w:numPr>
        <w:spacing w:line="360" w:lineRule="auto"/>
        <w:ind w:left="0" w:leftChars="0" w:firstLine="0" w:firstLineChars="0"/>
        <w:jc w:val="center"/>
        <w:outlineLvl w:val="0"/>
        <w:rPr>
          <w:rFonts w:hint="eastAsia" w:ascii="宋体" w:hAnsi="宋体" w:cs="宋体"/>
          <w:b/>
          <w:bCs/>
          <w:kern w:val="0"/>
          <w:sz w:val="40"/>
          <w:szCs w:val="40"/>
        </w:rPr>
      </w:pPr>
      <w:bookmarkStart w:id="9" w:name="_Toc15817"/>
      <w:bookmarkStart w:id="10" w:name="_Toc18892"/>
      <w:bookmarkStart w:id="11" w:name="_Toc20397"/>
      <w:r>
        <w:rPr>
          <w:rFonts w:ascii="宋体" w:hAnsi="宋体" w:cs="宋体"/>
          <w:b/>
          <w:bCs/>
          <w:kern w:val="0"/>
          <w:sz w:val="40"/>
          <w:szCs w:val="40"/>
        </w:rPr>
        <w:t xml:space="preserve"> </w:t>
      </w:r>
      <w:bookmarkStart w:id="12" w:name="_Toc14161"/>
      <w:bookmarkStart w:id="13" w:name="_Toc6346"/>
      <w:r>
        <w:rPr>
          <w:rFonts w:hint="eastAsia" w:ascii="宋体" w:hAnsi="宋体" w:cs="宋体"/>
          <w:b/>
          <w:bCs/>
          <w:kern w:val="0"/>
          <w:sz w:val="40"/>
          <w:szCs w:val="40"/>
        </w:rPr>
        <w:t>供应商须知及前附表</w:t>
      </w:r>
      <w:bookmarkEnd w:id="8"/>
      <w:bookmarkEnd w:id="9"/>
      <w:bookmarkEnd w:id="10"/>
      <w:bookmarkEnd w:id="11"/>
      <w:bookmarkEnd w:id="12"/>
      <w:bookmarkEnd w:id="13"/>
    </w:p>
    <w:p w14:paraId="622E60F4">
      <w:pPr>
        <w:pStyle w:val="36"/>
        <w:jc w:val="center"/>
        <w:outlineLvl w:val="1"/>
        <w:rPr>
          <w:rFonts w:hint="eastAsia" w:ascii="宋体" w:hAnsi="宋体" w:eastAsia="宋体" w:cs="宋体"/>
          <w:b/>
          <w:bCs/>
          <w:smallCaps w:val="0"/>
          <w:kern w:val="0"/>
          <w:sz w:val="32"/>
          <w:szCs w:val="32"/>
          <w:lang w:val="en-US" w:eastAsia="zh-CN" w:bidi="ar-SA"/>
        </w:rPr>
      </w:pPr>
      <w:bookmarkStart w:id="14" w:name="_Toc11402"/>
      <w:bookmarkStart w:id="15" w:name="_Toc9189"/>
      <w:r>
        <w:rPr>
          <w:rFonts w:hint="eastAsia" w:ascii="宋体" w:hAnsi="宋体" w:eastAsia="宋体" w:cs="宋体"/>
          <w:b/>
          <w:bCs/>
          <w:smallCaps w:val="0"/>
          <w:kern w:val="0"/>
          <w:sz w:val="32"/>
          <w:szCs w:val="32"/>
          <w:lang w:val="en-US" w:eastAsia="zh-CN" w:bidi="ar-SA"/>
        </w:rPr>
        <w:t>第一节</w:t>
      </w:r>
      <w:r>
        <w:rPr>
          <w:rFonts w:hint="eastAsia" w:ascii="宋体" w:hAnsi="宋体" w:cs="宋体"/>
          <w:b/>
          <w:bCs/>
          <w:smallCaps w:val="0"/>
          <w:kern w:val="0"/>
          <w:sz w:val="32"/>
          <w:szCs w:val="32"/>
          <w:lang w:val="en-US" w:eastAsia="zh-CN" w:bidi="ar-SA"/>
        </w:rPr>
        <w:t xml:space="preserve"> </w:t>
      </w:r>
      <w:r>
        <w:rPr>
          <w:rFonts w:hint="eastAsia" w:ascii="宋体" w:hAnsi="宋体" w:eastAsia="宋体" w:cs="宋体"/>
          <w:b/>
          <w:bCs/>
          <w:smallCaps w:val="0"/>
          <w:kern w:val="0"/>
          <w:sz w:val="32"/>
          <w:szCs w:val="32"/>
          <w:lang w:val="en-US" w:eastAsia="zh-CN" w:bidi="ar-SA"/>
        </w:rPr>
        <w:t>供应商须知前附表</w:t>
      </w:r>
      <w:bookmarkEnd w:id="14"/>
      <w:bookmarkEnd w:id="15"/>
    </w:p>
    <w:tbl>
      <w:tblPr>
        <w:tblStyle w:val="46"/>
        <w:tblW w:w="9757"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2"/>
        <w:gridCol w:w="1591"/>
        <w:gridCol w:w="7154"/>
      </w:tblGrid>
      <w:tr w14:paraId="4DCDC9E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70" w:hRule="exact"/>
          <w:tblHeader/>
          <w:jc w:val="center"/>
        </w:trPr>
        <w:tc>
          <w:tcPr>
            <w:tcW w:w="1012" w:type="dxa"/>
            <w:tcBorders>
              <w:top w:val="single" w:color="auto" w:sz="18" w:space="0"/>
            </w:tcBorders>
            <w:vAlign w:val="center"/>
          </w:tcPr>
          <w:p w14:paraId="65613DDC">
            <w:pPr>
              <w:pStyle w:val="110"/>
              <w:ind w:left="9"/>
              <w:jc w:val="center"/>
              <w:outlineLvl w:val="9"/>
              <w:rPr>
                <w:rFonts w:ascii="仿宋_GB2312" w:hAnsi="仿宋_GB2312" w:eastAsia="仿宋_GB2312" w:cs="Times New Roman"/>
                <w:sz w:val="21"/>
                <w:szCs w:val="21"/>
                <w:lang w:val="zh-CN" w:eastAsia="zh-CN"/>
              </w:rPr>
            </w:pPr>
            <w:r>
              <w:rPr>
                <w:rFonts w:hint="eastAsia" w:ascii="仿宋_GB2312" w:hAnsi="仿宋_GB2312" w:eastAsia="仿宋_GB2312" w:cs="仿宋_GB2312"/>
                <w:sz w:val="21"/>
                <w:szCs w:val="21"/>
                <w:lang w:val="zh-CN" w:eastAsia="zh-CN"/>
              </w:rPr>
              <w:t>序号</w:t>
            </w:r>
          </w:p>
        </w:tc>
        <w:tc>
          <w:tcPr>
            <w:tcW w:w="1591" w:type="dxa"/>
            <w:tcBorders>
              <w:top w:val="single" w:color="auto" w:sz="18" w:space="0"/>
            </w:tcBorders>
            <w:vAlign w:val="center"/>
          </w:tcPr>
          <w:p w14:paraId="33239DE2">
            <w:pPr>
              <w:pStyle w:val="110"/>
              <w:ind w:left="38"/>
              <w:jc w:val="center"/>
              <w:outlineLvl w:val="9"/>
              <w:rPr>
                <w:rFonts w:ascii="仿宋_GB2312" w:hAnsi="仿宋_GB2312" w:eastAsia="仿宋_GB2312" w:cs="Times New Roman"/>
                <w:b/>
                <w:bCs/>
                <w:sz w:val="21"/>
                <w:szCs w:val="21"/>
                <w:lang w:val="zh-CN" w:eastAsia="zh-CN"/>
              </w:rPr>
            </w:pPr>
            <w:r>
              <w:rPr>
                <w:rFonts w:hint="eastAsia" w:ascii="仿宋_GB2312" w:hAnsi="仿宋_GB2312" w:eastAsia="仿宋_GB2312" w:cs="仿宋_GB2312"/>
                <w:b/>
                <w:bCs/>
                <w:sz w:val="21"/>
                <w:szCs w:val="21"/>
                <w:lang w:val="zh-CN" w:eastAsia="zh-CN"/>
              </w:rPr>
              <w:t>条款名称</w:t>
            </w:r>
          </w:p>
        </w:tc>
        <w:tc>
          <w:tcPr>
            <w:tcW w:w="7154" w:type="dxa"/>
            <w:tcBorders>
              <w:top w:val="single" w:color="auto" w:sz="18" w:space="0"/>
            </w:tcBorders>
            <w:vAlign w:val="center"/>
          </w:tcPr>
          <w:p w14:paraId="05825655">
            <w:pPr>
              <w:pStyle w:val="110"/>
              <w:jc w:val="center"/>
              <w:outlineLvl w:val="9"/>
              <w:rPr>
                <w:rFonts w:ascii="仿宋_GB2312" w:hAnsi="仿宋_GB2312" w:eastAsia="仿宋_GB2312" w:cs="Times New Roman"/>
                <w:sz w:val="21"/>
                <w:szCs w:val="21"/>
                <w:lang w:val="zh-CN" w:eastAsia="zh-CN"/>
              </w:rPr>
            </w:pPr>
            <w:r>
              <w:rPr>
                <w:rFonts w:hint="eastAsia" w:ascii="仿宋_GB2312" w:hAnsi="仿宋_GB2312" w:eastAsia="仿宋_GB2312" w:cs="仿宋_GB2312"/>
                <w:sz w:val="21"/>
                <w:szCs w:val="21"/>
                <w:lang w:val="zh-CN" w:eastAsia="zh-CN"/>
              </w:rPr>
              <w:t>说明和要求</w:t>
            </w:r>
          </w:p>
        </w:tc>
      </w:tr>
      <w:tr w14:paraId="79A1B56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90" w:hRule="atLeast"/>
          <w:jc w:val="center"/>
        </w:trPr>
        <w:tc>
          <w:tcPr>
            <w:tcW w:w="1012" w:type="dxa"/>
            <w:vAlign w:val="center"/>
          </w:tcPr>
          <w:p w14:paraId="17CFA2EC">
            <w:pPr>
              <w:pStyle w:val="110"/>
              <w:ind w:right="230"/>
              <w:jc w:val="center"/>
              <w:outlineLvl w:val="9"/>
              <w:rPr>
                <w:rFonts w:ascii="仿宋_GB2312" w:hAnsi="仿宋_GB2312" w:eastAsia="仿宋_GB2312" w:cs="仿宋_GB2312"/>
                <w:sz w:val="21"/>
                <w:szCs w:val="21"/>
                <w:lang w:val="zh-CN" w:eastAsia="zh-CN"/>
              </w:rPr>
            </w:pPr>
            <w:r>
              <w:rPr>
                <w:rFonts w:ascii="仿宋_GB2312" w:hAnsi="仿宋_GB2312" w:eastAsia="仿宋_GB2312" w:cs="仿宋_GB2312"/>
                <w:sz w:val="21"/>
                <w:szCs w:val="21"/>
                <w:lang w:val="zh-CN" w:eastAsia="zh-CN"/>
              </w:rPr>
              <w:t>1</w:t>
            </w:r>
          </w:p>
        </w:tc>
        <w:tc>
          <w:tcPr>
            <w:tcW w:w="1591" w:type="dxa"/>
            <w:vAlign w:val="center"/>
          </w:tcPr>
          <w:p w14:paraId="4794D4F4">
            <w:pPr>
              <w:pStyle w:val="110"/>
              <w:ind w:left="38"/>
              <w:jc w:val="center"/>
              <w:outlineLvl w:val="9"/>
              <w:rPr>
                <w:rFonts w:ascii="仿宋_GB2312" w:hAnsi="仿宋_GB2312" w:eastAsia="仿宋_GB2312" w:cs="Times New Roman"/>
                <w:b/>
                <w:bCs/>
                <w:sz w:val="21"/>
                <w:szCs w:val="21"/>
                <w:lang w:val="zh-CN" w:eastAsia="zh-CN"/>
              </w:rPr>
            </w:pPr>
            <w:r>
              <w:rPr>
                <w:rFonts w:hint="eastAsia" w:ascii="仿宋_GB2312" w:hAnsi="仿宋_GB2312" w:eastAsia="仿宋_GB2312" w:cs="仿宋_GB2312"/>
                <w:b/>
                <w:bCs/>
                <w:sz w:val="21"/>
                <w:szCs w:val="21"/>
                <w:lang w:val="zh-CN" w:eastAsia="zh-CN"/>
              </w:rPr>
              <w:t>项目名称</w:t>
            </w:r>
          </w:p>
        </w:tc>
        <w:tc>
          <w:tcPr>
            <w:tcW w:w="7154" w:type="dxa"/>
            <w:vAlign w:val="center"/>
          </w:tcPr>
          <w:p w14:paraId="53037D5A">
            <w:pPr>
              <w:spacing w:line="360" w:lineRule="auto"/>
              <w:outlineLvl w:val="9"/>
              <w:rPr>
                <w:rFonts w:hint="eastAsia" w:ascii="仿宋_GB2312" w:hAnsi="仿宋_GB2312" w:eastAsia="仿宋_GB2312"/>
                <w:lang w:val="en-US" w:eastAsia="zh-CN"/>
              </w:rPr>
            </w:pPr>
            <w:r>
              <w:rPr>
                <w:rFonts w:hint="eastAsia" w:ascii="仿宋_GB2312" w:hAnsi="仿宋_GB2312" w:eastAsia="仿宋_GB2312"/>
                <w:lang w:val="en-US" w:eastAsia="zh-CN"/>
              </w:rPr>
              <w:t xml:space="preserve"> 陇南市妇女联合会“巾帼家美积分超市”奖补货品项目</w:t>
            </w:r>
          </w:p>
        </w:tc>
      </w:tr>
      <w:tr w14:paraId="1D98F2D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20" w:hRule="atLeast"/>
          <w:jc w:val="center"/>
        </w:trPr>
        <w:tc>
          <w:tcPr>
            <w:tcW w:w="1012" w:type="dxa"/>
            <w:vAlign w:val="center"/>
          </w:tcPr>
          <w:p w14:paraId="4F8C9878">
            <w:pPr>
              <w:pStyle w:val="110"/>
              <w:ind w:right="230"/>
              <w:jc w:val="center"/>
              <w:outlineLvl w:val="9"/>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c>
          <w:tcPr>
            <w:tcW w:w="1591" w:type="dxa"/>
            <w:vAlign w:val="center"/>
          </w:tcPr>
          <w:p w14:paraId="60C18F70">
            <w:pPr>
              <w:pStyle w:val="110"/>
              <w:jc w:val="center"/>
              <w:outlineLvl w:val="9"/>
              <w:rPr>
                <w:rFonts w:hint="default"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lang w:val="en-US" w:eastAsia="zh-CN"/>
              </w:rPr>
              <w:t>项目编号</w:t>
            </w:r>
          </w:p>
        </w:tc>
        <w:tc>
          <w:tcPr>
            <w:tcW w:w="7154" w:type="dxa"/>
            <w:vAlign w:val="center"/>
          </w:tcPr>
          <w:p w14:paraId="35F9D130">
            <w:pPr>
              <w:pStyle w:val="110"/>
              <w:jc w:val="left"/>
              <w:outlineLvl w:val="9"/>
              <w:rPr>
                <w:rFonts w:hint="eastAsia" w:ascii="仿宋_GB2312" w:hAnsi="仿宋_GB2312" w:eastAsia="仿宋_GB2312" w:cs="Times New Roman"/>
                <w:sz w:val="21"/>
                <w:szCs w:val="21"/>
                <w:lang w:val="zh-CN" w:eastAsia="zh-CN"/>
              </w:rPr>
            </w:pPr>
            <w:r>
              <w:rPr>
                <w:rFonts w:hint="eastAsia" w:ascii="仿宋_GB2312" w:hAnsi="仿宋_GB2312" w:eastAsia="仿宋_GB2312" w:cs="Times New Roman"/>
                <w:sz w:val="21"/>
                <w:szCs w:val="21"/>
                <w:lang w:val="zh-CN" w:eastAsia="zh-CN"/>
              </w:rPr>
              <w:t>122001JH6212002</w:t>
            </w:r>
          </w:p>
        </w:tc>
      </w:tr>
      <w:tr w14:paraId="037F208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20" w:hRule="atLeast"/>
          <w:jc w:val="center"/>
        </w:trPr>
        <w:tc>
          <w:tcPr>
            <w:tcW w:w="1012" w:type="dxa"/>
            <w:vAlign w:val="center"/>
          </w:tcPr>
          <w:p w14:paraId="544EF17A">
            <w:pPr>
              <w:pStyle w:val="110"/>
              <w:ind w:right="230"/>
              <w:jc w:val="center"/>
              <w:outlineLvl w:val="9"/>
              <w:rPr>
                <w:rFonts w:ascii="仿宋_GB2312" w:hAnsi="仿宋_GB2312" w:eastAsia="仿宋_GB2312" w:cs="仿宋_GB2312"/>
                <w:sz w:val="21"/>
                <w:szCs w:val="21"/>
                <w:lang w:val="zh-CN" w:eastAsia="zh-CN"/>
              </w:rPr>
            </w:pPr>
            <w:r>
              <w:rPr>
                <w:rFonts w:ascii="仿宋_GB2312" w:hAnsi="仿宋_GB2312" w:eastAsia="仿宋_GB2312" w:cs="仿宋_GB2312"/>
                <w:sz w:val="21"/>
                <w:szCs w:val="21"/>
                <w:lang w:val="zh-CN" w:eastAsia="zh-CN"/>
              </w:rPr>
              <w:t>2</w:t>
            </w:r>
          </w:p>
        </w:tc>
        <w:tc>
          <w:tcPr>
            <w:tcW w:w="1591" w:type="dxa"/>
            <w:vAlign w:val="center"/>
          </w:tcPr>
          <w:p w14:paraId="27BDCA2A">
            <w:pPr>
              <w:pStyle w:val="110"/>
              <w:jc w:val="center"/>
              <w:outlineLvl w:val="9"/>
              <w:rPr>
                <w:rFonts w:ascii="仿宋_GB2312" w:hAnsi="仿宋_GB2312" w:eastAsia="仿宋_GB2312" w:cs="Times New Roman"/>
                <w:b/>
                <w:bCs/>
                <w:sz w:val="21"/>
                <w:szCs w:val="21"/>
                <w:lang w:val="zh-CN" w:eastAsia="zh-CN"/>
              </w:rPr>
            </w:pPr>
            <w:r>
              <w:rPr>
                <w:rFonts w:hint="eastAsia" w:ascii="仿宋_GB2312" w:hAnsi="仿宋_GB2312" w:eastAsia="仿宋_GB2312" w:cs="仿宋_GB2312"/>
                <w:b/>
                <w:bCs/>
                <w:sz w:val="21"/>
                <w:szCs w:val="21"/>
                <w:lang w:val="zh-CN" w:eastAsia="zh-CN"/>
              </w:rPr>
              <w:t>采购人</w:t>
            </w:r>
          </w:p>
        </w:tc>
        <w:tc>
          <w:tcPr>
            <w:tcW w:w="7154" w:type="dxa"/>
            <w:vAlign w:val="center"/>
          </w:tcPr>
          <w:p w14:paraId="1F31BFD2">
            <w:pPr>
              <w:pStyle w:val="110"/>
              <w:jc w:val="left"/>
              <w:outlineLvl w:val="9"/>
              <w:rPr>
                <w:rFonts w:hint="default" w:ascii="仿宋_GB2312" w:hAnsi="仿宋_GB2312" w:eastAsia="仿宋_GB2312" w:cs="Times New Roman"/>
                <w:sz w:val="21"/>
                <w:szCs w:val="21"/>
                <w:lang w:val="en-US" w:eastAsia="zh-CN"/>
              </w:rPr>
            </w:pPr>
            <w:r>
              <w:rPr>
                <w:rFonts w:hint="eastAsia" w:ascii="仿宋_GB2312" w:hAnsi="仿宋_GB2312" w:eastAsia="仿宋_GB2312" w:cs="仿宋_GB2312"/>
                <w:sz w:val="21"/>
                <w:szCs w:val="21"/>
                <w:lang w:val="zh-CN" w:eastAsia="zh-CN"/>
              </w:rPr>
              <w:t>采购人名称：陇南市妇女联合会</w:t>
            </w:r>
          </w:p>
          <w:p w14:paraId="564B9B35">
            <w:pPr>
              <w:pStyle w:val="110"/>
              <w:ind w:left="38"/>
              <w:jc w:val="left"/>
              <w:outlineLvl w:val="9"/>
              <w:rPr>
                <w:rFonts w:hint="default" w:ascii="仿宋_GB2312" w:hAnsi="仿宋_GB2312" w:eastAsia="仿宋_GB2312" w:cs="Times New Roman"/>
                <w:sz w:val="21"/>
                <w:szCs w:val="21"/>
                <w:lang w:val="en-US" w:eastAsia="zh-CN"/>
              </w:rPr>
            </w:pPr>
            <w:r>
              <w:rPr>
                <w:rFonts w:hint="eastAsia" w:ascii="仿宋_GB2312" w:hAnsi="仿宋_GB2312" w:eastAsia="仿宋_GB2312" w:cs="仿宋_GB2312"/>
                <w:sz w:val="21"/>
                <w:szCs w:val="21"/>
                <w:lang w:val="zh-CN" w:eastAsia="zh-CN"/>
              </w:rPr>
              <w:t>联系人：冯  蕾</w:t>
            </w:r>
          </w:p>
          <w:p w14:paraId="51FBF696">
            <w:pPr>
              <w:pStyle w:val="110"/>
              <w:jc w:val="left"/>
              <w:outlineLvl w:val="9"/>
              <w:rPr>
                <w:rFonts w:hint="default" w:ascii="仿宋_GB2312" w:hAnsi="仿宋_GB2312" w:eastAsia="仿宋_GB2312" w:cs="Times New Roman"/>
                <w:sz w:val="21"/>
                <w:szCs w:val="21"/>
                <w:lang w:val="en-US" w:eastAsia="zh-CN"/>
              </w:rPr>
            </w:pPr>
            <w:r>
              <w:rPr>
                <w:rFonts w:hint="eastAsia" w:ascii="仿宋_GB2312" w:hAnsi="仿宋_GB2312" w:eastAsia="仿宋_GB2312" w:cs="Times New Roman"/>
                <w:sz w:val="21"/>
                <w:szCs w:val="21"/>
                <w:lang w:val="zh-CN" w:eastAsia="zh-CN"/>
              </w:rPr>
              <w:t>联系电话：</w:t>
            </w:r>
            <w:r>
              <w:rPr>
                <w:rFonts w:hint="eastAsia" w:ascii="仿宋_GB2312" w:hAnsi="仿宋_GB2312" w:eastAsia="仿宋_GB2312" w:cs="Times New Roman"/>
                <w:sz w:val="21"/>
                <w:szCs w:val="21"/>
                <w:lang w:eastAsia="zh-CN"/>
              </w:rPr>
              <w:t>0939-</w:t>
            </w:r>
            <w:r>
              <w:rPr>
                <w:rFonts w:hint="eastAsia" w:ascii="仿宋_GB2312" w:hAnsi="仿宋_GB2312" w:eastAsia="仿宋_GB2312" w:cs="Times New Roman"/>
                <w:sz w:val="21"/>
                <w:szCs w:val="21"/>
                <w:lang w:val="zh-CN" w:eastAsia="zh-CN"/>
              </w:rPr>
              <w:t>5918862</w:t>
            </w:r>
          </w:p>
          <w:p w14:paraId="3DB57DCE">
            <w:pPr>
              <w:pStyle w:val="110"/>
              <w:jc w:val="left"/>
              <w:outlineLvl w:val="9"/>
              <w:rPr>
                <w:rFonts w:ascii="仿宋_GB2312" w:hAnsi="仿宋_GB2312" w:eastAsia="仿宋_GB2312" w:cs="Times New Roman"/>
                <w:sz w:val="21"/>
                <w:szCs w:val="21"/>
                <w:lang w:eastAsia="zh-CN"/>
              </w:rPr>
            </w:pPr>
            <w:r>
              <w:rPr>
                <w:rFonts w:hint="eastAsia" w:ascii="仿宋_GB2312" w:hAnsi="仿宋_GB2312" w:eastAsia="仿宋_GB2312" w:cs="Times New Roman"/>
                <w:sz w:val="21"/>
                <w:szCs w:val="21"/>
                <w:lang w:val="zh-CN" w:eastAsia="zh-CN"/>
              </w:rPr>
              <w:t>地址：甘肃省陇南市武都区东江行政中心D栋工青妇综合楼</w:t>
            </w:r>
          </w:p>
        </w:tc>
      </w:tr>
      <w:tr w14:paraId="2BC39A0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99" w:hRule="atLeast"/>
          <w:jc w:val="center"/>
        </w:trPr>
        <w:tc>
          <w:tcPr>
            <w:tcW w:w="1012" w:type="dxa"/>
            <w:tcBorders>
              <w:bottom w:val="single" w:color="auto" w:sz="4" w:space="0"/>
            </w:tcBorders>
            <w:vAlign w:val="center"/>
          </w:tcPr>
          <w:p w14:paraId="00E3CD5E">
            <w:pPr>
              <w:pStyle w:val="110"/>
              <w:ind w:right="230"/>
              <w:jc w:val="center"/>
              <w:outlineLvl w:val="9"/>
              <w:rPr>
                <w:rFonts w:hint="eastAsia" w:ascii="仿宋_GB2312" w:hAnsi="仿宋_GB2312" w:eastAsia="仿宋_GB2312" w:cs="Times New Roman"/>
                <w:sz w:val="21"/>
                <w:szCs w:val="21"/>
                <w:lang w:val="zh-CN" w:eastAsia="zh-CN"/>
              </w:rPr>
            </w:pPr>
            <w:r>
              <w:rPr>
                <w:rFonts w:hint="eastAsia" w:ascii="仿宋_GB2312" w:hAnsi="仿宋_GB2312" w:eastAsia="仿宋_GB2312" w:cs="仿宋_GB2312"/>
                <w:sz w:val="21"/>
                <w:szCs w:val="21"/>
                <w:lang w:val="en-US" w:eastAsia="zh-CN"/>
              </w:rPr>
              <w:t>4</w:t>
            </w:r>
          </w:p>
        </w:tc>
        <w:tc>
          <w:tcPr>
            <w:tcW w:w="1591" w:type="dxa"/>
            <w:tcBorders>
              <w:bottom w:val="single" w:color="auto" w:sz="4" w:space="0"/>
            </w:tcBorders>
            <w:vAlign w:val="center"/>
          </w:tcPr>
          <w:p w14:paraId="49EE66ED">
            <w:pPr>
              <w:pStyle w:val="110"/>
              <w:ind w:left="38"/>
              <w:jc w:val="center"/>
              <w:outlineLvl w:val="9"/>
              <w:rPr>
                <w:rFonts w:ascii="仿宋_GB2312" w:hAnsi="仿宋_GB2312" w:eastAsia="仿宋_GB2312" w:cs="Times New Roman"/>
                <w:b/>
                <w:bCs/>
                <w:sz w:val="21"/>
                <w:szCs w:val="21"/>
                <w:lang w:val="zh-CN" w:eastAsia="zh-CN"/>
              </w:rPr>
            </w:pPr>
            <w:r>
              <w:rPr>
                <w:rFonts w:hint="eastAsia" w:ascii="仿宋_GB2312" w:hAnsi="仿宋_GB2312" w:eastAsia="仿宋_GB2312" w:cs="仿宋_GB2312"/>
                <w:b/>
                <w:bCs/>
                <w:sz w:val="21"/>
                <w:szCs w:val="21"/>
                <w:lang w:val="en-US" w:eastAsia="zh-CN"/>
              </w:rPr>
              <w:t>集采</w:t>
            </w:r>
            <w:r>
              <w:rPr>
                <w:rFonts w:hint="eastAsia" w:ascii="仿宋_GB2312" w:hAnsi="仿宋_GB2312" w:eastAsia="仿宋_GB2312" w:cs="仿宋_GB2312"/>
                <w:b/>
                <w:bCs/>
                <w:sz w:val="21"/>
                <w:szCs w:val="21"/>
                <w:lang w:val="zh-CN" w:eastAsia="zh-CN"/>
              </w:rPr>
              <w:t>机构</w:t>
            </w:r>
          </w:p>
        </w:tc>
        <w:tc>
          <w:tcPr>
            <w:tcW w:w="7154" w:type="dxa"/>
            <w:tcBorders>
              <w:bottom w:val="single" w:color="auto" w:sz="4" w:space="0"/>
            </w:tcBorders>
            <w:vAlign w:val="center"/>
          </w:tcPr>
          <w:p w14:paraId="017340E0">
            <w:pPr>
              <w:pStyle w:val="110"/>
              <w:ind w:left="38"/>
              <w:jc w:val="left"/>
              <w:outlineLvl w:val="9"/>
              <w:rPr>
                <w:rFonts w:hint="eastAsia" w:ascii="仿宋_GB2312" w:hAnsi="仿宋_GB2312" w:eastAsia="仿宋_GB2312" w:cs="Times New Roman"/>
                <w:sz w:val="21"/>
                <w:szCs w:val="21"/>
                <w:lang w:eastAsia="zh-CN"/>
              </w:rPr>
            </w:pPr>
            <w:bookmarkStart w:id="16" w:name="Agency__AgencyName__2"/>
            <w:bookmarkEnd w:id="16"/>
            <w:r>
              <w:rPr>
                <w:rFonts w:hint="eastAsia" w:ascii="仿宋_GB2312" w:hAnsi="仿宋_GB2312" w:eastAsia="仿宋_GB2312" w:cs="Times New Roman"/>
                <w:sz w:val="21"/>
                <w:szCs w:val="21"/>
                <w:lang w:eastAsia="zh-CN"/>
              </w:rPr>
              <w:t xml:space="preserve">集采机构：陇南市公共资源交易中心 </w:t>
            </w:r>
          </w:p>
          <w:p w14:paraId="1E2EBC4F">
            <w:pPr>
              <w:pStyle w:val="110"/>
              <w:ind w:left="38"/>
              <w:jc w:val="left"/>
              <w:outlineLvl w:val="9"/>
              <w:rPr>
                <w:rFonts w:hint="eastAsia" w:ascii="仿宋_GB2312" w:hAnsi="仿宋_GB2312" w:eastAsia="仿宋_GB2312" w:cs="Times New Roman"/>
                <w:sz w:val="21"/>
                <w:szCs w:val="21"/>
                <w:lang w:eastAsia="zh-CN"/>
              </w:rPr>
            </w:pPr>
            <w:r>
              <w:rPr>
                <w:rFonts w:hint="eastAsia" w:ascii="仿宋_GB2312" w:hAnsi="仿宋_GB2312" w:eastAsia="仿宋_GB2312" w:cs="Times New Roman"/>
                <w:sz w:val="21"/>
                <w:szCs w:val="21"/>
                <w:lang w:eastAsia="zh-CN"/>
              </w:rPr>
              <w:t>联系人：焦陇东</w:t>
            </w:r>
          </w:p>
          <w:p w14:paraId="03FDFC94">
            <w:pPr>
              <w:pStyle w:val="110"/>
              <w:ind w:left="38"/>
              <w:jc w:val="left"/>
              <w:outlineLvl w:val="9"/>
              <w:rPr>
                <w:rFonts w:hint="eastAsia" w:ascii="仿宋_GB2312" w:hAnsi="仿宋_GB2312" w:eastAsia="仿宋_GB2312" w:cs="Times New Roman"/>
                <w:sz w:val="21"/>
                <w:szCs w:val="21"/>
                <w:lang w:eastAsia="zh-CN"/>
              </w:rPr>
            </w:pPr>
            <w:r>
              <w:rPr>
                <w:rFonts w:hint="eastAsia" w:ascii="仿宋_GB2312" w:hAnsi="仿宋_GB2312" w:eastAsia="仿宋_GB2312" w:cs="Times New Roman"/>
                <w:sz w:val="21"/>
                <w:szCs w:val="21"/>
                <w:lang w:eastAsia="zh-CN"/>
              </w:rPr>
              <w:t>联系电话：0939-8460432</w:t>
            </w:r>
          </w:p>
          <w:p w14:paraId="223E0708">
            <w:pPr>
              <w:pStyle w:val="110"/>
              <w:ind w:left="38"/>
              <w:jc w:val="left"/>
              <w:outlineLvl w:val="9"/>
              <w:rPr>
                <w:rFonts w:ascii="仿宋_GB2312" w:hAnsi="仿宋_GB2312" w:eastAsia="仿宋_GB2312" w:cs="Times New Roman"/>
                <w:sz w:val="21"/>
                <w:szCs w:val="21"/>
                <w:lang w:eastAsia="zh-CN"/>
              </w:rPr>
            </w:pPr>
            <w:r>
              <w:rPr>
                <w:rFonts w:hint="eastAsia" w:ascii="仿宋_GB2312" w:hAnsi="仿宋_GB2312" w:eastAsia="仿宋_GB2312" w:cs="Times New Roman"/>
                <w:sz w:val="21"/>
                <w:szCs w:val="21"/>
                <w:lang w:eastAsia="zh-CN"/>
              </w:rPr>
              <w:t>地址：陇南市行政中心5号楼（环保大厦）3楼3</w:t>
            </w:r>
            <w:r>
              <w:rPr>
                <w:rFonts w:hint="eastAsia" w:ascii="仿宋_GB2312" w:hAnsi="仿宋_GB2312" w:eastAsia="仿宋_GB2312" w:cs="Times New Roman"/>
                <w:sz w:val="21"/>
                <w:szCs w:val="21"/>
                <w:lang w:val="en-US" w:eastAsia="zh-CN"/>
              </w:rPr>
              <w:t>16</w:t>
            </w:r>
            <w:r>
              <w:rPr>
                <w:rFonts w:hint="eastAsia" w:ascii="仿宋_GB2312" w:hAnsi="仿宋_GB2312" w:eastAsia="仿宋_GB2312" w:cs="Times New Roman"/>
                <w:sz w:val="21"/>
                <w:szCs w:val="21"/>
                <w:lang w:eastAsia="zh-CN"/>
              </w:rPr>
              <w:t>室</w:t>
            </w:r>
          </w:p>
        </w:tc>
      </w:tr>
      <w:tr w14:paraId="56DBD11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99" w:hRule="atLeast"/>
          <w:jc w:val="center"/>
        </w:trPr>
        <w:tc>
          <w:tcPr>
            <w:tcW w:w="1012" w:type="dxa"/>
            <w:tcBorders>
              <w:top w:val="single" w:color="auto" w:sz="4" w:space="0"/>
            </w:tcBorders>
            <w:vAlign w:val="center"/>
          </w:tcPr>
          <w:p w14:paraId="423F0A1A">
            <w:pPr>
              <w:pStyle w:val="110"/>
              <w:ind w:right="230"/>
              <w:jc w:val="center"/>
              <w:outlineLvl w:val="9"/>
              <w:rPr>
                <w:rFonts w:ascii="仿宋_GB2312" w:hAnsi="仿宋_GB2312" w:eastAsia="仿宋_GB2312" w:cs="Times New Roman"/>
                <w:sz w:val="21"/>
                <w:szCs w:val="21"/>
                <w:lang w:val="zh-CN" w:eastAsia="zh-CN"/>
              </w:rPr>
            </w:pPr>
            <w:r>
              <w:rPr>
                <w:rFonts w:ascii="仿宋_GB2312" w:hAnsi="仿宋_GB2312" w:eastAsia="仿宋_GB2312" w:cs="仿宋_GB2312"/>
                <w:sz w:val="21"/>
                <w:szCs w:val="21"/>
                <w:lang w:eastAsia="zh-CN"/>
              </w:rPr>
              <w:t>5</w:t>
            </w:r>
          </w:p>
        </w:tc>
        <w:tc>
          <w:tcPr>
            <w:tcW w:w="1591" w:type="dxa"/>
            <w:tcBorders>
              <w:top w:val="single" w:color="auto" w:sz="4" w:space="0"/>
            </w:tcBorders>
            <w:vAlign w:val="center"/>
          </w:tcPr>
          <w:p w14:paraId="1CF8877C">
            <w:pPr>
              <w:pStyle w:val="110"/>
              <w:jc w:val="center"/>
              <w:outlineLvl w:val="9"/>
              <w:rPr>
                <w:rFonts w:hint="eastAsia" w:ascii="仿宋_GB2312" w:hAnsi="仿宋_GB2312" w:eastAsia="仿宋_GB2312" w:cs="仿宋_GB2312"/>
                <w:b/>
                <w:bCs/>
                <w:sz w:val="21"/>
                <w:szCs w:val="21"/>
                <w:lang w:val="zh-CN" w:eastAsia="zh-CN"/>
              </w:rPr>
            </w:pPr>
            <w:r>
              <w:rPr>
                <w:rFonts w:hint="eastAsia" w:ascii="仿宋_GB2312" w:hAnsi="仿宋_GB2312" w:eastAsia="仿宋_GB2312" w:cs="仿宋_GB2312"/>
                <w:b/>
                <w:bCs/>
                <w:sz w:val="21"/>
                <w:szCs w:val="21"/>
                <w:lang w:val="zh-CN" w:eastAsia="zh-CN"/>
              </w:rPr>
              <w:t>项目预算、</w:t>
            </w:r>
          </w:p>
          <w:p w14:paraId="4D01D8ED">
            <w:pPr>
              <w:pStyle w:val="110"/>
              <w:jc w:val="center"/>
              <w:outlineLvl w:val="9"/>
              <w:rPr>
                <w:rFonts w:ascii="仿宋_GB2312" w:hAnsi="仿宋_GB2312" w:eastAsia="仿宋_GB2312" w:cs="Times New Roman"/>
                <w:b/>
                <w:bCs/>
                <w:sz w:val="21"/>
                <w:szCs w:val="21"/>
                <w:lang w:val="zh-CN" w:eastAsia="zh-CN"/>
              </w:rPr>
            </w:pPr>
            <w:r>
              <w:rPr>
                <w:rFonts w:hint="eastAsia" w:ascii="仿宋_GB2312" w:hAnsi="仿宋_GB2312" w:eastAsia="仿宋_GB2312" w:cs="仿宋_GB2312"/>
                <w:b/>
                <w:bCs/>
                <w:sz w:val="21"/>
                <w:szCs w:val="21"/>
                <w:lang w:val="en-US" w:eastAsia="zh-CN"/>
              </w:rPr>
              <w:t>分包情况</w:t>
            </w:r>
          </w:p>
        </w:tc>
        <w:tc>
          <w:tcPr>
            <w:tcW w:w="7154" w:type="dxa"/>
            <w:tcBorders>
              <w:top w:val="single" w:color="auto" w:sz="4" w:space="0"/>
            </w:tcBorders>
            <w:vAlign w:val="center"/>
          </w:tcPr>
          <w:p w14:paraId="407AF42B">
            <w:pPr>
              <w:spacing w:line="360" w:lineRule="auto"/>
              <w:outlineLvl w:val="9"/>
              <w:rPr>
                <w:rFonts w:hint="eastAsia" w:ascii="仿宋_GB2312" w:hAnsi="仿宋_GB2312" w:eastAsia="仿宋_GB2312"/>
                <w:b/>
                <w:bCs/>
                <w:lang w:val="en-US" w:eastAsia="zh-CN"/>
              </w:rPr>
            </w:pPr>
            <w:r>
              <w:rPr>
                <w:rFonts w:hint="eastAsia" w:ascii="仿宋_GB2312" w:hAnsi="仿宋_GB2312" w:eastAsia="仿宋_GB2312" w:cs="仿宋_GB2312"/>
                <w:b w:val="0"/>
                <w:bCs w:val="0"/>
              </w:rPr>
              <w:t>本项目采购预算</w:t>
            </w:r>
            <w:r>
              <w:rPr>
                <w:rFonts w:hint="eastAsia" w:ascii="仿宋_GB2312" w:hAnsi="仿宋_GB2312" w:eastAsia="仿宋_GB2312" w:cs="仿宋_GB2312"/>
                <w:b w:val="0"/>
                <w:bCs w:val="0"/>
                <w:u w:val="single"/>
                <w:lang w:val="en-US" w:eastAsia="zh-CN"/>
              </w:rPr>
              <w:t xml:space="preserve"> 50 </w:t>
            </w:r>
            <w:r>
              <w:rPr>
                <w:rFonts w:hint="eastAsia" w:ascii="仿宋_GB2312" w:hAnsi="仿宋_GB2312" w:eastAsia="仿宋_GB2312" w:cs="仿宋_GB2312"/>
                <w:b w:val="0"/>
                <w:bCs w:val="0"/>
              </w:rPr>
              <w:t>万元，最高限价为</w:t>
            </w:r>
            <w:r>
              <w:rPr>
                <w:rFonts w:hint="eastAsia" w:ascii="仿宋_GB2312" w:hAnsi="仿宋_GB2312" w:eastAsia="仿宋_GB2312" w:cs="仿宋_GB2312"/>
                <w:b w:val="0"/>
                <w:bCs w:val="0"/>
                <w:u w:val="single"/>
                <w:lang w:val="en-US" w:eastAsia="zh-CN"/>
              </w:rPr>
              <w:t xml:space="preserve"> 50 </w:t>
            </w:r>
            <w:r>
              <w:rPr>
                <w:rFonts w:hint="eastAsia" w:ascii="仿宋_GB2312" w:hAnsi="仿宋_GB2312" w:eastAsia="仿宋_GB2312" w:cs="仿宋_GB2312"/>
                <w:b w:val="0"/>
                <w:bCs w:val="0"/>
              </w:rPr>
              <w:t>万元，本项目共分为一个包。</w:t>
            </w:r>
            <w:r>
              <w:rPr>
                <w:rFonts w:hint="eastAsia" w:ascii="仿宋_GB2312" w:hAnsi="仿宋_GB2312" w:eastAsia="仿宋_GB2312" w:cs="仿宋_GB2312"/>
                <w:b w:val="0"/>
                <w:bCs w:val="0"/>
                <w:lang w:val="en-US" w:eastAsia="zh-CN"/>
              </w:rPr>
              <w:t>计划采购日常生活用品。</w:t>
            </w:r>
          </w:p>
        </w:tc>
      </w:tr>
      <w:tr w14:paraId="6A8CD37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10" w:hRule="exact"/>
          <w:jc w:val="center"/>
        </w:trPr>
        <w:tc>
          <w:tcPr>
            <w:tcW w:w="1012" w:type="dxa"/>
            <w:vAlign w:val="center"/>
          </w:tcPr>
          <w:p w14:paraId="38B38E92">
            <w:pPr>
              <w:pStyle w:val="110"/>
              <w:ind w:right="230"/>
              <w:jc w:val="center"/>
              <w:outlineLvl w:val="9"/>
              <w:rPr>
                <w:rFonts w:ascii="仿宋_GB2312" w:hAnsi="仿宋_GB2312" w:eastAsia="仿宋_GB2312" w:cs="Times New Roman"/>
                <w:sz w:val="21"/>
                <w:szCs w:val="21"/>
                <w:lang w:val="zh-CN" w:eastAsia="zh-CN"/>
              </w:rPr>
            </w:pPr>
            <w:r>
              <w:rPr>
                <w:rFonts w:ascii="仿宋_GB2312" w:hAnsi="仿宋_GB2312" w:eastAsia="仿宋_GB2312" w:cs="仿宋_GB2312"/>
                <w:sz w:val="21"/>
                <w:szCs w:val="21"/>
                <w:lang w:eastAsia="zh-CN"/>
              </w:rPr>
              <w:t>6</w:t>
            </w:r>
          </w:p>
        </w:tc>
        <w:tc>
          <w:tcPr>
            <w:tcW w:w="1591" w:type="dxa"/>
            <w:vAlign w:val="center"/>
          </w:tcPr>
          <w:p w14:paraId="38A311F6">
            <w:pPr>
              <w:pStyle w:val="110"/>
              <w:ind w:left="38"/>
              <w:jc w:val="center"/>
              <w:outlineLvl w:val="9"/>
              <w:rPr>
                <w:rFonts w:ascii="仿宋_GB2312" w:hAnsi="仿宋_GB2312" w:eastAsia="仿宋_GB2312" w:cs="Times New Roman"/>
                <w:b/>
                <w:bCs/>
                <w:sz w:val="21"/>
                <w:szCs w:val="21"/>
                <w:lang w:val="zh-CN" w:eastAsia="zh-CN"/>
              </w:rPr>
            </w:pPr>
            <w:r>
              <w:rPr>
                <w:rFonts w:hint="eastAsia" w:ascii="仿宋_GB2312" w:hAnsi="仿宋_GB2312" w:eastAsia="仿宋_GB2312" w:cs="仿宋_GB2312"/>
                <w:b/>
                <w:bCs/>
                <w:sz w:val="21"/>
                <w:szCs w:val="21"/>
                <w:lang w:val="zh-CN" w:eastAsia="zh-CN"/>
              </w:rPr>
              <w:t>资金来源</w:t>
            </w:r>
          </w:p>
        </w:tc>
        <w:tc>
          <w:tcPr>
            <w:tcW w:w="7154" w:type="dxa"/>
            <w:vAlign w:val="center"/>
          </w:tcPr>
          <w:p w14:paraId="6928CEA3">
            <w:pPr>
              <w:widowControl/>
              <w:spacing w:line="400" w:lineRule="atLeast"/>
              <w:jc w:val="left"/>
              <w:outlineLvl w:val="9"/>
              <w:rPr>
                <w:rFonts w:ascii="仿宋_GB2312" w:hAnsi="仿宋_GB2312" w:eastAsia="仿宋_GB2312"/>
                <w:sz w:val="22"/>
                <w:szCs w:val="22"/>
                <w:lang w:val="zh-CN"/>
              </w:rPr>
            </w:pPr>
            <w:r>
              <w:rPr>
                <w:rFonts w:hint="eastAsia" w:ascii="仿宋_GB2312" w:hAnsi="仿宋_GB2312" w:eastAsia="仿宋_GB2312" w:cs="仿宋_GB2312"/>
                <w:sz w:val="22"/>
                <w:szCs w:val="22"/>
                <w:lang w:val="zh-CN"/>
              </w:rPr>
              <w:t>（</w:t>
            </w:r>
            <w:r>
              <w:rPr>
                <w:rFonts w:ascii="仿宋_GB2312" w:hAnsi="仿宋_GB2312" w:eastAsia="仿宋_GB2312" w:cs="仿宋_GB2312"/>
                <w:sz w:val="22"/>
                <w:szCs w:val="22"/>
              </w:rPr>
              <w:t xml:space="preserve"> </w:t>
            </w:r>
            <w:r>
              <w:rPr>
                <w:rFonts w:hint="default" w:ascii="Arial" w:hAnsi="Arial" w:eastAsia="仿宋_GB2312" w:cs="Arial"/>
                <w:sz w:val="22"/>
                <w:szCs w:val="22"/>
              </w:rPr>
              <w:t>√</w:t>
            </w:r>
            <w:r>
              <w:rPr>
                <w:rFonts w:ascii="仿宋_GB2312" w:hAnsi="仿宋_GB2312" w:eastAsia="仿宋_GB2312" w:cs="仿宋_GB2312"/>
                <w:sz w:val="22"/>
                <w:szCs w:val="22"/>
              </w:rPr>
              <w:t xml:space="preserve"> </w:t>
            </w:r>
            <w:r>
              <w:rPr>
                <w:rFonts w:hint="eastAsia" w:ascii="仿宋_GB2312" w:hAnsi="仿宋_GB2312" w:eastAsia="仿宋_GB2312" w:cs="仿宋_GB2312"/>
                <w:sz w:val="22"/>
                <w:szCs w:val="22"/>
                <w:lang w:val="zh-CN"/>
              </w:rPr>
              <w:t>）财政预算</w:t>
            </w:r>
            <w:r>
              <w:rPr>
                <w:rFonts w:ascii="仿宋_GB2312" w:hAnsi="仿宋_GB2312" w:eastAsia="仿宋_GB2312" w:cs="仿宋_GB2312"/>
                <w:sz w:val="22"/>
                <w:szCs w:val="22"/>
              </w:rPr>
              <w:t xml:space="preserve">      </w:t>
            </w:r>
            <w:r>
              <w:rPr>
                <w:rFonts w:hint="eastAsia" w:ascii="仿宋_GB2312" w:hAnsi="仿宋_GB2312" w:eastAsia="仿宋_GB2312" w:cs="仿宋_GB2312"/>
                <w:sz w:val="22"/>
                <w:szCs w:val="22"/>
                <w:lang w:val="zh-CN"/>
              </w:rPr>
              <w:t>（</w:t>
            </w:r>
            <w:r>
              <w:rPr>
                <w:rFonts w:ascii="仿宋_GB2312" w:hAnsi="仿宋_GB2312" w:eastAsia="仿宋_GB2312" w:cs="仿宋_GB2312"/>
                <w:sz w:val="22"/>
                <w:szCs w:val="22"/>
              </w:rPr>
              <w:t xml:space="preserve">  </w:t>
            </w:r>
            <w:r>
              <w:rPr>
                <w:rFonts w:hint="eastAsia" w:ascii="仿宋_GB2312" w:hAnsi="仿宋_GB2312" w:eastAsia="仿宋_GB2312" w:cs="仿宋_GB2312"/>
                <w:sz w:val="22"/>
                <w:szCs w:val="22"/>
                <w:lang w:val="zh-CN"/>
              </w:rPr>
              <w:t>）单位自有资金。</w:t>
            </w:r>
          </w:p>
          <w:p w14:paraId="583E9913">
            <w:pPr>
              <w:widowControl/>
              <w:spacing w:line="400" w:lineRule="atLeast"/>
              <w:ind w:firstLine="220" w:firstLineChars="100"/>
              <w:jc w:val="left"/>
              <w:outlineLvl w:val="9"/>
              <w:rPr>
                <w:rFonts w:ascii="仿宋_GB2312" w:hAnsi="仿宋_GB2312" w:eastAsia="仿宋_GB2312"/>
                <w:kern w:val="0"/>
              </w:rPr>
            </w:pPr>
            <w:r>
              <w:rPr>
                <w:rFonts w:hint="eastAsia" w:ascii="仿宋_GB2312" w:hAnsi="仿宋_GB2312" w:eastAsia="仿宋_GB2312" w:cs="仿宋_GB2312"/>
                <w:sz w:val="22"/>
                <w:szCs w:val="22"/>
              </w:rPr>
              <w:t>资金已落实，尚未采购。</w:t>
            </w:r>
          </w:p>
        </w:tc>
      </w:tr>
      <w:tr w14:paraId="1EEC83D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69" w:hRule="exact"/>
          <w:jc w:val="center"/>
        </w:trPr>
        <w:tc>
          <w:tcPr>
            <w:tcW w:w="1012" w:type="dxa"/>
            <w:vAlign w:val="center"/>
          </w:tcPr>
          <w:p w14:paraId="790C21B2">
            <w:pPr>
              <w:pStyle w:val="110"/>
              <w:ind w:right="230"/>
              <w:jc w:val="center"/>
              <w:outlineLvl w:val="9"/>
              <w:rPr>
                <w:rFonts w:ascii="仿宋_GB2312" w:hAnsi="仿宋_GB2312" w:eastAsia="仿宋_GB2312" w:cs="Times New Roman"/>
                <w:sz w:val="21"/>
                <w:szCs w:val="21"/>
                <w:lang w:val="zh-CN" w:eastAsia="zh-CN"/>
              </w:rPr>
            </w:pPr>
            <w:r>
              <w:rPr>
                <w:rFonts w:ascii="仿宋_GB2312" w:hAnsi="仿宋_GB2312" w:eastAsia="仿宋_GB2312" w:cs="仿宋_GB2312"/>
                <w:sz w:val="21"/>
                <w:szCs w:val="21"/>
                <w:lang w:eastAsia="zh-CN"/>
              </w:rPr>
              <w:t>7</w:t>
            </w:r>
          </w:p>
        </w:tc>
        <w:tc>
          <w:tcPr>
            <w:tcW w:w="1591" w:type="dxa"/>
            <w:vAlign w:val="center"/>
          </w:tcPr>
          <w:p w14:paraId="552337A9">
            <w:pPr>
              <w:pStyle w:val="110"/>
              <w:ind w:left="38"/>
              <w:jc w:val="center"/>
              <w:outlineLvl w:val="9"/>
              <w:rPr>
                <w:rFonts w:ascii="仿宋_GB2312" w:hAnsi="仿宋_GB2312" w:eastAsia="仿宋_GB2312" w:cs="Times New Roman"/>
                <w:b/>
                <w:bCs/>
                <w:sz w:val="21"/>
                <w:szCs w:val="21"/>
                <w:lang w:val="zh-CN" w:eastAsia="zh-CN"/>
              </w:rPr>
            </w:pPr>
            <w:r>
              <w:rPr>
                <w:rFonts w:hint="eastAsia" w:ascii="仿宋_GB2312" w:hAnsi="仿宋_GB2312" w:eastAsia="仿宋_GB2312" w:cs="仿宋_GB2312"/>
                <w:b/>
                <w:bCs/>
                <w:sz w:val="21"/>
                <w:szCs w:val="21"/>
                <w:lang w:val="zh-CN" w:eastAsia="zh-CN"/>
              </w:rPr>
              <w:t>采购方式</w:t>
            </w:r>
          </w:p>
        </w:tc>
        <w:tc>
          <w:tcPr>
            <w:tcW w:w="7154" w:type="dxa"/>
            <w:vAlign w:val="center"/>
          </w:tcPr>
          <w:p w14:paraId="2460B7D5">
            <w:pPr>
              <w:pStyle w:val="110"/>
              <w:outlineLvl w:val="9"/>
              <w:rPr>
                <w:rFonts w:ascii="仿宋_GB2312" w:hAnsi="仿宋_GB2312" w:eastAsia="仿宋_GB2312" w:cs="Times New Roman"/>
                <w:sz w:val="21"/>
                <w:szCs w:val="21"/>
                <w:lang w:val="zh-CN" w:eastAsia="zh-CN"/>
              </w:rPr>
            </w:pPr>
            <w:r>
              <w:rPr>
                <w:rFonts w:ascii="仿宋_GB2312" w:hAnsi="仿宋_GB2312" w:eastAsia="仿宋_GB2312" w:cs="仿宋_GB2312"/>
                <w:sz w:val="21"/>
                <w:szCs w:val="21"/>
                <w:lang w:val="zh-CN" w:eastAsia="zh-CN"/>
              </w:rPr>
              <w:t xml:space="preserve">  </w:t>
            </w:r>
            <w:r>
              <w:rPr>
                <w:rFonts w:hint="eastAsia" w:ascii="仿宋_GB2312" w:hAnsi="仿宋_GB2312" w:eastAsia="仿宋_GB2312" w:cs="仿宋_GB2312"/>
                <w:sz w:val="21"/>
                <w:szCs w:val="21"/>
                <w:lang w:val="zh-CN" w:eastAsia="zh-CN"/>
              </w:rPr>
              <w:t>公开招标</w:t>
            </w:r>
          </w:p>
        </w:tc>
      </w:tr>
      <w:tr w14:paraId="4A6DF6F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75" w:hRule="atLeast"/>
          <w:jc w:val="center"/>
        </w:trPr>
        <w:tc>
          <w:tcPr>
            <w:tcW w:w="1012" w:type="dxa"/>
            <w:vAlign w:val="center"/>
          </w:tcPr>
          <w:p w14:paraId="67A26839">
            <w:pPr>
              <w:pStyle w:val="110"/>
              <w:ind w:right="230"/>
              <w:jc w:val="center"/>
              <w:outlineLvl w:val="9"/>
              <w:rPr>
                <w:rFonts w:ascii="仿宋_GB2312" w:hAnsi="仿宋_GB2312" w:eastAsia="仿宋_GB2312" w:cs="Times New Roman"/>
                <w:sz w:val="21"/>
                <w:szCs w:val="21"/>
                <w:lang w:val="zh-CN" w:eastAsia="zh-CN"/>
              </w:rPr>
            </w:pPr>
            <w:r>
              <w:rPr>
                <w:rFonts w:ascii="仿宋_GB2312" w:hAnsi="仿宋_GB2312" w:eastAsia="仿宋_GB2312" w:cs="仿宋_GB2312"/>
                <w:sz w:val="21"/>
                <w:szCs w:val="21"/>
                <w:lang w:eastAsia="zh-CN"/>
              </w:rPr>
              <w:t>8</w:t>
            </w:r>
          </w:p>
        </w:tc>
        <w:tc>
          <w:tcPr>
            <w:tcW w:w="1591" w:type="dxa"/>
            <w:vAlign w:val="center"/>
          </w:tcPr>
          <w:p w14:paraId="65A91663">
            <w:pPr>
              <w:pStyle w:val="110"/>
              <w:keepNext w:val="0"/>
              <w:keepLines w:val="0"/>
              <w:pageBreakBefore w:val="0"/>
              <w:widowControl w:val="0"/>
              <w:kinsoku/>
              <w:wordWrap/>
              <w:overflowPunct/>
              <w:topLinePunct w:val="0"/>
              <w:autoSpaceDE w:val="0"/>
              <w:autoSpaceDN w:val="0"/>
              <w:bidi w:val="0"/>
              <w:adjustRightInd w:val="0"/>
              <w:snapToGrid/>
              <w:spacing w:after="0"/>
              <w:jc w:val="center"/>
              <w:textAlignment w:val="auto"/>
              <w:outlineLvl w:val="9"/>
              <w:rPr>
                <w:rFonts w:ascii="仿宋_GB2312" w:hAnsi="仿宋_GB2312" w:eastAsia="仿宋_GB2312" w:cs="Times New Roman"/>
                <w:b/>
                <w:bCs/>
                <w:szCs w:val="21"/>
                <w:lang w:val="zh-CN" w:eastAsia="zh-CN"/>
              </w:rPr>
            </w:pPr>
            <w:r>
              <w:rPr>
                <w:rFonts w:hint="eastAsia" w:ascii="仿宋_GB2312" w:hAnsi="仿宋_GB2312" w:eastAsia="仿宋_GB2312" w:cs="仿宋_GB2312"/>
                <w:b/>
                <w:bCs/>
                <w:sz w:val="21"/>
                <w:szCs w:val="21"/>
                <w:lang w:val="zh-CN" w:eastAsia="zh-CN"/>
              </w:rPr>
              <w:t>评标办法、定标方式</w:t>
            </w:r>
          </w:p>
        </w:tc>
        <w:tc>
          <w:tcPr>
            <w:tcW w:w="7154" w:type="dxa"/>
            <w:vAlign w:val="center"/>
          </w:tcPr>
          <w:p w14:paraId="0C50C236">
            <w:pPr>
              <w:pStyle w:val="110"/>
              <w:ind w:left="634" w:leftChars="102" w:hanging="420" w:hangingChars="200"/>
              <w:jc w:val="left"/>
              <w:outlineLvl w:val="9"/>
              <w:rPr>
                <w:rFonts w:ascii="仿宋_GB2312" w:hAnsi="仿宋_GB2312" w:eastAsia="仿宋_GB2312" w:cs="Times New Roman"/>
                <w:sz w:val="21"/>
                <w:szCs w:val="21"/>
                <w:lang w:val="zh-CN" w:eastAsia="zh-CN"/>
              </w:rPr>
            </w:pPr>
            <w:r>
              <w:rPr>
                <w:rFonts w:hint="eastAsia" w:ascii="仿宋_GB2312" w:hAnsi="仿宋_GB2312" w:eastAsia="仿宋_GB2312" w:cs="仿宋_GB2312"/>
                <w:sz w:val="21"/>
                <w:szCs w:val="21"/>
                <w:lang w:val="zh-CN" w:eastAsia="zh-CN"/>
              </w:rPr>
              <w:t>本项目采用综合评分法；</w:t>
            </w:r>
          </w:p>
          <w:p w14:paraId="00C54F2D">
            <w:pPr>
              <w:pStyle w:val="110"/>
              <w:jc w:val="left"/>
              <w:outlineLvl w:val="9"/>
              <w:rPr>
                <w:rFonts w:ascii="仿宋_GB2312" w:hAnsi="仿宋_GB2312" w:eastAsia="仿宋_GB2312" w:cs="Times New Roman"/>
                <w:kern w:val="2"/>
                <w:sz w:val="21"/>
                <w:szCs w:val="21"/>
                <w:lang w:val="zh-CN" w:eastAsia="zh-CN"/>
              </w:rPr>
            </w:pPr>
            <w:r>
              <w:rPr>
                <w:rFonts w:hint="eastAsia" w:ascii="仿宋_GB2312" w:hAnsi="仿宋_GB2312" w:eastAsia="仿宋_GB2312" w:cs="仿宋_GB2312"/>
                <w:sz w:val="21"/>
                <w:szCs w:val="21"/>
                <w:lang w:val="zh-CN" w:eastAsia="zh-CN"/>
              </w:rPr>
              <w:t>定标方式：由评标委员会推荐，采购单位按照评标报告推荐的顺序确定中标单位。</w:t>
            </w:r>
          </w:p>
        </w:tc>
      </w:tr>
      <w:tr w14:paraId="01CB4CE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88" w:hRule="exact"/>
          <w:jc w:val="center"/>
        </w:trPr>
        <w:tc>
          <w:tcPr>
            <w:tcW w:w="1012" w:type="dxa"/>
            <w:vAlign w:val="center"/>
          </w:tcPr>
          <w:p w14:paraId="5145E804">
            <w:pPr>
              <w:pStyle w:val="110"/>
              <w:ind w:right="230"/>
              <w:jc w:val="center"/>
              <w:outlineLvl w:val="9"/>
              <w:rPr>
                <w:rFonts w:ascii="仿宋_GB2312" w:hAnsi="仿宋_GB2312" w:eastAsia="仿宋_GB2312" w:cs="Times New Roman"/>
                <w:sz w:val="21"/>
                <w:szCs w:val="21"/>
                <w:lang w:val="zh-CN" w:eastAsia="zh-CN"/>
              </w:rPr>
            </w:pPr>
            <w:r>
              <w:rPr>
                <w:rFonts w:ascii="仿宋_GB2312" w:hAnsi="仿宋_GB2312" w:eastAsia="仿宋_GB2312" w:cs="仿宋_GB2312"/>
                <w:sz w:val="21"/>
                <w:szCs w:val="21"/>
                <w:lang w:eastAsia="zh-CN"/>
              </w:rPr>
              <w:t>9</w:t>
            </w:r>
          </w:p>
        </w:tc>
        <w:tc>
          <w:tcPr>
            <w:tcW w:w="1591" w:type="dxa"/>
            <w:vAlign w:val="center"/>
          </w:tcPr>
          <w:p w14:paraId="42BBE557">
            <w:pPr>
              <w:pStyle w:val="110"/>
              <w:keepNext w:val="0"/>
              <w:keepLines w:val="0"/>
              <w:pageBreakBefore w:val="0"/>
              <w:widowControl w:val="0"/>
              <w:kinsoku/>
              <w:wordWrap/>
              <w:overflowPunct/>
              <w:topLinePunct w:val="0"/>
              <w:autoSpaceDE w:val="0"/>
              <w:autoSpaceDN w:val="0"/>
              <w:bidi w:val="0"/>
              <w:adjustRightInd w:val="0"/>
              <w:snapToGrid/>
              <w:spacing w:after="0"/>
              <w:ind w:left="96"/>
              <w:jc w:val="center"/>
              <w:textAlignment w:val="auto"/>
              <w:outlineLvl w:val="9"/>
              <w:rPr>
                <w:rFonts w:hint="eastAsia" w:ascii="仿宋_GB2312" w:hAnsi="仿宋_GB2312" w:eastAsia="仿宋_GB2312" w:cs="仿宋_GB2312"/>
                <w:b/>
                <w:bCs/>
                <w:sz w:val="21"/>
                <w:szCs w:val="21"/>
                <w:lang w:val="zh-CN" w:eastAsia="zh-CN"/>
              </w:rPr>
            </w:pPr>
            <w:r>
              <w:rPr>
                <w:rFonts w:hint="eastAsia" w:ascii="仿宋_GB2312" w:hAnsi="仿宋_GB2312" w:eastAsia="仿宋_GB2312" w:cs="仿宋_GB2312"/>
                <w:b/>
                <w:bCs/>
                <w:sz w:val="21"/>
                <w:szCs w:val="21"/>
                <w:lang w:val="zh-CN" w:eastAsia="zh-CN"/>
              </w:rPr>
              <w:t>质量要求、</w:t>
            </w:r>
          </w:p>
          <w:p w14:paraId="0F87A6C3">
            <w:pPr>
              <w:pStyle w:val="110"/>
              <w:keepNext w:val="0"/>
              <w:keepLines w:val="0"/>
              <w:pageBreakBefore w:val="0"/>
              <w:widowControl w:val="0"/>
              <w:kinsoku/>
              <w:wordWrap/>
              <w:overflowPunct/>
              <w:topLinePunct w:val="0"/>
              <w:autoSpaceDE w:val="0"/>
              <w:autoSpaceDN w:val="0"/>
              <w:bidi w:val="0"/>
              <w:adjustRightInd w:val="0"/>
              <w:snapToGrid/>
              <w:spacing w:after="0"/>
              <w:ind w:left="96"/>
              <w:jc w:val="center"/>
              <w:textAlignment w:val="auto"/>
              <w:outlineLvl w:val="9"/>
              <w:rPr>
                <w:rFonts w:ascii="仿宋_GB2312" w:hAnsi="仿宋_GB2312" w:eastAsia="仿宋_GB2312" w:cs="Times New Roman"/>
                <w:b/>
                <w:bCs/>
                <w:sz w:val="21"/>
                <w:szCs w:val="21"/>
                <w:lang w:val="zh-CN" w:eastAsia="zh-CN"/>
              </w:rPr>
            </w:pPr>
            <w:r>
              <w:rPr>
                <w:rFonts w:hint="eastAsia" w:ascii="仿宋_GB2312" w:hAnsi="仿宋_GB2312" w:eastAsia="仿宋_GB2312" w:cs="仿宋_GB2312"/>
                <w:b/>
                <w:bCs/>
                <w:sz w:val="21"/>
                <w:szCs w:val="21"/>
                <w:lang w:val="zh-CN" w:eastAsia="zh-CN"/>
              </w:rPr>
              <w:t>验收标准</w:t>
            </w:r>
          </w:p>
        </w:tc>
        <w:tc>
          <w:tcPr>
            <w:tcW w:w="7154" w:type="dxa"/>
            <w:vAlign w:val="center"/>
          </w:tcPr>
          <w:p w14:paraId="61842945">
            <w:pPr>
              <w:pStyle w:val="110"/>
              <w:ind w:firstLine="210" w:firstLineChars="100"/>
              <w:outlineLvl w:val="9"/>
              <w:rPr>
                <w:rFonts w:ascii="仿宋_GB2312" w:hAnsi="仿宋_GB2312" w:eastAsia="仿宋_GB2312" w:cs="Times New Roman"/>
                <w:sz w:val="21"/>
                <w:szCs w:val="21"/>
                <w:lang w:eastAsia="zh-CN"/>
              </w:rPr>
            </w:pPr>
            <w:r>
              <w:rPr>
                <w:rFonts w:hint="eastAsia" w:ascii="仿宋_GB2312" w:hAnsi="仿宋_GB2312" w:eastAsia="仿宋_GB2312" w:cs="仿宋_GB2312"/>
                <w:sz w:val="21"/>
                <w:szCs w:val="21"/>
                <w:lang w:val="zh-CN" w:eastAsia="zh-CN"/>
              </w:rPr>
              <w:t>质量要求：达到国家现行</w:t>
            </w:r>
            <w:r>
              <w:rPr>
                <w:rFonts w:hint="eastAsia" w:ascii="仿宋_GB2312" w:hAnsi="仿宋_GB2312" w:eastAsia="仿宋_GB2312" w:cs="仿宋_GB2312"/>
                <w:sz w:val="21"/>
                <w:szCs w:val="21"/>
                <w:lang w:eastAsia="zh-CN"/>
              </w:rPr>
              <w:t>技术标准。</w:t>
            </w:r>
          </w:p>
          <w:p w14:paraId="106579EA">
            <w:pPr>
              <w:pStyle w:val="110"/>
              <w:ind w:firstLine="210" w:firstLineChars="100"/>
              <w:outlineLvl w:val="9"/>
              <w:rPr>
                <w:rFonts w:ascii="仿宋_GB2312" w:hAnsi="仿宋_GB2312" w:eastAsia="仿宋_GB2312" w:cs="Times New Roman"/>
                <w:sz w:val="21"/>
                <w:szCs w:val="21"/>
                <w:lang w:eastAsia="zh-CN"/>
              </w:rPr>
            </w:pPr>
            <w:r>
              <w:rPr>
                <w:rFonts w:hint="eastAsia" w:ascii="仿宋_GB2312" w:hAnsi="仿宋_GB2312" w:eastAsia="仿宋_GB2312" w:cs="仿宋_GB2312"/>
                <w:sz w:val="21"/>
                <w:szCs w:val="21"/>
                <w:lang w:eastAsia="zh-CN"/>
              </w:rPr>
              <w:t>验收标准：符合质量要求</w:t>
            </w:r>
          </w:p>
        </w:tc>
      </w:tr>
      <w:tr w14:paraId="73D6621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53" w:hRule="atLeast"/>
          <w:jc w:val="center"/>
        </w:trPr>
        <w:tc>
          <w:tcPr>
            <w:tcW w:w="1012" w:type="dxa"/>
            <w:tcBorders>
              <w:bottom w:val="single" w:color="auto" w:sz="4" w:space="0"/>
            </w:tcBorders>
            <w:vAlign w:val="center"/>
          </w:tcPr>
          <w:p w14:paraId="6EC55480">
            <w:pPr>
              <w:pStyle w:val="110"/>
              <w:ind w:right="230"/>
              <w:jc w:val="center"/>
              <w:outlineLvl w:val="9"/>
              <w:rPr>
                <w:rFonts w:ascii="仿宋_GB2312" w:hAnsi="仿宋_GB2312" w:eastAsia="仿宋_GB2312" w:cs="Times New Roman"/>
                <w:sz w:val="21"/>
                <w:szCs w:val="21"/>
                <w:lang w:val="zh-CN" w:eastAsia="zh-CN"/>
              </w:rPr>
            </w:pPr>
            <w:r>
              <w:rPr>
                <w:rFonts w:ascii="仿宋_GB2312" w:hAnsi="仿宋_GB2312" w:eastAsia="仿宋_GB2312" w:cs="仿宋_GB2312"/>
                <w:sz w:val="21"/>
                <w:szCs w:val="21"/>
                <w:lang w:eastAsia="zh-CN"/>
              </w:rPr>
              <w:t>10</w:t>
            </w:r>
          </w:p>
        </w:tc>
        <w:tc>
          <w:tcPr>
            <w:tcW w:w="1591" w:type="dxa"/>
            <w:tcBorders>
              <w:bottom w:val="single" w:color="auto" w:sz="4" w:space="0"/>
            </w:tcBorders>
            <w:vAlign w:val="center"/>
          </w:tcPr>
          <w:p w14:paraId="7D283D6C">
            <w:pPr>
              <w:pStyle w:val="110"/>
              <w:jc w:val="center"/>
              <w:outlineLvl w:val="9"/>
              <w:rPr>
                <w:rFonts w:ascii="仿宋_GB2312" w:hAnsi="仿宋_GB2312" w:eastAsia="仿宋_GB2312" w:cs="Times New Roman"/>
                <w:b/>
                <w:bCs/>
                <w:sz w:val="21"/>
                <w:szCs w:val="21"/>
                <w:lang w:val="zh-CN" w:eastAsia="zh-CN"/>
              </w:rPr>
            </w:pPr>
            <w:r>
              <w:rPr>
                <w:rFonts w:hint="eastAsia" w:ascii="仿宋_GB2312" w:hAnsi="仿宋_GB2312" w:eastAsia="仿宋_GB2312" w:cs="仿宋_GB2312"/>
                <w:b/>
                <w:bCs/>
                <w:sz w:val="21"/>
                <w:szCs w:val="21"/>
                <w:lang w:val="zh-CN" w:eastAsia="zh-CN"/>
              </w:rPr>
              <w:t>联合体投标</w:t>
            </w:r>
          </w:p>
        </w:tc>
        <w:tc>
          <w:tcPr>
            <w:tcW w:w="7154" w:type="dxa"/>
            <w:tcBorders>
              <w:bottom w:val="single" w:color="auto" w:sz="4" w:space="0"/>
            </w:tcBorders>
            <w:vAlign w:val="center"/>
          </w:tcPr>
          <w:p w14:paraId="61FC1FF1">
            <w:pPr>
              <w:pStyle w:val="110"/>
              <w:ind w:left="210" w:leftChars="100" w:firstLine="220" w:firstLineChars="100"/>
              <w:outlineLvl w:val="9"/>
              <w:rPr>
                <w:rFonts w:ascii="仿宋_GB2312" w:hAnsi="仿宋_GB2312" w:eastAsia="仿宋_GB2312" w:cs="Times New Roman"/>
                <w:sz w:val="21"/>
                <w:szCs w:val="21"/>
                <w:lang w:val="zh-CN" w:eastAsia="zh-CN"/>
              </w:rPr>
            </w:pPr>
            <w:r>
              <w:rPr>
                <w:rFonts w:ascii="仿宋_GB2312" w:hAnsi="仿宋_GB2312" w:eastAsia="仿宋_GB2312" w:cs="仿宋_GB2312"/>
                <w:kern w:val="2"/>
                <w:sz w:val="22"/>
                <w:szCs w:val="22"/>
                <w:lang w:eastAsia="zh-CN"/>
              </w:rPr>
              <w:t xml:space="preserve">( </w:t>
            </w:r>
            <w:r>
              <w:rPr>
                <w:rFonts w:ascii="仿宋_GB2312" w:hAnsi="仿宋_GB2312" w:eastAsia="仿宋_GB2312" w:cs="仿宋_GB2312"/>
                <w:sz w:val="22"/>
                <w:szCs w:val="22"/>
              </w:rPr>
              <w:t xml:space="preserve"> </w:t>
            </w:r>
            <w:r>
              <w:rPr>
                <w:rFonts w:hint="default" w:ascii="Arial" w:hAnsi="Arial" w:eastAsia="仿宋_GB2312" w:cs="Arial"/>
                <w:sz w:val="22"/>
                <w:szCs w:val="22"/>
              </w:rPr>
              <w:t>√</w:t>
            </w:r>
            <w:r>
              <w:rPr>
                <w:rFonts w:ascii="仿宋_GB2312" w:hAnsi="仿宋_GB2312" w:eastAsia="仿宋_GB2312" w:cs="仿宋_GB2312"/>
                <w:sz w:val="22"/>
                <w:szCs w:val="22"/>
              </w:rPr>
              <w:t xml:space="preserve"> </w:t>
            </w:r>
            <w:r>
              <w:rPr>
                <w:rFonts w:ascii="仿宋_GB2312" w:hAnsi="仿宋_GB2312" w:eastAsia="仿宋_GB2312" w:cs="仿宋_GB2312"/>
                <w:kern w:val="2"/>
                <w:sz w:val="22"/>
                <w:szCs w:val="22"/>
                <w:lang w:eastAsia="zh-CN"/>
              </w:rPr>
              <w:t xml:space="preserve"> )  </w:t>
            </w:r>
            <w:r>
              <w:rPr>
                <w:rFonts w:hint="eastAsia" w:ascii="仿宋_GB2312" w:hAnsi="仿宋_GB2312" w:eastAsia="仿宋_GB2312" w:cs="仿宋_GB2312"/>
                <w:kern w:val="2"/>
                <w:sz w:val="22"/>
                <w:szCs w:val="22"/>
              </w:rPr>
              <w:t>不接受</w:t>
            </w:r>
            <w:r>
              <w:rPr>
                <w:rFonts w:ascii="仿宋_GB2312" w:hAnsi="仿宋_GB2312" w:eastAsia="仿宋_GB2312" w:cs="仿宋_GB2312"/>
                <w:kern w:val="2"/>
                <w:sz w:val="22"/>
                <w:szCs w:val="22"/>
                <w:lang w:eastAsia="zh-CN"/>
              </w:rPr>
              <w:t xml:space="preserve">         </w:t>
            </w:r>
            <w:r>
              <w:rPr>
                <w:rFonts w:hint="eastAsia" w:ascii="仿宋_GB2312" w:hAnsi="仿宋_GB2312" w:eastAsia="仿宋_GB2312" w:cs="仿宋_GB2312"/>
                <w:kern w:val="2"/>
                <w:sz w:val="22"/>
                <w:szCs w:val="22"/>
                <w:lang w:eastAsia="zh-CN"/>
              </w:rPr>
              <w:t>（</w:t>
            </w:r>
            <w:r>
              <w:rPr>
                <w:rFonts w:ascii="仿宋_GB2312" w:hAnsi="仿宋_GB2312" w:eastAsia="仿宋_GB2312" w:cs="仿宋_GB2312"/>
                <w:kern w:val="2"/>
                <w:sz w:val="22"/>
                <w:szCs w:val="22"/>
                <w:lang w:eastAsia="zh-CN"/>
              </w:rPr>
              <w:t xml:space="preserve">   </w:t>
            </w:r>
            <w:r>
              <w:rPr>
                <w:rFonts w:hint="eastAsia" w:ascii="仿宋_GB2312" w:hAnsi="仿宋_GB2312" w:eastAsia="仿宋_GB2312" w:cs="仿宋_GB2312"/>
                <w:kern w:val="2"/>
                <w:sz w:val="22"/>
                <w:szCs w:val="22"/>
                <w:lang w:eastAsia="zh-CN"/>
              </w:rPr>
              <w:t>）接受</w:t>
            </w:r>
          </w:p>
        </w:tc>
      </w:tr>
      <w:tr w14:paraId="171C6A4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15" w:hRule="atLeast"/>
          <w:jc w:val="center"/>
        </w:trPr>
        <w:tc>
          <w:tcPr>
            <w:tcW w:w="1012" w:type="dxa"/>
            <w:tcBorders>
              <w:top w:val="single" w:color="auto" w:sz="4" w:space="0"/>
            </w:tcBorders>
            <w:vAlign w:val="center"/>
          </w:tcPr>
          <w:p w14:paraId="4ACA7AD8">
            <w:pPr>
              <w:pStyle w:val="110"/>
              <w:ind w:right="230"/>
              <w:jc w:val="center"/>
              <w:outlineLvl w:val="9"/>
              <w:rPr>
                <w:rFonts w:ascii="仿宋_GB2312" w:hAnsi="仿宋_GB2312" w:eastAsia="仿宋_GB2312" w:cs="Times New Roman"/>
                <w:sz w:val="21"/>
                <w:szCs w:val="21"/>
                <w:lang w:val="zh-CN" w:eastAsia="zh-CN"/>
              </w:rPr>
            </w:pPr>
            <w:r>
              <w:rPr>
                <w:rFonts w:ascii="仿宋_GB2312" w:hAnsi="仿宋_GB2312" w:eastAsia="仿宋_GB2312" w:cs="仿宋_GB2312"/>
                <w:sz w:val="21"/>
                <w:szCs w:val="21"/>
                <w:lang w:eastAsia="zh-CN"/>
              </w:rPr>
              <w:t>11</w:t>
            </w:r>
          </w:p>
        </w:tc>
        <w:tc>
          <w:tcPr>
            <w:tcW w:w="1591" w:type="dxa"/>
            <w:tcBorders>
              <w:top w:val="single" w:color="auto" w:sz="4" w:space="0"/>
            </w:tcBorders>
            <w:vAlign w:val="center"/>
          </w:tcPr>
          <w:p w14:paraId="4548DAA0">
            <w:pPr>
              <w:pStyle w:val="110"/>
              <w:jc w:val="center"/>
              <w:outlineLvl w:val="9"/>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考察现场、</w:t>
            </w:r>
          </w:p>
          <w:p w14:paraId="53DE1C87">
            <w:pPr>
              <w:pStyle w:val="110"/>
              <w:jc w:val="center"/>
              <w:outlineLvl w:val="9"/>
              <w:rPr>
                <w:rFonts w:ascii="仿宋_GB2312" w:hAnsi="仿宋_GB2312" w:eastAsia="仿宋_GB2312" w:cs="Times New Roman"/>
                <w:b/>
                <w:bCs/>
                <w:sz w:val="21"/>
                <w:szCs w:val="21"/>
                <w:lang w:eastAsia="zh-CN"/>
              </w:rPr>
            </w:pPr>
            <w:r>
              <w:rPr>
                <w:rFonts w:hint="eastAsia" w:ascii="仿宋_GB2312" w:hAnsi="仿宋_GB2312" w:eastAsia="仿宋_GB2312" w:cs="仿宋_GB2312"/>
                <w:b/>
                <w:bCs/>
                <w:sz w:val="21"/>
                <w:szCs w:val="21"/>
                <w:lang w:eastAsia="zh-CN"/>
              </w:rPr>
              <w:t>标前答疑会</w:t>
            </w:r>
          </w:p>
        </w:tc>
        <w:tc>
          <w:tcPr>
            <w:tcW w:w="7154" w:type="dxa"/>
            <w:tcBorders>
              <w:top w:val="single" w:color="auto" w:sz="4" w:space="0"/>
            </w:tcBorders>
            <w:vAlign w:val="center"/>
          </w:tcPr>
          <w:p w14:paraId="7626559A">
            <w:pPr>
              <w:pStyle w:val="126"/>
              <w:adjustRightInd/>
              <w:spacing w:before="0" w:after="0" w:line="360" w:lineRule="auto"/>
              <w:ind w:firstLine="440" w:firstLineChars="200"/>
              <w:textAlignment w:val="auto"/>
              <w:outlineLvl w:val="9"/>
              <w:rPr>
                <w:rFonts w:ascii="仿宋_GB2312" w:hAnsi="仿宋_GB2312" w:eastAsia="仿宋_GB2312" w:cs="Times New Roman"/>
                <w:color w:val="auto"/>
                <w:sz w:val="22"/>
                <w:szCs w:val="22"/>
              </w:rPr>
            </w:pPr>
            <w:bookmarkStart w:id="17" w:name="_Toc16900"/>
            <w:bookmarkStart w:id="18" w:name="_Toc6305"/>
            <w:bookmarkStart w:id="19" w:name="_Toc17010"/>
            <w:r>
              <w:rPr>
                <w:rFonts w:hint="eastAsia" w:ascii="仿宋_GB2312" w:hAnsi="仿宋_GB2312" w:eastAsia="仿宋_GB2312" w:cs="仿宋_GB2312"/>
                <w:color w:val="auto"/>
                <w:kern w:val="2"/>
                <w:sz w:val="22"/>
                <w:szCs w:val="22"/>
                <w:lang w:val="zh-CN"/>
              </w:rPr>
              <w:t>（</w:t>
            </w:r>
            <w:r>
              <w:rPr>
                <w:rFonts w:ascii="仿宋_GB2312" w:hAnsi="仿宋_GB2312" w:eastAsia="仿宋_GB2312" w:cs="仿宋_GB2312"/>
                <w:color w:val="auto"/>
                <w:kern w:val="2"/>
                <w:sz w:val="22"/>
                <w:szCs w:val="22"/>
              </w:rPr>
              <w:t xml:space="preserve"> </w:t>
            </w:r>
            <w:r>
              <w:rPr>
                <w:rFonts w:ascii="仿宋_GB2312" w:hAnsi="仿宋_GB2312" w:eastAsia="仿宋_GB2312" w:cs="仿宋_GB2312"/>
                <w:sz w:val="22"/>
                <w:szCs w:val="22"/>
              </w:rPr>
              <w:t xml:space="preserve"> </w:t>
            </w:r>
            <w:r>
              <w:rPr>
                <w:rFonts w:hint="default" w:ascii="Arial" w:hAnsi="Arial" w:eastAsia="仿宋_GB2312" w:cs="Arial"/>
                <w:sz w:val="22"/>
                <w:szCs w:val="22"/>
              </w:rPr>
              <w:t>√</w:t>
            </w:r>
            <w:r>
              <w:rPr>
                <w:rFonts w:ascii="仿宋_GB2312" w:hAnsi="仿宋_GB2312" w:eastAsia="仿宋_GB2312" w:cs="仿宋_GB2312"/>
                <w:sz w:val="22"/>
                <w:szCs w:val="22"/>
              </w:rPr>
              <w:t xml:space="preserve"> </w:t>
            </w:r>
            <w:r>
              <w:rPr>
                <w:rFonts w:hint="eastAsia" w:ascii="仿宋_GB2312" w:hAnsi="仿宋_GB2312" w:eastAsia="仿宋_GB2312" w:cs="仿宋_GB2312"/>
                <w:color w:val="auto"/>
                <w:kern w:val="2"/>
                <w:sz w:val="22"/>
                <w:szCs w:val="22"/>
                <w:lang w:val="zh-CN"/>
              </w:rPr>
              <w:t>）不组织</w:t>
            </w:r>
            <w:bookmarkEnd w:id="17"/>
            <w:bookmarkEnd w:id="18"/>
            <w:bookmarkEnd w:id="19"/>
          </w:p>
          <w:p w14:paraId="031B75D6">
            <w:pPr>
              <w:pStyle w:val="126"/>
              <w:adjustRightInd/>
              <w:spacing w:before="0" w:after="0" w:line="360" w:lineRule="auto"/>
              <w:ind w:left="31680" w:hanging="442" w:hangingChars="201"/>
              <w:textAlignment w:val="auto"/>
              <w:outlineLvl w:val="9"/>
              <w:rPr>
                <w:rFonts w:ascii="仿宋_GB2312" w:hAnsi="仿宋_GB2312" w:eastAsia="仿宋_GB2312" w:cs="Times New Roman"/>
                <w:color w:val="auto"/>
                <w:sz w:val="22"/>
                <w:szCs w:val="22"/>
                <w:lang w:val="zh-CN"/>
              </w:rPr>
            </w:pPr>
            <w:r>
              <w:rPr>
                <w:rFonts w:ascii="仿宋_GB2312" w:hAnsi="仿宋_GB2312" w:eastAsia="仿宋_GB2312" w:cs="仿宋_GB2312"/>
                <w:color w:val="auto"/>
                <w:sz w:val="22"/>
                <w:szCs w:val="22"/>
              </w:rPr>
              <w:t xml:space="preserve">    </w:t>
            </w:r>
            <w:bookmarkStart w:id="20" w:name="_Toc6399"/>
            <w:bookmarkStart w:id="21" w:name="_Toc29084"/>
            <w:bookmarkStart w:id="22" w:name="_Toc1116"/>
            <w:r>
              <w:rPr>
                <w:rFonts w:hint="eastAsia" w:ascii="仿宋_GB2312" w:hAnsi="仿宋_GB2312" w:eastAsia="仿宋_GB2312" w:cs="仿宋_GB2312"/>
                <w:color w:val="auto"/>
                <w:sz w:val="22"/>
                <w:szCs w:val="22"/>
                <w:lang w:val="zh-CN"/>
              </w:rPr>
              <w:t>（</w:t>
            </w:r>
            <w:r>
              <w:rPr>
                <w:rFonts w:ascii="仿宋_GB2312" w:hAnsi="仿宋_GB2312" w:eastAsia="仿宋_GB2312" w:cs="仿宋_GB2312"/>
                <w:color w:val="auto"/>
                <w:sz w:val="22"/>
                <w:szCs w:val="22"/>
              </w:rPr>
              <w:t xml:space="preserve">   </w:t>
            </w:r>
            <w:r>
              <w:rPr>
                <w:rFonts w:hint="eastAsia" w:ascii="仿宋_GB2312" w:hAnsi="仿宋_GB2312" w:eastAsia="仿宋_GB2312" w:cs="仿宋_GB2312"/>
                <w:color w:val="auto"/>
                <w:sz w:val="22"/>
                <w:szCs w:val="22"/>
                <w:lang w:val="zh-CN"/>
              </w:rPr>
              <w:t>）组</w:t>
            </w:r>
            <w:r>
              <w:rPr>
                <w:rFonts w:ascii="仿宋_GB2312" w:hAnsi="仿宋_GB2312" w:eastAsia="仿宋_GB2312" w:cs="仿宋_GB2312"/>
                <w:color w:val="auto"/>
                <w:sz w:val="22"/>
                <w:szCs w:val="22"/>
              </w:rPr>
              <w:t xml:space="preserve">  </w:t>
            </w:r>
            <w:r>
              <w:rPr>
                <w:rFonts w:hint="eastAsia" w:ascii="仿宋_GB2312" w:hAnsi="仿宋_GB2312" w:eastAsia="仿宋_GB2312" w:cs="仿宋_GB2312"/>
                <w:color w:val="auto"/>
                <w:sz w:val="22"/>
                <w:szCs w:val="22"/>
                <w:lang w:val="zh-CN"/>
              </w:rPr>
              <w:t>织</w:t>
            </w:r>
            <w:bookmarkEnd w:id="20"/>
            <w:bookmarkEnd w:id="21"/>
            <w:bookmarkEnd w:id="22"/>
            <w:r>
              <w:rPr>
                <w:rFonts w:ascii="仿宋_GB2312" w:hAnsi="仿宋_GB2312" w:eastAsia="仿宋_GB2312" w:cs="仿宋_GB2312"/>
                <w:color w:val="auto"/>
                <w:sz w:val="22"/>
                <w:szCs w:val="22"/>
              </w:rPr>
              <w:t xml:space="preserve">  </w:t>
            </w:r>
          </w:p>
          <w:p w14:paraId="26A76870">
            <w:pPr>
              <w:pStyle w:val="126"/>
              <w:adjustRightInd/>
              <w:spacing w:before="0" w:after="0" w:line="360" w:lineRule="auto"/>
              <w:ind w:left="31680" w:hanging="442" w:hangingChars="201"/>
              <w:textAlignment w:val="auto"/>
              <w:outlineLvl w:val="9"/>
              <w:rPr>
                <w:rFonts w:ascii="仿宋_GB2312" w:hAnsi="仿宋_GB2312" w:eastAsia="仿宋_GB2312" w:cs="Times New Roman"/>
                <w:color w:val="auto"/>
                <w:sz w:val="22"/>
                <w:szCs w:val="22"/>
                <w:lang w:val="zh-CN"/>
              </w:rPr>
            </w:pPr>
            <w:r>
              <w:rPr>
                <w:rFonts w:ascii="仿宋_GB2312" w:hAnsi="仿宋_GB2312" w:eastAsia="仿宋_GB2312" w:cs="仿宋_GB2312"/>
                <w:color w:val="auto"/>
                <w:sz w:val="22"/>
                <w:szCs w:val="22"/>
              </w:rPr>
              <w:t xml:space="preserve">    </w:t>
            </w:r>
            <w:bookmarkStart w:id="23" w:name="_Toc29767"/>
            <w:bookmarkStart w:id="24" w:name="_Toc23706"/>
            <w:bookmarkStart w:id="25" w:name="_Toc5679"/>
            <w:r>
              <w:rPr>
                <w:rFonts w:hint="eastAsia" w:ascii="仿宋_GB2312" w:hAnsi="仿宋_GB2312" w:eastAsia="仿宋_GB2312" w:cs="仿宋_GB2312"/>
                <w:color w:val="auto"/>
                <w:sz w:val="22"/>
                <w:szCs w:val="22"/>
                <w:lang w:val="zh-CN"/>
              </w:rPr>
              <w:t>集合时间</w:t>
            </w:r>
            <w:r>
              <w:rPr>
                <w:rFonts w:ascii="仿宋_GB2312" w:hAnsi="仿宋_GB2312" w:eastAsia="仿宋_GB2312" w:cs="仿宋_GB2312"/>
                <w:color w:val="auto"/>
                <w:sz w:val="22"/>
                <w:szCs w:val="22"/>
              </w:rPr>
              <w:t xml:space="preserve">:    </w:t>
            </w:r>
            <w:r>
              <w:rPr>
                <w:rFonts w:hint="eastAsia" w:ascii="仿宋_GB2312" w:hAnsi="仿宋_GB2312" w:eastAsia="仿宋_GB2312" w:cs="仿宋_GB2312"/>
                <w:color w:val="auto"/>
                <w:sz w:val="22"/>
                <w:szCs w:val="22"/>
                <w:lang w:val="zh-CN"/>
              </w:rPr>
              <w:t>年</w:t>
            </w:r>
            <w:r>
              <w:rPr>
                <w:rFonts w:ascii="仿宋_GB2312" w:hAnsi="仿宋_GB2312" w:eastAsia="仿宋_GB2312" w:cs="仿宋_GB2312"/>
                <w:color w:val="auto"/>
                <w:sz w:val="22"/>
                <w:szCs w:val="22"/>
              </w:rPr>
              <w:t xml:space="preserve">  </w:t>
            </w:r>
            <w:r>
              <w:rPr>
                <w:rFonts w:hint="eastAsia" w:ascii="仿宋_GB2312" w:hAnsi="仿宋_GB2312" w:eastAsia="仿宋_GB2312" w:cs="仿宋_GB2312"/>
                <w:color w:val="auto"/>
                <w:sz w:val="22"/>
                <w:szCs w:val="22"/>
                <w:lang w:val="zh-CN"/>
              </w:rPr>
              <w:t>月</w:t>
            </w:r>
            <w:r>
              <w:rPr>
                <w:rFonts w:ascii="仿宋_GB2312" w:hAnsi="仿宋_GB2312" w:eastAsia="仿宋_GB2312" w:cs="仿宋_GB2312"/>
                <w:color w:val="auto"/>
                <w:sz w:val="22"/>
                <w:szCs w:val="22"/>
              </w:rPr>
              <w:t xml:space="preserve">  </w:t>
            </w:r>
            <w:r>
              <w:rPr>
                <w:rFonts w:hint="eastAsia" w:ascii="仿宋_GB2312" w:hAnsi="仿宋_GB2312" w:eastAsia="仿宋_GB2312" w:cs="仿宋_GB2312"/>
                <w:color w:val="auto"/>
                <w:sz w:val="22"/>
                <w:szCs w:val="22"/>
                <w:lang w:val="zh-CN"/>
              </w:rPr>
              <w:t>日</w:t>
            </w:r>
            <w:r>
              <w:rPr>
                <w:rFonts w:ascii="仿宋_GB2312" w:hAnsi="仿宋_GB2312" w:eastAsia="仿宋_GB2312" w:cs="仿宋_GB2312"/>
                <w:color w:val="auto"/>
                <w:sz w:val="22"/>
                <w:szCs w:val="22"/>
              </w:rPr>
              <w:t xml:space="preserve">    </w:t>
            </w:r>
            <w:r>
              <w:rPr>
                <w:rFonts w:hint="eastAsia" w:ascii="仿宋_GB2312" w:hAnsi="仿宋_GB2312" w:eastAsia="仿宋_GB2312" w:cs="仿宋_GB2312"/>
                <w:color w:val="auto"/>
                <w:sz w:val="22"/>
                <w:szCs w:val="22"/>
                <w:lang w:val="zh-CN"/>
              </w:rPr>
              <w:t>时</w:t>
            </w:r>
            <w:bookmarkEnd w:id="23"/>
            <w:bookmarkEnd w:id="24"/>
            <w:bookmarkEnd w:id="25"/>
          </w:p>
          <w:p w14:paraId="794CB4DF">
            <w:pPr>
              <w:pStyle w:val="126"/>
              <w:adjustRightInd/>
              <w:spacing w:before="0" w:after="0" w:line="360" w:lineRule="auto"/>
              <w:ind w:left="31680" w:hanging="442" w:hangingChars="201"/>
              <w:textAlignment w:val="auto"/>
              <w:outlineLvl w:val="9"/>
              <w:rPr>
                <w:rFonts w:ascii="仿宋_GB2312" w:hAnsi="仿宋_GB2312" w:eastAsia="仿宋_GB2312" w:cs="Times New Roman"/>
                <w:color w:val="auto"/>
                <w:sz w:val="22"/>
                <w:szCs w:val="22"/>
              </w:rPr>
            </w:pPr>
            <w:r>
              <w:rPr>
                <w:rFonts w:ascii="仿宋_GB2312" w:hAnsi="仿宋_GB2312" w:eastAsia="仿宋_GB2312" w:cs="仿宋_GB2312"/>
                <w:color w:val="auto"/>
                <w:sz w:val="22"/>
                <w:szCs w:val="22"/>
              </w:rPr>
              <w:t xml:space="preserve">    </w:t>
            </w:r>
            <w:bookmarkStart w:id="26" w:name="_Toc29329"/>
            <w:bookmarkStart w:id="27" w:name="_Toc5113"/>
            <w:bookmarkStart w:id="28" w:name="_Toc10078"/>
            <w:r>
              <w:rPr>
                <w:rFonts w:hint="eastAsia" w:ascii="仿宋_GB2312" w:hAnsi="仿宋_GB2312" w:eastAsia="仿宋_GB2312" w:cs="仿宋_GB2312"/>
                <w:color w:val="auto"/>
                <w:sz w:val="22"/>
                <w:szCs w:val="22"/>
                <w:lang w:val="zh-CN"/>
              </w:rPr>
              <w:t>集合地点：</w:t>
            </w:r>
            <w:bookmarkEnd w:id="26"/>
            <w:bookmarkEnd w:id="27"/>
            <w:bookmarkEnd w:id="28"/>
            <w:r>
              <w:rPr>
                <w:rFonts w:ascii="仿宋_GB2312" w:hAnsi="仿宋_GB2312" w:eastAsia="仿宋_GB2312" w:cs="仿宋_GB2312"/>
                <w:color w:val="auto"/>
                <w:sz w:val="22"/>
                <w:szCs w:val="22"/>
              </w:rPr>
              <w:t xml:space="preserve"> </w:t>
            </w:r>
          </w:p>
          <w:p w14:paraId="6BE0580D">
            <w:pPr>
              <w:pStyle w:val="126"/>
              <w:adjustRightInd/>
              <w:spacing w:before="0" w:after="0" w:line="360" w:lineRule="auto"/>
              <w:ind w:left="31680" w:hanging="442" w:hangingChars="201"/>
              <w:textAlignment w:val="auto"/>
              <w:outlineLvl w:val="9"/>
              <w:rPr>
                <w:rFonts w:ascii="仿宋_GB2312" w:hAnsi="仿宋_GB2312" w:eastAsia="仿宋_GB2312" w:cs="仿宋_GB2312"/>
                <w:color w:val="auto"/>
                <w:sz w:val="22"/>
                <w:szCs w:val="22"/>
                <w:lang w:val="zh-CN"/>
              </w:rPr>
            </w:pPr>
            <w:r>
              <w:rPr>
                <w:rFonts w:ascii="仿宋_GB2312" w:hAnsi="仿宋_GB2312" w:eastAsia="仿宋_GB2312" w:cs="仿宋_GB2312"/>
                <w:color w:val="auto"/>
                <w:sz w:val="22"/>
                <w:szCs w:val="22"/>
              </w:rPr>
              <w:t xml:space="preserve">    </w:t>
            </w:r>
            <w:bookmarkStart w:id="29" w:name="_Toc4746"/>
            <w:bookmarkStart w:id="30" w:name="_Toc3124"/>
            <w:bookmarkStart w:id="31" w:name="_Toc1097"/>
            <w:r>
              <w:rPr>
                <w:rFonts w:hint="eastAsia" w:ascii="仿宋_GB2312" w:hAnsi="仿宋_GB2312" w:eastAsia="仿宋_GB2312" w:cs="仿宋_GB2312"/>
                <w:color w:val="auto"/>
                <w:sz w:val="22"/>
                <w:szCs w:val="22"/>
                <w:lang w:val="zh-CN"/>
              </w:rPr>
              <w:t>联系人：</w:t>
            </w:r>
            <w:r>
              <w:rPr>
                <w:rFonts w:ascii="仿宋_GB2312" w:hAnsi="仿宋_GB2312" w:eastAsia="仿宋_GB2312" w:cs="仿宋_GB2312"/>
                <w:color w:val="auto"/>
                <w:sz w:val="22"/>
                <w:szCs w:val="22"/>
              </w:rPr>
              <w:t xml:space="preserve"> </w:t>
            </w:r>
            <w:r>
              <w:rPr>
                <w:rFonts w:ascii="仿宋_GB2312" w:hAnsi="仿宋_GB2312" w:eastAsia="仿宋_GB2312" w:cs="仿宋_GB2312"/>
                <w:color w:val="auto"/>
                <w:sz w:val="22"/>
                <w:szCs w:val="22"/>
                <w:lang w:val="zh-CN"/>
              </w:rPr>
              <w:t xml:space="preserve">  </w:t>
            </w:r>
            <w:r>
              <w:rPr>
                <w:rFonts w:ascii="仿宋_GB2312" w:hAnsi="仿宋_GB2312" w:eastAsia="仿宋_GB2312" w:cs="仿宋_GB2312"/>
                <w:color w:val="auto"/>
                <w:sz w:val="22"/>
                <w:szCs w:val="22"/>
              </w:rPr>
              <w:t xml:space="preserve">        </w:t>
            </w:r>
            <w:r>
              <w:rPr>
                <w:rFonts w:ascii="仿宋_GB2312" w:hAnsi="仿宋_GB2312" w:eastAsia="仿宋_GB2312" w:cs="仿宋_GB2312"/>
                <w:color w:val="auto"/>
                <w:sz w:val="22"/>
                <w:szCs w:val="22"/>
                <w:lang w:val="zh-CN"/>
              </w:rPr>
              <w:t xml:space="preserve">  </w:t>
            </w:r>
            <w:r>
              <w:rPr>
                <w:rFonts w:hint="eastAsia" w:ascii="仿宋_GB2312" w:hAnsi="仿宋_GB2312" w:eastAsia="仿宋_GB2312" w:cs="仿宋_GB2312"/>
                <w:color w:val="auto"/>
                <w:sz w:val="22"/>
                <w:szCs w:val="22"/>
                <w:lang w:val="zh-CN"/>
              </w:rPr>
              <w:t>联系电话：</w:t>
            </w:r>
            <w:bookmarkEnd w:id="29"/>
            <w:bookmarkEnd w:id="30"/>
            <w:bookmarkEnd w:id="31"/>
            <w:r>
              <w:rPr>
                <w:rFonts w:ascii="仿宋_GB2312" w:hAnsi="仿宋_GB2312" w:eastAsia="仿宋_GB2312" w:cs="仿宋_GB2312"/>
                <w:color w:val="auto"/>
                <w:sz w:val="22"/>
                <w:szCs w:val="22"/>
                <w:lang w:val="zh-CN"/>
              </w:rPr>
              <w:t xml:space="preserve">      </w:t>
            </w:r>
          </w:p>
          <w:p w14:paraId="6313C79A">
            <w:pPr>
              <w:pStyle w:val="110"/>
              <w:ind w:left="210" w:leftChars="100"/>
              <w:outlineLvl w:val="9"/>
              <w:rPr>
                <w:rFonts w:ascii="仿宋_GB2312" w:hAnsi="仿宋_GB2312" w:eastAsia="仿宋_GB2312" w:cs="Times New Roman"/>
                <w:sz w:val="21"/>
                <w:szCs w:val="21"/>
                <w:lang w:eastAsia="zh-CN"/>
              </w:rPr>
            </w:pPr>
            <w:r>
              <w:rPr>
                <w:rFonts w:ascii="仿宋_GB2312" w:hAnsi="仿宋_GB2312" w:eastAsia="仿宋_GB2312" w:cs="仿宋_GB2312"/>
                <w:sz w:val="22"/>
                <w:szCs w:val="22"/>
                <w:lang w:eastAsia="zh-CN"/>
              </w:rPr>
              <w:t xml:space="preserve">    </w:t>
            </w:r>
            <w:r>
              <w:rPr>
                <w:rFonts w:hint="eastAsia" w:ascii="仿宋_GB2312" w:hAnsi="仿宋_GB2312" w:eastAsia="仿宋_GB2312" w:cs="仿宋_GB2312"/>
                <w:sz w:val="22"/>
                <w:szCs w:val="22"/>
                <w:lang w:val="zh-CN" w:eastAsia="zh-CN"/>
              </w:rPr>
              <w:t>届时请每家投标人可安排不超过</w:t>
            </w:r>
            <w:r>
              <w:rPr>
                <w:rFonts w:ascii="仿宋_GB2312" w:hAnsi="仿宋_GB2312" w:eastAsia="仿宋_GB2312" w:cs="仿宋_GB2312"/>
                <w:sz w:val="22"/>
                <w:szCs w:val="22"/>
                <w:lang w:val="zh-CN" w:eastAsia="zh-CN"/>
              </w:rPr>
              <w:t>2</w:t>
            </w:r>
            <w:r>
              <w:rPr>
                <w:rFonts w:hint="eastAsia" w:ascii="仿宋_GB2312" w:hAnsi="仿宋_GB2312" w:eastAsia="仿宋_GB2312" w:cs="仿宋_GB2312"/>
                <w:sz w:val="22"/>
                <w:szCs w:val="22"/>
                <w:lang w:val="zh-CN" w:eastAsia="zh-CN"/>
              </w:rPr>
              <w:t>人出席，并须携带本人身份证原件及加盖投标单位公章的介绍信（证明函）。现场踏勘仅组织一次，投标人错过现场踏勘后果自负。</w:t>
            </w:r>
          </w:p>
        </w:tc>
      </w:tr>
      <w:tr w14:paraId="7EA3073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24" w:hRule="atLeast"/>
          <w:jc w:val="center"/>
        </w:trPr>
        <w:tc>
          <w:tcPr>
            <w:tcW w:w="1012" w:type="dxa"/>
            <w:vAlign w:val="center"/>
          </w:tcPr>
          <w:p w14:paraId="7FE251B3">
            <w:pPr>
              <w:pStyle w:val="110"/>
              <w:ind w:right="230"/>
              <w:jc w:val="center"/>
              <w:outlineLvl w:val="9"/>
              <w:rPr>
                <w:rFonts w:ascii="仿宋_GB2312" w:hAnsi="仿宋_GB2312" w:eastAsia="仿宋_GB2312" w:cs="Times New Roman"/>
                <w:sz w:val="21"/>
                <w:szCs w:val="21"/>
                <w:lang w:val="zh-CN" w:eastAsia="zh-CN"/>
              </w:rPr>
            </w:pPr>
            <w:r>
              <w:rPr>
                <w:rFonts w:ascii="仿宋_GB2312" w:hAnsi="仿宋_GB2312" w:eastAsia="仿宋_GB2312" w:cs="仿宋_GB2312"/>
                <w:sz w:val="21"/>
                <w:szCs w:val="21"/>
                <w:lang w:eastAsia="zh-CN"/>
              </w:rPr>
              <w:t>12</w:t>
            </w:r>
          </w:p>
        </w:tc>
        <w:tc>
          <w:tcPr>
            <w:tcW w:w="1591" w:type="dxa"/>
            <w:vAlign w:val="center"/>
          </w:tcPr>
          <w:p w14:paraId="28446EDE">
            <w:pPr>
              <w:pStyle w:val="110"/>
              <w:jc w:val="center"/>
              <w:outlineLvl w:val="9"/>
              <w:rPr>
                <w:rFonts w:ascii="仿宋_GB2312" w:hAnsi="仿宋_GB2312" w:eastAsia="仿宋_GB2312" w:cs="Times New Roman"/>
                <w:b/>
                <w:bCs/>
                <w:sz w:val="21"/>
                <w:szCs w:val="21"/>
                <w:lang w:val="zh-CN" w:eastAsia="zh-CN"/>
              </w:rPr>
            </w:pPr>
            <w:r>
              <w:rPr>
                <w:rFonts w:hint="eastAsia" w:ascii="仿宋_GB2312" w:hAnsi="仿宋_GB2312" w:eastAsia="仿宋_GB2312" w:cs="仿宋_GB2312"/>
                <w:b/>
                <w:bCs/>
                <w:sz w:val="21"/>
                <w:szCs w:val="21"/>
                <w:lang w:val="zh-CN" w:eastAsia="zh-CN"/>
              </w:rPr>
              <w:t>投标人对招标文件提出质疑的期限</w:t>
            </w:r>
          </w:p>
        </w:tc>
        <w:tc>
          <w:tcPr>
            <w:tcW w:w="7154" w:type="dxa"/>
            <w:vAlign w:val="center"/>
          </w:tcPr>
          <w:p w14:paraId="71638A46">
            <w:pPr>
              <w:pStyle w:val="110"/>
              <w:ind w:firstLine="211" w:firstLineChars="100"/>
              <w:outlineLvl w:val="9"/>
              <w:rPr>
                <w:rFonts w:ascii="仿宋_GB2312" w:hAnsi="仿宋_GB2312" w:eastAsia="仿宋_GB2312" w:cs="Times New Roman"/>
                <w:sz w:val="21"/>
                <w:szCs w:val="21"/>
                <w:lang w:val="zh-CN" w:eastAsia="zh-CN"/>
              </w:rPr>
            </w:pPr>
            <w:r>
              <w:rPr>
                <w:rFonts w:hint="eastAsia" w:ascii="仿宋_GB2312" w:hAnsi="仿宋_GB2312" w:eastAsia="仿宋_GB2312" w:cs="仿宋_GB2312"/>
                <w:b/>
                <w:bCs/>
                <w:sz w:val="21"/>
                <w:szCs w:val="21"/>
                <w:lang w:val="zh-CN" w:eastAsia="zh-CN"/>
              </w:rPr>
              <w:t>自收到采购文件之日或者采购文件公告期限届满之日起七个工作日内，逾期视为默认此项目招标文件所有条款，即对招标文件质疑不予受理。</w:t>
            </w:r>
          </w:p>
        </w:tc>
      </w:tr>
      <w:tr w14:paraId="609B60D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63" w:hRule="exact"/>
          <w:jc w:val="center"/>
        </w:trPr>
        <w:tc>
          <w:tcPr>
            <w:tcW w:w="1012" w:type="dxa"/>
            <w:vAlign w:val="center"/>
          </w:tcPr>
          <w:p w14:paraId="7703771F">
            <w:pPr>
              <w:pStyle w:val="110"/>
              <w:ind w:right="230"/>
              <w:jc w:val="center"/>
              <w:outlineLvl w:val="9"/>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13</w:t>
            </w:r>
          </w:p>
        </w:tc>
        <w:tc>
          <w:tcPr>
            <w:tcW w:w="1591" w:type="dxa"/>
            <w:vAlign w:val="center"/>
          </w:tcPr>
          <w:p w14:paraId="0039BB9D">
            <w:pPr>
              <w:spacing w:beforeLines="0" w:afterLines="0"/>
              <w:jc w:val="center"/>
              <w:rPr>
                <w:rFonts w:hint="eastAsia" w:ascii="仿宋_GB2312" w:hAnsi="仿宋_GB2312" w:eastAsia="仿宋_GB2312" w:cs="仿宋_GB2312"/>
                <w:b/>
                <w:bCs/>
                <w:kern w:val="0"/>
                <w:sz w:val="21"/>
                <w:szCs w:val="21"/>
                <w:lang w:val="en-US" w:eastAsia="zh-CN" w:bidi="ar-SA"/>
              </w:rPr>
            </w:pPr>
            <w:r>
              <w:rPr>
                <w:rFonts w:hint="eastAsia" w:ascii="仿宋_GB2312" w:hAnsi="仿宋_GB2312" w:eastAsia="仿宋_GB2312" w:cs="仿宋_GB2312"/>
                <w:b/>
                <w:bCs/>
                <w:kern w:val="0"/>
                <w:sz w:val="21"/>
                <w:szCs w:val="21"/>
                <w:lang w:val="en-US" w:eastAsia="zh-CN" w:bidi="ar-SA"/>
              </w:rPr>
              <w:t>招标文件的构</w:t>
            </w:r>
          </w:p>
          <w:p w14:paraId="5D496F80">
            <w:pPr>
              <w:spacing w:beforeLines="0" w:afterLines="0"/>
              <w:jc w:val="center"/>
              <w:rPr>
                <w:rFonts w:hint="eastAsia" w:ascii="仿宋_GB2312" w:hAnsi="仿宋_GB2312" w:eastAsia="仿宋_GB2312" w:cs="仿宋_GB2312"/>
                <w:b/>
                <w:bCs/>
                <w:kern w:val="0"/>
                <w:sz w:val="21"/>
                <w:szCs w:val="21"/>
                <w:lang w:val="en-US" w:eastAsia="zh-CN" w:bidi="ar-SA"/>
              </w:rPr>
            </w:pPr>
            <w:r>
              <w:rPr>
                <w:rFonts w:hint="eastAsia" w:ascii="仿宋_GB2312" w:hAnsi="仿宋_GB2312" w:eastAsia="仿宋_GB2312" w:cs="仿宋_GB2312"/>
                <w:b/>
                <w:bCs/>
                <w:kern w:val="0"/>
                <w:sz w:val="21"/>
                <w:szCs w:val="21"/>
                <w:lang w:val="en-US" w:eastAsia="zh-CN" w:bidi="ar-SA"/>
              </w:rPr>
              <w:t>成</w:t>
            </w:r>
          </w:p>
          <w:p w14:paraId="09768C77">
            <w:pPr>
              <w:pStyle w:val="110"/>
              <w:ind w:left="52"/>
              <w:jc w:val="center"/>
              <w:outlineLvl w:val="9"/>
              <w:rPr>
                <w:rFonts w:hint="eastAsia" w:ascii="仿宋_GB2312" w:hAnsi="仿宋_GB2312" w:eastAsia="仿宋_GB2312" w:cs="仿宋_GB2312"/>
                <w:b/>
                <w:bCs/>
                <w:sz w:val="21"/>
                <w:szCs w:val="21"/>
                <w:lang w:val="zh-CN" w:eastAsia="zh-CN"/>
              </w:rPr>
            </w:pPr>
          </w:p>
        </w:tc>
        <w:tc>
          <w:tcPr>
            <w:tcW w:w="7154" w:type="dxa"/>
            <w:vAlign w:val="center"/>
          </w:tcPr>
          <w:p w14:paraId="35818D18">
            <w:pPr>
              <w:spacing w:beforeLines="0" w:afterLines="0"/>
              <w:jc w:val="left"/>
              <w:rPr>
                <w:rFonts w:ascii="仿宋_GB2312" w:hAnsi="仿宋_GB2312" w:eastAsia="仿宋_GB2312" w:cs="仿宋_GB2312"/>
                <w:sz w:val="21"/>
                <w:szCs w:val="21"/>
                <w:lang w:val="zh-CN" w:eastAsia="zh-CN"/>
              </w:rPr>
            </w:pPr>
            <w:r>
              <w:rPr>
                <w:rFonts w:hint="eastAsia" w:ascii="仿宋_GB2312" w:hAnsi="仿宋_GB2312" w:eastAsia="仿宋_GB2312" w:cs="仿宋_GB2312"/>
                <w:kern w:val="0"/>
                <w:sz w:val="21"/>
                <w:szCs w:val="21"/>
                <w:lang w:val="zh-CN" w:eastAsia="zh-CN" w:bidi="ar-SA"/>
              </w:rPr>
              <w:t>加注“●”号条款为实质性条款，不得出现负偏离，发生负偏离即作无效标处理。加注“</w:t>
            </w:r>
            <w:r>
              <w:rPr>
                <w:rFonts w:hint="eastAsia" w:ascii="宋体" w:hAnsi="宋体"/>
                <w:bCs/>
                <w:color w:val="000000"/>
                <w:sz w:val="18"/>
                <w:szCs w:val="18"/>
              </w:rPr>
              <w:t>★</w:t>
            </w:r>
            <w:r>
              <w:rPr>
                <w:rFonts w:hint="eastAsia" w:ascii="仿宋_GB2312" w:hAnsi="仿宋_GB2312" w:eastAsia="仿宋_GB2312" w:cs="仿宋_GB2312"/>
                <w:kern w:val="0"/>
                <w:sz w:val="21"/>
                <w:szCs w:val="21"/>
                <w:lang w:val="zh-CN" w:eastAsia="zh-CN" w:bidi="ar-SA"/>
              </w:rPr>
              <w:t>”号的产品为核心产品，任意一种核心产品为同一品牌时，按照投标人须知第35.4条款执行。</w:t>
            </w:r>
          </w:p>
        </w:tc>
      </w:tr>
      <w:tr w14:paraId="6125C69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63" w:hRule="exact"/>
          <w:jc w:val="center"/>
        </w:trPr>
        <w:tc>
          <w:tcPr>
            <w:tcW w:w="1012" w:type="dxa"/>
            <w:shd w:val="clear" w:color="auto" w:fill="auto"/>
            <w:vAlign w:val="center"/>
          </w:tcPr>
          <w:p w14:paraId="4DFC265D">
            <w:pPr>
              <w:pStyle w:val="110"/>
              <w:ind w:right="230" w:rightChars="0"/>
              <w:jc w:val="center"/>
              <w:outlineLvl w:val="9"/>
              <w:rPr>
                <w:rFonts w:ascii="仿宋_GB2312" w:hAnsi="仿宋_GB2312" w:eastAsia="仿宋_GB2312" w:cs="Times New Roman"/>
                <w:kern w:val="0"/>
                <w:sz w:val="21"/>
                <w:szCs w:val="21"/>
                <w:lang w:val="zh-CN" w:eastAsia="zh-CN" w:bidi="ar-SA"/>
              </w:rPr>
            </w:pPr>
            <w:r>
              <w:rPr>
                <w:rFonts w:ascii="仿宋_GB2312" w:hAnsi="仿宋_GB2312" w:eastAsia="仿宋_GB2312" w:cs="仿宋_GB2312"/>
                <w:sz w:val="21"/>
                <w:szCs w:val="21"/>
                <w:lang w:eastAsia="zh-CN"/>
              </w:rPr>
              <w:t>14</w:t>
            </w:r>
          </w:p>
        </w:tc>
        <w:tc>
          <w:tcPr>
            <w:tcW w:w="1591" w:type="dxa"/>
            <w:vAlign w:val="center"/>
          </w:tcPr>
          <w:p w14:paraId="1CA4A5AE">
            <w:pPr>
              <w:pStyle w:val="110"/>
              <w:ind w:left="52"/>
              <w:jc w:val="center"/>
              <w:outlineLvl w:val="9"/>
              <w:rPr>
                <w:rFonts w:ascii="仿宋_GB2312" w:hAnsi="仿宋_GB2312" w:eastAsia="仿宋_GB2312" w:cs="Times New Roman"/>
                <w:b/>
                <w:bCs/>
                <w:sz w:val="21"/>
                <w:szCs w:val="21"/>
                <w:lang w:val="zh-CN" w:eastAsia="zh-CN"/>
              </w:rPr>
            </w:pPr>
            <w:r>
              <w:rPr>
                <w:rFonts w:hint="eastAsia" w:ascii="仿宋_GB2312" w:hAnsi="仿宋_GB2312" w:eastAsia="仿宋_GB2312" w:cs="仿宋_GB2312"/>
                <w:b/>
                <w:bCs/>
                <w:sz w:val="21"/>
                <w:szCs w:val="21"/>
                <w:lang w:val="zh-CN" w:eastAsia="zh-CN"/>
              </w:rPr>
              <w:t>构成招标文件的其他文件</w:t>
            </w:r>
          </w:p>
        </w:tc>
        <w:tc>
          <w:tcPr>
            <w:tcW w:w="7154" w:type="dxa"/>
            <w:vAlign w:val="center"/>
          </w:tcPr>
          <w:p w14:paraId="3FA64EEF">
            <w:pPr>
              <w:pStyle w:val="110"/>
              <w:ind w:left="31680" w:hanging="210" w:hangingChars="100"/>
              <w:outlineLvl w:val="9"/>
              <w:rPr>
                <w:rFonts w:ascii="仿宋_GB2312" w:hAnsi="仿宋_GB2312" w:eastAsia="仿宋_GB2312" w:cs="Times New Roman"/>
                <w:sz w:val="21"/>
                <w:szCs w:val="21"/>
                <w:lang w:val="zh-CN" w:eastAsia="zh-CN"/>
              </w:rPr>
            </w:pPr>
            <w:r>
              <w:rPr>
                <w:rFonts w:ascii="仿宋_GB2312" w:hAnsi="仿宋_GB2312" w:eastAsia="仿宋_GB2312" w:cs="仿宋_GB2312"/>
                <w:sz w:val="21"/>
                <w:szCs w:val="21"/>
                <w:lang w:val="zh-CN" w:eastAsia="zh-CN"/>
              </w:rPr>
              <w:t xml:space="preserve">  </w:t>
            </w:r>
            <w:r>
              <w:rPr>
                <w:rFonts w:hint="eastAsia" w:ascii="仿宋_GB2312" w:hAnsi="仿宋_GB2312" w:eastAsia="仿宋_GB2312" w:cs="仿宋_GB2312"/>
                <w:sz w:val="21"/>
                <w:szCs w:val="21"/>
                <w:lang w:val="zh-CN" w:eastAsia="zh-CN"/>
              </w:rPr>
              <w:t>招标文件的澄清</w:t>
            </w:r>
            <w:r>
              <w:rPr>
                <w:rFonts w:hint="eastAsia" w:ascii="仿宋_GB2312" w:hAnsi="仿宋_GB2312" w:eastAsia="仿宋_GB2312" w:cs="仿宋_GB2312"/>
                <w:sz w:val="21"/>
                <w:szCs w:val="21"/>
                <w:lang w:eastAsia="zh-CN"/>
              </w:rPr>
              <w:t>、修改及有关补充说明为招标文件的有效组成部分。</w:t>
            </w:r>
          </w:p>
        </w:tc>
      </w:tr>
      <w:tr w14:paraId="643F018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56" w:hRule="exact"/>
          <w:jc w:val="center"/>
        </w:trPr>
        <w:tc>
          <w:tcPr>
            <w:tcW w:w="1012" w:type="dxa"/>
            <w:shd w:val="clear" w:color="auto" w:fill="auto"/>
            <w:vAlign w:val="center"/>
          </w:tcPr>
          <w:p w14:paraId="335E2106">
            <w:pPr>
              <w:pStyle w:val="110"/>
              <w:ind w:right="230" w:rightChars="0"/>
              <w:jc w:val="center"/>
              <w:outlineLvl w:val="9"/>
              <w:rPr>
                <w:rFonts w:ascii="仿宋_GB2312" w:hAnsi="仿宋_GB2312" w:eastAsia="仿宋_GB2312" w:cs="仿宋_GB2312"/>
                <w:kern w:val="0"/>
                <w:sz w:val="21"/>
                <w:szCs w:val="21"/>
                <w:lang w:val="zh-CN" w:eastAsia="zh-CN" w:bidi="ar-SA"/>
              </w:rPr>
            </w:pPr>
            <w:r>
              <w:rPr>
                <w:rFonts w:ascii="仿宋_GB2312" w:hAnsi="仿宋_GB2312" w:eastAsia="仿宋_GB2312" w:cs="仿宋_GB2312"/>
                <w:sz w:val="21"/>
                <w:szCs w:val="21"/>
                <w:lang w:eastAsia="zh-CN"/>
              </w:rPr>
              <w:t>15</w:t>
            </w:r>
          </w:p>
        </w:tc>
        <w:tc>
          <w:tcPr>
            <w:tcW w:w="1591" w:type="dxa"/>
            <w:vAlign w:val="center"/>
          </w:tcPr>
          <w:p w14:paraId="2C05D792">
            <w:pPr>
              <w:pStyle w:val="110"/>
              <w:ind w:left="52"/>
              <w:jc w:val="center"/>
              <w:outlineLvl w:val="9"/>
              <w:rPr>
                <w:rFonts w:ascii="仿宋_GB2312" w:hAnsi="仿宋_GB2312" w:eastAsia="仿宋_GB2312" w:cs="Times New Roman"/>
                <w:b/>
                <w:bCs/>
                <w:sz w:val="21"/>
                <w:szCs w:val="21"/>
                <w:lang w:val="zh-CN" w:eastAsia="zh-CN"/>
              </w:rPr>
            </w:pPr>
            <w:r>
              <w:rPr>
                <w:rFonts w:hint="eastAsia" w:ascii="仿宋_GB2312" w:hAnsi="仿宋_GB2312" w:eastAsia="仿宋_GB2312" w:cs="仿宋_GB2312"/>
                <w:b/>
                <w:bCs/>
                <w:sz w:val="21"/>
                <w:szCs w:val="21"/>
                <w:lang w:val="zh-CN" w:eastAsia="zh-CN"/>
              </w:rPr>
              <w:t>投标截止时间</w:t>
            </w:r>
          </w:p>
        </w:tc>
        <w:tc>
          <w:tcPr>
            <w:tcW w:w="7154" w:type="dxa"/>
            <w:vAlign w:val="center"/>
          </w:tcPr>
          <w:p w14:paraId="1B265F48">
            <w:pPr>
              <w:pStyle w:val="110"/>
              <w:ind w:firstLine="105" w:firstLineChars="50"/>
              <w:outlineLvl w:val="9"/>
              <w:rPr>
                <w:rFonts w:ascii="仿宋_GB2312" w:hAnsi="仿宋_GB2312" w:eastAsia="仿宋_GB2312" w:cs="Times New Roman"/>
                <w:b/>
                <w:bCs/>
                <w:sz w:val="21"/>
                <w:szCs w:val="21"/>
                <w:lang w:eastAsia="zh-CN"/>
              </w:rPr>
            </w:pPr>
            <w:r>
              <w:rPr>
                <w:rFonts w:hint="eastAsia" w:ascii="仿宋_GB2312" w:hAnsi="仿宋_GB2312" w:eastAsia="仿宋_GB2312" w:cs="仿宋_GB2312"/>
                <w:b w:val="0"/>
                <w:bCs w:val="0"/>
                <w:sz w:val="21"/>
                <w:szCs w:val="21"/>
                <w:lang w:eastAsia="zh-CN"/>
              </w:rPr>
              <w:t>同招标公告一致</w:t>
            </w:r>
            <w:r>
              <w:rPr>
                <w:rFonts w:hint="eastAsia" w:ascii="仿宋_GB2312" w:hAnsi="仿宋_GB2312" w:eastAsia="仿宋_GB2312" w:cs="仿宋_GB2312"/>
                <w:b w:val="0"/>
                <w:bCs w:val="0"/>
                <w:color w:val="auto"/>
                <w:sz w:val="21"/>
                <w:szCs w:val="21"/>
                <w:lang w:eastAsia="zh-CN"/>
              </w:rPr>
              <w:t>，</w:t>
            </w:r>
            <w:r>
              <w:rPr>
                <w:rFonts w:hint="eastAsia" w:ascii="仿宋_GB2312" w:hAnsi="仿宋_GB2312" w:eastAsia="仿宋_GB2312" w:cs="仿宋_GB2312"/>
                <w:b w:val="0"/>
                <w:bCs w:val="0"/>
                <w:sz w:val="21"/>
                <w:szCs w:val="21"/>
                <w:lang w:eastAsia="zh-CN"/>
              </w:rPr>
              <w:t>逾期不予受理。</w:t>
            </w:r>
          </w:p>
        </w:tc>
      </w:tr>
      <w:tr w14:paraId="0DDFF0E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42" w:hRule="exact"/>
          <w:jc w:val="center"/>
        </w:trPr>
        <w:tc>
          <w:tcPr>
            <w:tcW w:w="1012" w:type="dxa"/>
            <w:shd w:val="clear" w:color="auto" w:fill="auto"/>
            <w:vAlign w:val="center"/>
          </w:tcPr>
          <w:p w14:paraId="785BD97B">
            <w:pPr>
              <w:pStyle w:val="110"/>
              <w:ind w:right="230" w:rightChars="0"/>
              <w:jc w:val="center"/>
              <w:outlineLvl w:val="9"/>
              <w:rPr>
                <w:rFonts w:ascii="仿宋_GB2312" w:hAnsi="仿宋_GB2312" w:eastAsia="仿宋_GB2312" w:cs="仿宋_GB2312"/>
                <w:kern w:val="0"/>
                <w:sz w:val="21"/>
                <w:szCs w:val="21"/>
                <w:lang w:val="en-US" w:eastAsia="zh-CN" w:bidi="ar-SA"/>
              </w:rPr>
            </w:pPr>
            <w:r>
              <w:rPr>
                <w:rFonts w:ascii="仿宋_GB2312" w:hAnsi="仿宋_GB2312" w:eastAsia="仿宋_GB2312" w:cs="仿宋_GB2312"/>
                <w:sz w:val="21"/>
                <w:szCs w:val="21"/>
                <w:lang w:eastAsia="zh-CN"/>
              </w:rPr>
              <w:t>16</w:t>
            </w:r>
          </w:p>
        </w:tc>
        <w:tc>
          <w:tcPr>
            <w:tcW w:w="1591" w:type="dxa"/>
            <w:vAlign w:val="center"/>
          </w:tcPr>
          <w:p w14:paraId="619B89B2">
            <w:pPr>
              <w:pStyle w:val="110"/>
              <w:ind w:left="52"/>
              <w:jc w:val="center"/>
              <w:outlineLvl w:val="9"/>
              <w:rPr>
                <w:rFonts w:ascii="仿宋_GB2312" w:hAnsi="仿宋_GB2312" w:eastAsia="仿宋_GB2312" w:cs="Times New Roman"/>
                <w:b/>
                <w:bCs/>
                <w:sz w:val="21"/>
                <w:szCs w:val="21"/>
                <w:lang w:val="zh-CN" w:eastAsia="zh-CN"/>
              </w:rPr>
            </w:pPr>
            <w:r>
              <w:rPr>
                <w:rFonts w:hint="eastAsia" w:ascii="仿宋_GB2312" w:hAnsi="仿宋_GB2312" w:eastAsia="仿宋_GB2312" w:cs="仿宋_GB2312"/>
                <w:b/>
                <w:bCs/>
                <w:sz w:val="21"/>
                <w:szCs w:val="21"/>
                <w:lang w:val="zh-CN"/>
              </w:rPr>
              <w:t>投标文件递交</w:t>
            </w:r>
          </w:p>
        </w:tc>
        <w:tc>
          <w:tcPr>
            <w:tcW w:w="7154" w:type="dxa"/>
            <w:vAlign w:val="center"/>
          </w:tcPr>
          <w:p w14:paraId="41BCCAD0">
            <w:pPr>
              <w:pStyle w:val="110"/>
              <w:ind w:firstLine="105" w:firstLineChars="50"/>
              <w:outlineLvl w:val="9"/>
              <w:rPr>
                <w:rFonts w:ascii="仿宋_GB2312" w:hAnsi="仿宋_GB2312" w:eastAsia="仿宋_GB2312" w:cs="Times New Roman"/>
                <w:sz w:val="21"/>
                <w:szCs w:val="21"/>
                <w:lang w:eastAsia="zh-CN"/>
              </w:rPr>
            </w:pPr>
            <w:r>
              <w:rPr>
                <w:rFonts w:hint="eastAsia" w:ascii="仿宋_GB2312" w:hAnsi="仿宋_GB2312" w:eastAsia="仿宋_GB2312" w:cs="仿宋_GB2312"/>
                <w:sz w:val="21"/>
                <w:szCs w:val="21"/>
                <w:lang w:eastAsia="zh-CN"/>
              </w:rPr>
              <w:t>地点：同招标公告一致</w:t>
            </w:r>
          </w:p>
          <w:p w14:paraId="397328AB">
            <w:pPr>
              <w:pStyle w:val="110"/>
              <w:ind w:firstLine="105" w:firstLineChars="50"/>
              <w:outlineLvl w:val="9"/>
              <w:rPr>
                <w:rFonts w:ascii="仿宋_GB2312" w:hAnsi="仿宋_GB2312" w:eastAsia="仿宋_GB2312" w:cs="Times New Roman"/>
                <w:b/>
                <w:bCs/>
                <w:sz w:val="21"/>
                <w:szCs w:val="21"/>
                <w:lang w:eastAsia="zh-CN"/>
              </w:rPr>
            </w:pPr>
            <w:r>
              <w:rPr>
                <w:rFonts w:hint="eastAsia" w:ascii="仿宋_GB2312" w:hAnsi="仿宋_GB2312" w:eastAsia="仿宋_GB2312" w:cs="仿宋_GB2312"/>
                <w:sz w:val="21"/>
                <w:szCs w:val="21"/>
                <w:lang w:eastAsia="zh-CN"/>
              </w:rPr>
              <w:t>截止时间：同招标公告一致，逾期不予受理。</w:t>
            </w:r>
          </w:p>
        </w:tc>
      </w:tr>
      <w:tr w14:paraId="2FBCF1F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74" w:hRule="exact"/>
          <w:jc w:val="center"/>
        </w:trPr>
        <w:tc>
          <w:tcPr>
            <w:tcW w:w="1012" w:type="dxa"/>
            <w:shd w:val="clear" w:color="auto" w:fill="auto"/>
            <w:vAlign w:val="center"/>
          </w:tcPr>
          <w:p w14:paraId="5AF0FCA9">
            <w:pPr>
              <w:pStyle w:val="110"/>
              <w:ind w:right="230" w:rightChars="0"/>
              <w:jc w:val="center"/>
              <w:outlineLvl w:val="9"/>
              <w:rPr>
                <w:rFonts w:ascii="仿宋_GB2312" w:hAnsi="仿宋_GB2312" w:eastAsia="仿宋_GB2312" w:cs="仿宋_GB2312"/>
                <w:kern w:val="0"/>
                <w:sz w:val="21"/>
                <w:szCs w:val="21"/>
                <w:lang w:val="en-US" w:eastAsia="zh-CN" w:bidi="ar-SA"/>
              </w:rPr>
            </w:pPr>
            <w:r>
              <w:rPr>
                <w:rFonts w:ascii="仿宋_GB2312" w:hAnsi="仿宋_GB2312" w:eastAsia="仿宋_GB2312" w:cs="仿宋_GB2312"/>
                <w:sz w:val="21"/>
                <w:szCs w:val="21"/>
                <w:lang w:eastAsia="zh-CN"/>
              </w:rPr>
              <w:t>17</w:t>
            </w:r>
          </w:p>
        </w:tc>
        <w:tc>
          <w:tcPr>
            <w:tcW w:w="1591" w:type="dxa"/>
            <w:vAlign w:val="center"/>
          </w:tcPr>
          <w:p w14:paraId="35217CAB">
            <w:pPr>
              <w:pStyle w:val="110"/>
              <w:ind w:left="33"/>
              <w:jc w:val="center"/>
              <w:outlineLvl w:val="9"/>
              <w:rPr>
                <w:rFonts w:hint="eastAsia" w:ascii="仿宋_GB2312" w:hAnsi="仿宋_GB2312" w:eastAsia="仿宋_GB2312" w:cs="Times New Roman"/>
                <w:b/>
                <w:bCs/>
                <w:sz w:val="21"/>
                <w:szCs w:val="21"/>
                <w:lang w:val="en-US" w:eastAsia="zh-CN"/>
              </w:rPr>
            </w:pPr>
            <w:r>
              <w:rPr>
                <w:rFonts w:hint="eastAsia" w:ascii="仿宋_GB2312" w:hAnsi="仿宋_GB2312" w:eastAsia="仿宋_GB2312" w:cs="仿宋_GB2312"/>
                <w:b/>
                <w:bCs/>
                <w:sz w:val="21"/>
                <w:szCs w:val="21"/>
                <w:lang w:val="zh-CN"/>
              </w:rPr>
              <w:t>开标时间、</w:t>
            </w:r>
            <w:r>
              <w:rPr>
                <w:rFonts w:hint="eastAsia" w:ascii="仿宋_GB2312" w:hAnsi="仿宋_GB2312" w:eastAsia="仿宋_GB2312" w:cs="仿宋_GB2312"/>
                <w:b/>
                <w:bCs/>
                <w:sz w:val="21"/>
                <w:szCs w:val="21"/>
                <w:lang w:val="en-US" w:eastAsia="zh-CN"/>
              </w:rPr>
              <w:t>地点</w:t>
            </w:r>
          </w:p>
        </w:tc>
        <w:tc>
          <w:tcPr>
            <w:tcW w:w="7154" w:type="dxa"/>
            <w:vAlign w:val="center"/>
          </w:tcPr>
          <w:p w14:paraId="5CA5C538">
            <w:pPr>
              <w:spacing w:beforeLines="0" w:afterLines="0"/>
              <w:jc w:val="left"/>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开标时间：详见招标公告</w:t>
            </w:r>
          </w:p>
          <w:p w14:paraId="1FAFEFAD">
            <w:pPr>
              <w:pStyle w:val="110"/>
              <w:outlineLvl w:val="9"/>
              <w:rPr>
                <w:rFonts w:ascii="仿宋_GB2312" w:hAnsi="仿宋_GB2312" w:eastAsia="仿宋_GB2312" w:cs="Times New Roman"/>
                <w:sz w:val="21"/>
                <w:szCs w:val="21"/>
                <w:lang w:val="zh-CN" w:eastAsia="zh-CN"/>
              </w:rPr>
            </w:pPr>
            <w:r>
              <w:rPr>
                <w:rFonts w:hint="eastAsia" w:ascii="仿宋_GB2312" w:hAnsi="仿宋_GB2312" w:eastAsia="仿宋_GB2312" w:cs="仿宋_GB2312"/>
                <w:kern w:val="0"/>
                <w:sz w:val="21"/>
                <w:szCs w:val="21"/>
                <w:lang w:val="en-US" w:eastAsia="zh-CN" w:bidi="ar-SA"/>
              </w:rPr>
              <w:t>开标地点：详见招标公告。</w:t>
            </w:r>
          </w:p>
        </w:tc>
      </w:tr>
      <w:tr w14:paraId="6C04495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87" w:hRule="exact"/>
          <w:jc w:val="center"/>
        </w:trPr>
        <w:tc>
          <w:tcPr>
            <w:tcW w:w="1012" w:type="dxa"/>
            <w:shd w:val="clear" w:color="auto" w:fill="auto"/>
            <w:vAlign w:val="center"/>
          </w:tcPr>
          <w:p w14:paraId="56BCBE2C">
            <w:pPr>
              <w:pStyle w:val="110"/>
              <w:ind w:right="230" w:rightChars="0"/>
              <w:jc w:val="center"/>
              <w:outlineLvl w:val="9"/>
              <w:rPr>
                <w:rFonts w:ascii="仿宋_GB2312" w:hAnsi="仿宋_GB2312" w:eastAsia="仿宋_GB2312" w:cs="仿宋_GB2312"/>
                <w:kern w:val="0"/>
                <w:sz w:val="21"/>
                <w:szCs w:val="21"/>
                <w:lang w:val="en-US" w:eastAsia="zh-CN" w:bidi="ar-SA"/>
              </w:rPr>
            </w:pPr>
            <w:r>
              <w:rPr>
                <w:rFonts w:ascii="仿宋_GB2312" w:hAnsi="仿宋_GB2312" w:eastAsia="仿宋_GB2312" w:cs="仿宋_GB2312"/>
                <w:sz w:val="21"/>
                <w:szCs w:val="21"/>
                <w:lang w:eastAsia="zh-CN"/>
              </w:rPr>
              <w:t>19</w:t>
            </w:r>
          </w:p>
        </w:tc>
        <w:tc>
          <w:tcPr>
            <w:tcW w:w="1591" w:type="dxa"/>
            <w:vAlign w:val="center"/>
          </w:tcPr>
          <w:p w14:paraId="3F3BFBCF">
            <w:pPr>
              <w:pStyle w:val="110"/>
              <w:ind w:left="33"/>
              <w:jc w:val="center"/>
              <w:outlineLvl w:val="9"/>
              <w:rPr>
                <w:rFonts w:ascii="仿宋_GB2312" w:hAnsi="仿宋_GB2312" w:eastAsia="仿宋_GB2312" w:cs="Times New Roman"/>
                <w:b/>
                <w:bCs/>
                <w:sz w:val="21"/>
                <w:szCs w:val="21"/>
                <w:lang w:val="zh-CN" w:eastAsia="zh-CN"/>
              </w:rPr>
            </w:pPr>
            <w:r>
              <w:rPr>
                <w:rFonts w:hint="eastAsia" w:ascii="仿宋_GB2312" w:hAnsi="仿宋_GB2312" w:eastAsia="仿宋_GB2312" w:cs="仿宋_GB2312"/>
                <w:b/>
                <w:bCs/>
                <w:sz w:val="21"/>
                <w:szCs w:val="21"/>
                <w:lang w:val="zh-CN" w:eastAsia="zh-CN"/>
              </w:rPr>
              <w:t>投标有效期</w:t>
            </w:r>
          </w:p>
        </w:tc>
        <w:tc>
          <w:tcPr>
            <w:tcW w:w="7154" w:type="dxa"/>
            <w:vAlign w:val="center"/>
          </w:tcPr>
          <w:p w14:paraId="55C8D625">
            <w:pPr>
              <w:pStyle w:val="110"/>
              <w:ind w:firstLine="210" w:firstLineChars="100"/>
              <w:outlineLvl w:val="9"/>
              <w:rPr>
                <w:rFonts w:ascii="仿宋_GB2312" w:hAnsi="仿宋_GB2312" w:eastAsia="仿宋_GB2312" w:cs="Times New Roman"/>
                <w:sz w:val="21"/>
                <w:szCs w:val="21"/>
                <w:lang w:val="zh-CN" w:eastAsia="zh-CN"/>
              </w:rPr>
            </w:pPr>
            <w:r>
              <w:rPr>
                <w:rFonts w:hint="eastAsia" w:ascii="仿宋_GB2312" w:hAnsi="仿宋_GB2312" w:eastAsia="仿宋_GB2312" w:cs="仿宋_GB2312"/>
                <w:sz w:val="21"/>
                <w:szCs w:val="21"/>
                <w:lang w:val="en-US" w:eastAsia="zh-CN"/>
              </w:rPr>
              <w:t>开标后</w:t>
            </w:r>
            <w:r>
              <w:rPr>
                <w:rFonts w:ascii="仿宋_GB2312" w:hAnsi="仿宋_GB2312" w:eastAsia="仿宋_GB2312" w:cs="仿宋_GB2312"/>
                <w:sz w:val="21"/>
                <w:szCs w:val="21"/>
                <w:lang w:eastAsia="zh-CN"/>
              </w:rPr>
              <w:t>60</w:t>
            </w:r>
            <w:r>
              <w:rPr>
                <w:rFonts w:hint="eastAsia" w:ascii="仿宋_GB2312" w:hAnsi="仿宋_GB2312" w:eastAsia="仿宋_GB2312" w:cs="仿宋_GB2312"/>
                <w:sz w:val="21"/>
                <w:szCs w:val="21"/>
                <w:lang w:eastAsia="zh-CN"/>
              </w:rPr>
              <w:t>天。</w:t>
            </w:r>
          </w:p>
        </w:tc>
      </w:tr>
      <w:tr w14:paraId="1AA3F80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54" w:hRule="exact"/>
          <w:jc w:val="center"/>
        </w:trPr>
        <w:tc>
          <w:tcPr>
            <w:tcW w:w="1012" w:type="dxa"/>
            <w:shd w:val="clear" w:color="auto" w:fill="auto"/>
            <w:vAlign w:val="center"/>
          </w:tcPr>
          <w:p w14:paraId="65697F9A">
            <w:pPr>
              <w:pStyle w:val="110"/>
              <w:keepNext w:val="0"/>
              <w:keepLines w:val="0"/>
              <w:pageBreakBefore w:val="0"/>
              <w:widowControl w:val="0"/>
              <w:kinsoku/>
              <w:wordWrap/>
              <w:overflowPunct/>
              <w:topLinePunct w:val="0"/>
              <w:autoSpaceDE w:val="0"/>
              <w:autoSpaceDN w:val="0"/>
              <w:bidi w:val="0"/>
              <w:adjustRightInd w:val="0"/>
              <w:snapToGrid/>
              <w:spacing w:after="0"/>
              <w:ind w:right="264" w:rightChars="0"/>
              <w:jc w:val="center"/>
              <w:textAlignment w:val="auto"/>
              <w:outlineLvl w:val="9"/>
              <w:rPr>
                <w:rFonts w:ascii="仿宋_GB2312" w:hAnsi="仿宋_GB2312" w:eastAsia="仿宋_GB2312" w:cs="仿宋_GB2312"/>
                <w:kern w:val="0"/>
                <w:sz w:val="21"/>
                <w:szCs w:val="21"/>
                <w:lang w:val="en-US" w:eastAsia="zh-CN" w:bidi="ar-SA"/>
              </w:rPr>
            </w:pPr>
            <w:r>
              <w:rPr>
                <w:rFonts w:ascii="仿宋_GB2312" w:hAnsi="仿宋_GB2312" w:eastAsia="仿宋_GB2312" w:cs="仿宋_GB2312"/>
                <w:sz w:val="21"/>
                <w:szCs w:val="21"/>
                <w:lang w:eastAsia="zh-CN"/>
              </w:rPr>
              <w:t>20</w:t>
            </w:r>
          </w:p>
        </w:tc>
        <w:tc>
          <w:tcPr>
            <w:tcW w:w="1591" w:type="dxa"/>
            <w:vAlign w:val="bottom"/>
          </w:tcPr>
          <w:p w14:paraId="0B34B788">
            <w:pPr>
              <w:pStyle w:val="110"/>
              <w:jc w:val="center"/>
              <w:outlineLvl w:val="9"/>
              <w:rPr>
                <w:rFonts w:ascii="仿宋_GB2312" w:hAnsi="仿宋_GB2312" w:eastAsia="仿宋_GB2312" w:cs="Times New Roman"/>
                <w:b/>
                <w:bCs/>
                <w:sz w:val="21"/>
                <w:szCs w:val="21"/>
                <w:lang w:val="zh-CN" w:eastAsia="zh-CN"/>
              </w:rPr>
            </w:pPr>
            <w:r>
              <w:rPr>
                <w:rFonts w:hint="eastAsia" w:ascii="仿宋_GB2312" w:hAnsi="仿宋_GB2312" w:eastAsia="仿宋_GB2312" w:cs="仿宋_GB2312"/>
                <w:b/>
                <w:bCs/>
                <w:sz w:val="21"/>
                <w:szCs w:val="21"/>
                <w:lang w:val="zh-CN"/>
              </w:rPr>
              <w:t>交货和服务地点</w:t>
            </w:r>
          </w:p>
        </w:tc>
        <w:tc>
          <w:tcPr>
            <w:tcW w:w="7154" w:type="dxa"/>
            <w:vAlign w:val="center"/>
          </w:tcPr>
          <w:p w14:paraId="3207588F">
            <w:pPr>
              <w:autoSpaceDE w:val="0"/>
              <w:autoSpaceDN w:val="0"/>
              <w:adjustRightInd w:val="0"/>
              <w:spacing w:line="551" w:lineRule="exact"/>
              <w:jc w:val="left"/>
              <w:outlineLvl w:val="9"/>
              <w:rPr>
                <w:rFonts w:ascii="仿宋_GB2312" w:hAnsi="仿宋_GB2312" w:eastAsia="仿宋_GB2312"/>
                <w:lang w:val="zh-CN"/>
              </w:rPr>
            </w:pPr>
            <w:r>
              <w:rPr>
                <w:rFonts w:hint="eastAsia" w:ascii="仿宋_GB2312" w:hAnsi="仿宋_GB2312" w:eastAsia="仿宋_GB2312" w:cs="仿宋_GB2312"/>
                <w:lang w:val="zh-CN"/>
              </w:rPr>
              <w:t>地点：</w:t>
            </w:r>
            <w:r>
              <w:rPr>
                <w:rFonts w:hint="eastAsia" w:ascii="仿宋_GB2312" w:hAnsi="仿宋_GB2312" w:eastAsia="仿宋_GB2312" w:cs="仿宋_GB2312"/>
                <w:u w:val="single"/>
              </w:rPr>
              <w:t>采购单位</w:t>
            </w:r>
            <w:r>
              <w:rPr>
                <w:rFonts w:hint="eastAsia" w:ascii="仿宋_GB2312" w:hAnsi="仿宋_GB2312" w:eastAsia="仿宋_GB2312" w:cs="仿宋_GB2312"/>
                <w:lang w:val="zh-CN"/>
              </w:rPr>
              <w:t>指定地点。</w:t>
            </w:r>
          </w:p>
        </w:tc>
      </w:tr>
      <w:tr w14:paraId="29CF648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76" w:hRule="exact"/>
          <w:jc w:val="center"/>
        </w:trPr>
        <w:tc>
          <w:tcPr>
            <w:tcW w:w="1012" w:type="dxa"/>
            <w:shd w:val="clear" w:color="auto" w:fill="auto"/>
            <w:vAlign w:val="center"/>
          </w:tcPr>
          <w:p w14:paraId="5B34AEB4">
            <w:pPr>
              <w:pStyle w:val="110"/>
              <w:ind w:right="264" w:rightChars="0"/>
              <w:jc w:val="center"/>
              <w:outlineLvl w:val="9"/>
              <w:rPr>
                <w:rFonts w:ascii="仿宋_GB2312" w:hAnsi="仿宋_GB2312" w:eastAsia="仿宋_GB2312" w:cs="仿宋_GB2312"/>
                <w:kern w:val="0"/>
                <w:sz w:val="21"/>
                <w:szCs w:val="21"/>
                <w:lang w:val="en-US" w:eastAsia="zh-CN" w:bidi="ar-SA"/>
              </w:rPr>
            </w:pPr>
            <w:r>
              <w:rPr>
                <w:rFonts w:ascii="仿宋_GB2312" w:hAnsi="仿宋_GB2312" w:eastAsia="仿宋_GB2312" w:cs="仿宋_GB2312"/>
                <w:sz w:val="21"/>
                <w:szCs w:val="21"/>
                <w:lang w:eastAsia="zh-CN"/>
              </w:rPr>
              <w:t>21</w:t>
            </w:r>
          </w:p>
        </w:tc>
        <w:tc>
          <w:tcPr>
            <w:tcW w:w="1591" w:type="dxa"/>
            <w:vAlign w:val="center"/>
          </w:tcPr>
          <w:p w14:paraId="30B6F680">
            <w:pPr>
              <w:pStyle w:val="110"/>
              <w:keepNext w:val="0"/>
              <w:keepLines w:val="0"/>
              <w:pageBreakBefore w:val="0"/>
              <w:widowControl w:val="0"/>
              <w:kinsoku/>
              <w:wordWrap/>
              <w:overflowPunct/>
              <w:topLinePunct w:val="0"/>
              <w:autoSpaceDE w:val="0"/>
              <w:autoSpaceDN w:val="0"/>
              <w:bidi w:val="0"/>
              <w:adjustRightInd w:val="0"/>
              <w:snapToGrid/>
              <w:spacing w:after="0"/>
              <w:ind w:left="33"/>
              <w:jc w:val="center"/>
              <w:textAlignment w:val="auto"/>
              <w:outlineLvl w:val="9"/>
              <w:rPr>
                <w:rFonts w:ascii="仿宋_GB2312" w:hAnsi="仿宋_GB2312" w:eastAsia="仿宋_GB2312" w:cs="Times New Roman"/>
                <w:b/>
                <w:bCs/>
                <w:sz w:val="21"/>
                <w:szCs w:val="21"/>
                <w:lang w:val="zh-CN" w:eastAsia="zh-CN"/>
              </w:rPr>
            </w:pPr>
            <w:r>
              <w:rPr>
                <w:rFonts w:hint="eastAsia" w:ascii="仿宋_GB2312" w:hAnsi="仿宋_GB2312" w:eastAsia="仿宋_GB2312" w:cs="仿宋_GB2312"/>
                <w:b/>
                <w:bCs/>
                <w:sz w:val="21"/>
                <w:szCs w:val="21"/>
                <w:lang w:val="zh-CN" w:eastAsia="zh-CN"/>
              </w:rPr>
              <w:t>交货期</w:t>
            </w:r>
          </w:p>
        </w:tc>
        <w:tc>
          <w:tcPr>
            <w:tcW w:w="7154" w:type="dxa"/>
            <w:vAlign w:val="center"/>
          </w:tcPr>
          <w:p w14:paraId="28D39E85">
            <w:pPr>
              <w:pStyle w:val="110"/>
              <w:keepNext w:val="0"/>
              <w:keepLines w:val="0"/>
              <w:pageBreakBefore w:val="0"/>
              <w:widowControl w:val="0"/>
              <w:kinsoku/>
              <w:wordWrap/>
              <w:overflowPunct/>
              <w:topLinePunct w:val="0"/>
              <w:autoSpaceDE w:val="0"/>
              <w:autoSpaceDN w:val="0"/>
              <w:bidi w:val="0"/>
              <w:adjustRightInd w:val="0"/>
              <w:snapToGrid/>
              <w:spacing w:after="0"/>
              <w:ind w:left="33"/>
              <w:jc w:val="both"/>
              <w:textAlignment w:val="auto"/>
              <w:outlineLvl w:val="9"/>
              <w:rPr>
                <w:rFonts w:ascii="仿宋_GB2312" w:hAnsi="仿宋_GB2312" w:eastAsia="仿宋_GB2312" w:cs="Times New Roman"/>
                <w:sz w:val="21"/>
                <w:szCs w:val="21"/>
                <w:lang w:eastAsia="zh-CN"/>
              </w:rPr>
            </w:pPr>
            <w:r>
              <w:rPr>
                <w:rFonts w:hint="eastAsia" w:ascii="仿宋_GB2312" w:hAnsi="仿宋_GB2312" w:eastAsia="仿宋_GB2312" w:cs="仿宋_GB2312"/>
                <w:b/>
                <w:bCs/>
                <w:sz w:val="21"/>
                <w:szCs w:val="21"/>
                <w:lang w:eastAsia="zh-CN"/>
              </w:rPr>
              <w:t>合同签订后</w:t>
            </w:r>
            <w:r>
              <w:rPr>
                <w:rFonts w:hint="eastAsia" w:ascii="仿宋_GB2312" w:hAnsi="仿宋_GB2312" w:eastAsia="仿宋_GB2312" w:cs="仿宋_GB2312"/>
                <w:b/>
                <w:bCs/>
                <w:sz w:val="21"/>
                <w:szCs w:val="21"/>
                <w:u w:val="single"/>
                <w:lang w:val="en-US" w:eastAsia="zh-CN"/>
              </w:rPr>
              <w:t xml:space="preserve">  15  </w:t>
            </w:r>
            <w:r>
              <w:rPr>
                <w:rFonts w:hint="eastAsia" w:ascii="仿宋_GB2312" w:hAnsi="仿宋_GB2312" w:eastAsia="仿宋_GB2312" w:cs="仿宋_GB2312"/>
                <w:b/>
                <w:bCs/>
                <w:sz w:val="21"/>
                <w:szCs w:val="21"/>
                <w:lang w:eastAsia="zh-CN"/>
              </w:rPr>
              <w:t>天内。</w:t>
            </w:r>
          </w:p>
        </w:tc>
      </w:tr>
      <w:tr w14:paraId="63EBE70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76" w:hRule="exact"/>
          <w:jc w:val="center"/>
        </w:trPr>
        <w:tc>
          <w:tcPr>
            <w:tcW w:w="1012" w:type="dxa"/>
            <w:shd w:val="clear" w:color="auto" w:fill="auto"/>
            <w:vAlign w:val="center"/>
          </w:tcPr>
          <w:p w14:paraId="3E84FFF4">
            <w:pPr>
              <w:pStyle w:val="110"/>
              <w:ind w:right="264" w:rightChars="0"/>
              <w:jc w:val="center"/>
              <w:outlineLvl w:val="9"/>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22</w:t>
            </w:r>
          </w:p>
        </w:tc>
        <w:tc>
          <w:tcPr>
            <w:tcW w:w="1591" w:type="dxa"/>
            <w:vAlign w:val="center"/>
          </w:tcPr>
          <w:p w14:paraId="3D492EB1">
            <w:pPr>
              <w:pStyle w:val="110"/>
              <w:keepNext w:val="0"/>
              <w:keepLines w:val="0"/>
              <w:pageBreakBefore w:val="0"/>
              <w:widowControl w:val="0"/>
              <w:kinsoku/>
              <w:wordWrap/>
              <w:overflowPunct/>
              <w:topLinePunct w:val="0"/>
              <w:autoSpaceDE w:val="0"/>
              <w:autoSpaceDN w:val="0"/>
              <w:bidi w:val="0"/>
              <w:adjustRightInd w:val="0"/>
              <w:snapToGrid/>
              <w:spacing w:after="0"/>
              <w:ind w:left="33"/>
              <w:jc w:val="center"/>
              <w:textAlignment w:val="auto"/>
              <w:outlineLvl w:val="9"/>
              <w:rPr>
                <w:rFonts w:hint="default"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lang w:val="en-US" w:eastAsia="zh-CN"/>
              </w:rPr>
              <w:t>中小企业预留份额</w:t>
            </w:r>
          </w:p>
        </w:tc>
        <w:tc>
          <w:tcPr>
            <w:tcW w:w="7154" w:type="dxa"/>
            <w:vAlign w:val="center"/>
          </w:tcPr>
          <w:p w14:paraId="79ADEE75">
            <w:pPr>
              <w:pStyle w:val="110"/>
              <w:keepNext w:val="0"/>
              <w:keepLines w:val="0"/>
              <w:pageBreakBefore w:val="0"/>
              <w:widowControl w:val="0"/>
              <w:kinsoku/>
              <w:wordWrap/>
              <w:overflowPunct/>
              <w:topLinePunct w:val="0"/>
              <w:autoSpaceDE w:val="0"/>
              <w:autoSpaceDN w:val="0"/>
              <w:bidi w:val="0"/>
              <w:adjustRightInd w:val="0"/>
              <w:snapToGrid/>
              <w:spacing w:after="0"/>
              <w:ind w:left="33"/>
              <w:jc w:val="both"/>
              <w:textAlignment w:val="auto"/>
              <w:outlineLvl w:val="9"/>
              <w:rPr>
                <w:rFonts w:hint="default"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lang w:val="en-US" w:eastAsia="zh-CN"/>
              </w:rPr>
              <w:t>不预留</w:t>
            </w:r>
          </w:p>
        </w:tc>
      </w:tr>
      <w:tr w14:paraId="6D6E394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1012" w:type="dxa"/>
            <w:shd w:val="clear" w:color="auto" w:fill="auto"/>
            <w:vAlign w:val="center"/>
          </w:tcPr>
          <w:p w14:paraId="1B25A2A9">
            <w:pPr>
              <w:pStyle w:val="110"/>
              <w:ind w:right="264" w:rightChars="0"/>
              <w:jc w:val="center"/>
              <w:outlineLvl w:val="9"/>
              <w:rPr>
                <w:rFonts w:ascii="仿宋_GB2312" w:hAnsi="仿宋_GB2312" w:eastAsia="仿宋_GB2312" w:cs="仿宋_GB2312"/>
                <w:kern w:val="0"/>
                <w:sz w:val="21"/>
                <w:szCs w:val="21"/>
                <w:lang w:val="en-US" w:eastAsia="zh-CN" w:bidi="ar-SA"/>
              </w:rPr>
            </w:pPr>
            <w:r>
              <w:rPr>
                <w:rFonts w:ascii="仿宋_GB2312" w:hAnsi="仿宋_GB2312" w:eastAsia="仿宋_GB2312" w:cs="仿宋_GB2312"/>
                <w:sz w:val="21"/>
                <w:szCs w:val="21"/>
                <w:lang w:eastAsia="zh-CN"/>
              </w:rPr>
              <w:t>2</w:t>
            </w:r>
            <w:r>
              <w:rPr>
                <w:rFonts w:hint="eastAsia" w:ascii="仿宋_GB2312" w:hAnsi="仿宋_GB2312" w:eastAsia="仿宋_GB2312" w:cs="仿宋_GB2312"/>
                <w:sz w:val="21"/>
                <w:szCs w:val="21"/>
                <w:lang w:val="en-US" w:eastAsia="zh-CN"/>
              </w:rPr>
              <w:t>3</w:t>
            </w:r>
          </w:p>
        </w:tc>
        <w:tc>
          <w:tcPr>
            <w:tcW w:w="1591" w:type="dxa"/>
            <w:vAlign w:val="center"/>
          </w:tcPr>
          <w:p w14:paraId="2A97CFCC">
            <w:pPr>
              <w:spacing w:line="276" w:lineRule="auto"/>
              <w:jc w:val="center"/>
              <w:textAlignment w:val="baseline"/>
              <w:outlineLvl w:val="9"/>
              <w:rPr>
                <w:rFonts w:ascii="仿宋_GB2312" w:hAnsi="仿宋_GB2312" w:eastAsia="仿宋_GB2312"/>
                <w:b/>
                <w:bCs/>
                <w:sz w:val="22"/>
                <w:szCs w:val="22"/>
              </w:rPr>
            </w:pPr>
            <w:r>
              <w:rPr>
                <w:rFonts w:hint="eastAsia" w:ascii="仿宋_GB2312" w:hAnsi="仿宋_GB2312" w:eastAsia="仿宋_GB2312" w:cs="仿宋_GB2312"/>
                <w:b/>
                <w:bCs/>
                <w:sz w:val="22"/>
                <w:szCs w:val="22"/>
              </w:rPr>
              <w:t>供应商资格</w:t>
            </w:r>
            <w:r>
              <w:rPr>
                <w:rFonts w:hint="eastAsia" w:ascii="仿宋_GB2312" w:hAnsi="仿宋_GB2312" w:eastAsia="仿宋_GB2312" w:cs="仿宋_GB2312"/>
                <w:b/>
                <w:bCs/>
                <w:kern w:val="0"/>
                <w:sz w:val="22"/>
                <w:szCs w:val="22"/>
              </w:rPr>
              <w:t>条件</w:t>
            </w:r>
          </w:p>
          <w:p w14:paraId="40A3E13C">
            <w:pPr>
              <w:pStyle w:val="110"/>
              <w:jc w:val="center"/>
              <w:outlineLvl w:val="9"/>
              <w:rPr>
                <w:rFonts w:ascii="仿宋_GB2312" w:hAnsi="仿宋_GB2312" w:eastAsia="仿宋_GB2312" w:cs="Times New Roman"/>
                <w:b/>
                <w:bCs/>
                <w:sz w:val="20"/>
                <w:szCs w:val="20"/>
                <w:lang w:val="zh-CN" w:eastAsia="zh-CN"/>
              </w:rPr>
            </w:pPr>
          </w:p>
        </w:tc>
        <w:tc>
          <w:tcPr>
            <w:tcW w:w="7154" w:type="dxa"/>
            <w:vAlign w:val="center"/>
          </w:tcPr>
          <w:p w14:paraId="6FDDD16A">
            <w:pPr>
              <w:spacing w:after="50" w:line="420" w:lineRule="exact"/>
              <w:ind w:firstLine="420" w:firstLineChars="200"/>
              <w:outlineLvl w:val="9"/>
              <w:rPr>
                <w:rFonts w:ascii="仿宋_GB2312" w:hAnsi="仿宋_GB2312" w:eastAsia="仿宋_GB2312"/>
                <w:lang w:val="zh-CN"/>
              </w:rPr>
            </w:pPr>
            <w:r>
              <w:rPr>
                <w:rFonts w:ascii="仿宋_GB2312" w:hAnsi="仿宋_GB2312" w:eastAsia="仿宋_GB2312" w:cs="仿宋_GB2312"/>
                <w:lang w:val="zh-CN"/>
              </w:rPr>
              <w:t>1</w:t>
            </w:r>
            <w:r>
              <w:rPr>
                <w:rFonts w:hint="eastAsia" w:ascii="仿宋_GB2312" w:hAnsi="仿宋_GB2312" w:eastAsia="仿宋_GB2312" w:cs="仿宋_GB2312"/>
                <w:lang w:val="zh-CN"/>
              </w:rPr>
              <w:t>、必须符合《中华人民共和国政府采购法》第二十二条之规定，并提供《中华人民共和国政府采购法实施条例》第十七条所要求的材料。</w:t>
            </w:r>
          </w:p>
          <w:p w14:paraId="7B6736E3">
            <w:pPr>
              <w:spacing w:after="50" w:line="420" w:lineRule="exact"/>
              <w:ind w:firstLine="420" w:firstLineChars="200"/>
              <w:outlineLvl w:val="9"/>
              <w:rPr>
                <w:rFonts w:ascii="仿宋_GB2312" w:hAnsi="仿宋_GB2312" w:eastAsia="仿宋_GB2312"/>
                <w:b/>
                <w:bCs/>
                <w:sz w:val="22"/>
                <w:szCs w:val="22"/>
                <w:lang w:val="zh-CN"/>
              </w:rPr>
            </w:pPr>
            <w:r>
              <w:rPr>
                <w:rFonts w:ascii="仿宋_GB2312" w:hAnsi="仿宋_GB2312" w:eastAsia="仿宋_GB2312" w:cs="仿宋_GB2312"/>
              </w:rPr>
              <w:t>2</w:t>
            </w:r>
            <w:r>
              <w:rPr>
                <w:rFonts w:hint="eastAsia" w:ascii="仿宋_GB2312" w:hAnsi="仿宋_GB2312" w:eastAsia="仿宋_GB2312" w:cs="仿宋_GB2312"/>
                <w:lang w:val="zh-CN"/>
              </w:rPr>
              <w:t>、供应商未被列入“信用中国”网站</w:t>
            </w:r>
            <w:r>
              <w:rPr>
                <w:rFonts w:ascii="仿宋_GB2312" w:hAnsi="仿宋_GB2312" w:eastAsia="仿宋_GB2312" w:cs="仿宋_GB2312"/>
                <w:lang w:val="zh-CN"/>
              </w:rPr>
              <w:t>(www.creditchina.gov.cn)</w:t>
            </w:r>
            <w:r>
              <w:rPr>
                <w:rFonts w:hint="eastAsia" w:ascii="仿宋_GB2312" w:hAnsi="仿宋_GB2312" w:eastAsia="仿宋_GB2312" w:cs="仿宋_GB2312"/>
                <w:lang w:val="zh-CN"/>
              </w:rPr>
              <w:t>记录失信被执行人或重大税收违法案件当事人名单或政府采购严重违法失信行为记录名单；不处于中国政府采购网</w:t>
            </w:r>
            <w:r>
              <w:rPr>
                <w:rFonts w:ascii="仿宋_GB2312" w:hAnsi="仿宋_GB2312" w:eastAsia="仿宋_GB2312" w:cs="仿宋_GB2312"/>
                <w:lang w:val="zh-CN"/>
              </w:rPr>
              <w:t>(www.ccgp.gov.cn)</w:t>
            </w:r>
            <w:r>
              <w:rPr>
                <w:rFonts w:hint="eastAsia" w:ascii="仿宋_GB2312" w:hAnsi="仿宋_GB2312" w:eastAsia="仿宋_GB2312" w:cs="仿宋_GB2312"/>
                <w:lang w:val="zh-CN"/>
              </w:rPr>
              <w:t>政府采购严重违法失信行为信息记录中的禁止参加政府采购活动期间的方可参加本项目的投标；（以招标公告发布之日起至投标截止时间前在“信用中国”网站</w:t>
            </w:r>
            <w:r>
              <w:rPr>
                <w:rFonts w:ascii="仿宋_GB2312" w:hAnsi="仿宋_GB2312" w:eastAsia="仿宋_GB2312" w:cs="仿宋_GB2312"/>
                <w:lang w:val="zh-CN"/>
              </w:rPr>
              <w:t>[www.creditchina.gov.cn]</w:t>
            </w:r>
            <w:r>
              <w:rPr>
                <w:rFonts w:hint="eastAsia" w:ascii="仿宋_GB2312" w:hAnsi="仿宋_GB2312" w:eastAsia="仿宋_GB2312" w:cs="仿宋_GB2312"/>
                <w:lang w:val="zh-CN"/>
              </w:rPr>
              <w:t>、中国政府采购网</w:t>
            </w:r>
            <w:r>
              <w:rPr>
                <w:rFonts w:ascii="仿宋_GB2312" w:hAnsi="仿宋_GB2312" w:eastAsia="仿宋_GB2312" w:cs="仿宋_GB2312"/>
                <w:lang w:val="zh-CN"/>
              </w:rPr>
              <w:t>[www.ccgp.gov.cn]</w:t>
            </w:r>
            <w:r>
              <w:rPr>
                <w:rFonts w:hint="eastAsia" w:ascii="仿宋_GB2312" w:hAnsi="仿宋_GB2312" w:eastAsia="仿宋_GB2312" w:cs="仿宋_GB2312"/>
                <w:lang w:val="zh-CN"/>
              </w:rPr>
              <w:t>查询结果为准，如相关失信记录已失效，投标人需提供相关证明资料）。</w:t>
            </w:r>
          </w:p>
          <w:p w14:paraId="2C75759B">
            <w:pPr>
              <w:spacing w:after="50" w:line="420" w:lineRule="exact"/>
              <w:ind w:firstLine="420" w:firstLineChars="200"/>
              <w:outlineLvl w:val="9"/>
              <w:rPr>
                <w:rFonts w:ascii="仿宋_GB2312" w:hAnsi="仿宋_GB2312" w:eastAsia="仿宋_GB2312"/>
                <w:lang w:val="zh-CN"/>
              </w:rPr>
            </w:pPr>
            <w:r>
              <w:rPr>
                <w:rFonts w:hint="eastAsia" w:ascii="仿宋_GB2312" w:hAnsi="仿宋_GB2312" w:eastAsia="仿宋_GB2312" w:cs="仿宋_GB2312"/>
                <w:lang w:val="en-US" w:eastAsia="zh-CN"/>
              </w:rPr>
              <w:t>3</w:t>
            </w:r>
            <w:r>
              <w:rPr>
                <w:rFonts w:hint="eastAsia" w:ascii="仿宋_GB2312" w:hAnsi="仿宋_GB2312" w:eastAsia="仿宋_GB2312" w:cs="仿宋_GB2312"/>
                <w:lang w:val="zh-CN"/>
              </w:rPr>
              <w:t>、本项目不接受联合体投标。</w:t>
            </w:r>
          </w:p>
          <w:p w14:paraId="593F4E90">
            <w:pPr>
              <w:pStyle w:val="110"/>
              <w:spacing w:line="360" w:lineRule="auto"/>
              <w:ind w:firstLine="442" w:firstLineChars="200"/>
              <w:outlineLvl w:val="9"/>
              <w:rPr>
                <w:rFonts w:ascii="仿宋_GB2312" w:hAnsi="仿宋_GB2312" w:eastAsia="仿宋_GB2312" w:cs="Times New Roman"/>
                <w:sz w:val="22"/>
                <w:szCs w:val="22"/>
                <w:lang w:val="zh-CN" w:eastAsia="zh-CN"/>
              </w:rPr>
            </w:pPr>
            <w:r>
              <w:rPr>
                <w:rFonts w:hint="eastAsia" w:ascii="仿宋_GB2312" w:hAnsi="仿宋_GB2312" w:eastAsia="仿宋_GB2312" w:cs="仿宋_GB2312"/>
                <w:b/>
                <w:bCs/>
                <w:sz w:val="22"/>
                <w:szCs w:val="22"/>
                <w:lang w:eastAsia="zh-CN"/>
              </w:rPr>
              <w:t>注：以上所需资料均在电子投标文件中提供</w:t>
            </w:r>
            <w:r>
              <w:rPr>
                <w:rFonts w:ascii="仿宋_GB2312" w:hAnsi="仿宋_GB2312" w:eastAsia="仿宋_GB2312" w:cs="仿宋_GB2312"/>
                <w:b/>
                <w:bCs/>
                <w:sz w:val="22"/>
                <w:szCs w:val="22"/>
                <w:lang w:eastAsia="zh-CN"/>
              </w:rPr>
              <w:t>,</w:t>
            </w:r>
            <w:r>
              <w:rPr>
                <w:rFonts w:hint="eastAsia" w:ascii="仿宋_GB2312" w:hAnsi="仿宋_GB2312" w:eastAsia="仿宋_GB2312" w:cs="仿宋_GB2312"/>
                <w:b/>
                <w:bCs/>
                <w:sz w:val="22"/>
                <w:szCs w:val="22"/>
                <w:lang w:eastAsia="zh-CN"/>
              </w:rPr>
              <w:t>要求供应商提交的所有证明文件及材料必须清晰、准确、真实。其真实性自行负责。若发现有造假或不真实行为，将取消其投标人资格，并按照有关规定处理。</w:t>
            </w:r>
          </w:p>
        </w:tc>
      </w:tr>
      <w:tr w14:paraId="729A199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1012" w:type="dxa"/>
            <w:shd w:val="clear" w:color="auto" w:fill="auto"/>
            <w:vAlign w:val="center"/>
          </w:tcPr>
          <w:p w14:paraId="2B66C18C">
            <w:pPr>
              <w:pStyle w:val="110"/>
              <w:ind w:right="264" w:rightChars="0"/>
              <w:jc w:val="center"/>
              <w:outlineLvl w:val="9"/>
              <w:rPr>
                <w:rFonts w:ascii="仿宋_GB2312" w:hAnsi="仿宋_GB2312" w:eastAsia="仿宋_GB2312" w:cs="仿宋_GB2312"/>
                <w:kern w:val="0"/>
                <w:sz w:val="21"/>
                <w:szCs w:val="21"/>
                <w:lang w:val="en-US" w:eastAsia="zh-CN" w:bidi="ar-SA"/>
              </w:rPr>
            </w:pPr>
            <w:r>
              <w:rPr>
                <w:rFonts w:ascii="仿宋_GB2312" w:hAnsi="仿宋_GB2312" w:eastAsia="仿宋_GB2312" w:cs="仿宋_GB2312"/>
                <w:sz w:val="21"/>
                <w:szCs w:val="21"/>
                <w:lang w:eastAsia="zh-CN"/>
              </w:rPr>
              <w:t>2</w:t>
            </w:r>
            <w:r>
              <w:rPr>
                <w:rFonts w:hint="eastAsia" w:ascii="仿宋_GB2312" w:hAnsi="仿宋_GB2312" w:eastAsia="仿宋_GB2312" w:cs="仿宋_GB2312"/>
                <w:sz w:val="21"/>
                <w:szCs w:val="21"/>
                <w:lang w:val="en-US" w:eastAsia="zh-CN"/>
              </w:rPr>
              <w:t>4</w:t>
            </w:r>
          </w:p>
        </w:tc>
        <w:tc>
          <w:tcPr>
            <w:tcW w:w="1591" w:type="dxa"/>
            <w:vAlign w:val="center"/>
          </w:tcPr>
          <w:p w14:paraId="7D069AEA">
            <w:pPr>
              <w:pStyle w:val="110"/>
              <w:ind w:left="235"/>
              <w:jc w:val="both"/>
              <w:outlineLvl w:val="9"/>
              <w:rPr>
                <w:rFonts w:ascii="仿宋_GB2312" w:hAnsi="仿宋_GB2312" w:eastAsia="仿宋_GB2312" w:cs="Times New Roman"/>
                <w:b/>
                <w:bCs/>
                <w:sz w:val="22"/>
                <w:szCs w:val="22"/>
                <w:lang w:val="zh-CN" w:eastAsia="zh-CN"/>
              </w:rPr>
            </w:pPr>
            <w:r>
              <w:rPr>
                <w:rFonts w:hint="eastAsia" w:ascii="仿宋_GB2312" w:hAnsi="仿宋_GB2312" w:eastAsia="仿宋_GB2312" w:cs="仿宋_GB2312"/>
                <w:b/>
                <w:bCs/>
                <w:sz w:val="22"/>
                <w:szCs w:val="22"/>
                <w:lang w:val="zh-CN"/>
              </w:rPr>
              <w:t>分公司投标</w:t>
            </w:r>
          </w:p>
        </w:tc>
        <w:tc>
          <w:tcPr>
            <w:tcW w:w="7154" w:type="dxa"/>
            <w:vAlign w:val="center"/>
          </w:tcPr>
          <w:p w14:paraId="7EF64B9D">
            <w:pPr>
              <w:pStyle w:val="110"/>
              <w:spacing w:line="360" w:lineRule="auto"/>
              <w:outlineLvl w:val="9"/>
              <w:rPr>
                <w:rFonts w:ascii="仿宋_GB2312" w:hAnsi="仿宋_GB2312" w:eastAsia="仿宋_GB2312" w:cs="Times New Roman"/>
                <w:kern w:val="2"/>
                <w:sz w:val="22"/>
                <w:szCs w:val="22"/>
                <w:lang w:eastAsia="zh-CN"/>
              </w:rPr>
            </w:pPr>
            <w:r>
              <w:rPr>
                <w:rFonts w:ascii="仿宋_GB2312" w:hAnsi="仿宋_GB2312" w:eastAsia="仿宋_GB2312" w:cs="仿宋_GB2312"/>
                <w:kern w:val="2"/>
                <w:sz w:val="22"/>
                <w:szCs w:val="22"/>
                <w:lang w:eastAsia="zh-CN"/>
              </w:rPr>
              <w:t xml:space="preserve">    </w:t>
            </w:r>
            <w:r>
              <w:rPr>
                <w:rFonts w:hint="eastAsia" w:ascii="仿宋_GB2312" w:hAnsi="仿宋_GB2312" w:eastAsia="仿宋_GB2312" w:cs="仿宋_GB2312"/>
                <w:kern w:val="2"/>
                <w:sz w:val="22"/>
                <w:szCs w:val="22"/>
                <w:lang w:eastAsia="zh-CN"/>
              </w:rPr>
              <w:t>除银行、保险、电力、电信等特殊行业外，本项目不接受非独立法人单位分公司的投标</w:t>
            </w:r>
          </w:p>
        </w:tc>
      </w:tr>
      <w:tr w14:paraId="60A43C5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772" w:hRule="exact"/>
          <w:jc w:val="center"/>
        </w:trPr>
        <w:tc>
          <w:tcPr>
            <w:tcW w:w="1012" w:type="dxa"/>
            <w:shd w:val="clear" w:color="auto" w:fill="auto"/>
            <w:vAlign w:val="center"/>
          </w:tcPr>
          <w:p w14:paraId="2441B0A4">
            <w:pPr>
              <w:pStyle w:val="110"/>
              <w:ind w:right="264" w:rightChars="0"/>
              <w:jc w:val="center"/>
              <w:outlineLvl w:val="9"/>
              <w:rPr>
                <w:rFonts w:hint="default" w:ascii="仿宋_GB2312" w:hAnsi="仿宋_GB2312" w:eastAsia="仿宋_GB2312" w:cs="仿宋_GB2312"/>
                <w:kern w:val="0"/>
                <w:sz w:val="21"/>
                <w:szCs w:val="21"/>
                <w:lang w:val="en-US" w:eastAsia="zh-CN" w:bidi="ar-SA"/>
              </w:rPr>
            </w:pPr>
            <w:r>
              <w:rPr>
                <w:rFonts w:hint="eastAsia" w:ascii="仿宋_GB2312" w:hAnsi="仿宋_GB2312" w:eastAsia="仿宋_GB2312" w:cs="仿宋_GB2312"/>
                <w:sz w:val="21"/>
                <w:szCs w:val="21"/>
                <w:lang w:val="en-US" w:eastAsia="zh-CN"/>
              </w:rPr>
              <w:t>25</w:t>
            </w:r>
          </w:p>
        </w:tc>
        <w:tc>
          <w:tcPr>
            <w:tcW w:w="1591" w:type="dxa"/>
            <w:vAlign w:val="center"/>
          </w:tcPr>
          <w:p w14:paraId="114259C8">
            <w:pPr>
              <w:pStyle w:val="110"/>
              <w:jc w:val="left"/>
              <w:outlineLvl w:val="9"/>
              <w:rPr>
                <w:rFonts w:ascii="仿宋_GB2312" w:hAnsi="仿宋_GB2312" w:eastAsia="仿宋_GB2312" w:cs="Times New Roman"/>
                <w:b/>
                <w:bCs/>
                <w:sz w:val="21"/>
                <w:szCs w:val="21"/>
                <w:lang w:val="zh-CN" w:eastAsia="zh-CN"/>
              </w:rPr>
            </w:pPr>
            <w:r>
              <w:rPr>
                <w:rFonts w:hint="eastAsia" w:ascii="仿宋_GB2312" w:hAnsi="仿宋_GB2312" w:eastAsia="仿宋_GB2312" w:cs="仿宋_GB2312"/>
                <w:b/>
                <w:bCs/>
                <w:sz w:val="21"/>
                <w:szCs w:val="21"/>
                <w:lang w:val="zh-CN" w:eastAsia="zh-CN"/>
              </w:rPr>
              <w:t>中小企业扶持政策</w:t>
            </w:r>
          </w:p>
        </w:tc>
        <w:tc>
          <w:tcPr>
            <w:tcW w:w="7154" w:type="dxa"/>
            <w:vAlign w:val="center"/>
          </w:tcPr>
          <w:p w14:paraId="697A5729">
            <w:pPr>
              <w:pStyle w:val="23"/>
              <w:adjustRightInd w:val="0"/>
              <w:snapToGrid w:val="0"/>
              <w:spacing w:beforeLines="50" w:line="360" w:lineRule="auto"/>
              <w:ind w:firstLine="440" w:firstLineChars="200"/>
              <w:jc w:val="left"/>
              <w:rPr>
                <w:rFonts w:hint="eastAsia" w:ascii="仿宋_GB2312" w:hAnsi="仿宋_GB2312" w:eastAsia="仿宋_GB2312" w:cs="Times New Roman"/>
                <w:sz w:val="22"/>
                <w:szCs w:val="22"/>
              </w:rPr>
            </w:pPr>
            <w:r>
              <w:rPr>
                <w:rFonts w:hint="eastAsia" w:ascii="仿宋_GB2312" w:hAnsi="仿宋_GB2312" w:eastAsia="仿宋_GB2312" w:cs="Times New Roman"/>
                <w:sz w:val="22"/>
                <w:szCs w:val="22"/>
              </w:rPr>
              <w:t>1.根据工业和信息化部、国家统计局、国家发展和改革委员会、财政部等部委发布的《关于印发中小企业划型标准规定的通知》（工信部联企业〔2011〕300号），按照本次采购标的所属行业的划型标准，符合条件的中小微企业应按照招标文件格式要求提供《中小企业声明函》。</w:t>
            </w:r>
          </w:p>
          <w:p w14:paraId="3D59ED88">
            <w:pPr>
              <w:pStyle w:val="23"/>
              <w:adjustRightInd w:val="0"/>
              <w:snapToGrid w:val="0"/>
              <w:spacing w:beforeLines="50" w:line="360" w:lineRule="auto"/>
              <w:jc w:val="left"/>
              <w:rPr>
                <w:rFonts w:hint="eastAsia" w:ascii="仿宋_GB2312" w:hAnsi="仿宋_GB2312" w:eastAsia="仿宋_GB2312" w:cs="Times New Roman"/>
                <w:sz w:val="22"/>
                <w:szCs w:val="22"/>
              </w:rPr>
            </w:pPr>
            <w:r>
              <w:rPr>
                <w:rFonts w:hint="eastAsia" w:ascii="仿宋_GB2312" w:hAnsi="仿宋_GB2312" w:eastAsia="仿宋_GB2312" w:cs="Times New Roman"/>
                <w:sz w:val="22"/>
                <w:szCs w:val="22"/>
              </w:rPr>
              <w:t xml:space="preserve">    2.根据财政部、工业和信息化部发布的《政府采购促进中小企业发展管理办法》（财库〔2020〕46号）和财政部《关于进一步加大政府采购支持中小企业力度的通知》（财库〔2022〕19号）规定，对</w:t>
            </w:r>
            <w:r>
              <w:rPr>
                <w:rFonts w:hint="eastAsia" w:ascii="仿宋_GB2312" w:hAnsi="仿宋_GB2312" w:eastAsia="仿宋_GB2312" w:cs="Times New Roman"/>
                <w:b/>
                <w:bCs/>
                <w:sz w:val="22"/>
                <w:szCs w:val="22"/>
              </w:rPr>
              <w:t>小型和微型企业产品</w:t>
            </w:r>
            <w:r>
              <w:rPr>
                <w:rFonts w:hint="eastAsia" w:ascii="仿宋_GB2312" w:hAnsi="仿宋_GB2312" w:eastAsia="仿宋_GB2312" w:cs="Times New Roman"/>
                <w:sz w:val="22"/>
                <w:szCs w:val="22"/>
              </w:rPr>
              <w:t>的投标价格给予</w:t>
            </w:r>
            <w:r>
              <w:rPr>
                <w:rFonts w:hint="eastAsia" w:ascii="仿宋_GB2312" w:hAnsi="仿宋_GB2312" w:eastAsia="仿宋_GB2312" w:cs="Times New Roman"/>
                <w:sz w:val="22"/>
                <w:szCs w:val="22"/>
                <w:highlight w:val="yellow"/>
                <w:u w:val="single"/>
                <w:lang w:val="en-US" w:eastAsia="zh-CN"/>
              </w:rPr>
              <w:t xml:space="preserve">  </w:t>
            </w:r>
            <w:r>
              <w:rPr>
                <w:rFonts w:hint="eastAsia" w:ascii="仿宋_GB2312" w:hAnsi="仿宋_GB2312" w:eastAsia="仿宋_GB2312" w:cs="Times New Roman"/>
                <w:b/>
                <w:bCs/>
                <w:sz w:val="22"/>
                <w:szCs w:val="22"/>
                <w:highlight w:val="yellow"/>
                <w:u w:val="single"/>
                <w:lang w:val="en-US" w:eastAsia="zh-CN"/>
              </w:rPr>
              <w:t>15</w:t>
            </w:r>
            <w:r>
              <w:rPr>
                <w:rFonts w:hint="eastAsia" w:ascii="仿宋_GB2312" w:hAnsi="仿宋_GB2312" w:eastAsia="仿宋_GB2312" w:cs="Times New Roman"/>
                <w:sz w:val="22"/>
                <w:szCs w:val="22"/>
                <w:highlight w:val="yellow"/>
                <w:u w:val="single"/>
                <w:lang w:val="en-US" w:eastAsia="zh-CN"/>
              </w:rPr>
              <w:t xml:space="preserve">  </w:t>
            </w:r>
            <w:r>
              <w:rPr>
                <w:rFonts w:hint="eastAsia" w:ascii="仿宋_GB2312" w:hAnsi="仿宋_GB2312" w:eastAsia="仿宋_GB2312" w:cs="Times New Roman"/>
                <w:sz w:val="22"/>
                <w:szCs w:val="22"/>
                <w:highlight w:val="yellow"/>
              </w:rPr>
              <w:t>%</w:t>
            </w:r>
            <w:r>
              <w:rPr>
                <w:rFonts w:hint="eastAsia" w:ascii="仿宋_GB2312" w:hAnsi="仿宋_GB2312" w:eastAsia="仿宋_GB2312" w:cs="Times New Roman"/>
                <w:sz w:val="22"/>
                <w:szCs w:val="22"/>
              </w:rPr>
              <w:t xml:space="preserve"> 的扣除，用扣除后的价格参与评审。</w:t>
            </w:r>
          </w:p>
          <w:p w14:paraId="7E7582BE">
            <w:pPr>
              <w:pStyle w:val="23"/>
              <w:adjustRightInd w:val="0"/>
              <w:snapToGrid w:val="0"/>
              <w:spacing w:beforeLines="50" w:line="360" w:lineRule="auto"/>
              <w:jc w:val="left"/>
              <w:rPr>
                <w:rFonts w:hint="eastAsia" w:ascii="仿宋_GB2312" w:hAnsi="仿宋_GB2312" w:eastAsia="仿宋_GB2312" w:cs="Times New Roman"/>
                <w:sz w:val="22"/>
                <w:szCs w:val="22"/>
              </w:rPr>
            </w:pPr>
            <w:r>
              <w:rPr>
                <w:rFonts w:hint="eastAsia" w:ascii="仿宋_GB2312" w:hAnsi="仿宋_GB2312" w:eastAsia="仿宋_GB2312" w:cs="Times New Roman"/>
                <w:sz w:val="22"/>
                <w:szCs w:val="22"/>
              </w:rPr>
              <w:t xml:space="preserve">    3.投标人提供的货物由中小企业生产且使用该中小企业商号或者注册商标的，享受中小企业扶持政策。供应商提供的货物既有中小企业制造的货物，也有大型企业制造的货物的，不享受中小企业扶持政策。</w:t>
            </w:r>
          </w:p>
          <w:p w14:paraId="4402A040">
            <w:pPr>
              <w:pStyle w:val="23"/>
              <w:adjustRightInd w:val="0"/>
              <w:snapToGrid w:val="0"/>
              <w:spacing w:beforeLines="50" w:line="360" w:lineRule="auto"/>
              <w:jc w:val="left"/>
              <w:rPr>
                <w:rFonts w:hint="eastAsia" w:ascii="仿宋_GB2312" w:hAnsi="仿宋_GB2312" w:eastAsia="仿宋_GB2312" w:cs="Times New Roman"/>
                <w:sz w:val="22"/>
                <w:szCs w:val="22"/>
              </w:rPr>
            </w:pPr>
            <w:r>
              <w:rPr>
                <w:rFonts w:hint="eastAsia" w:ascii="仿宋_GB2312" w:hAnsi="仿宋_GB2312" w:eastAsia="仿宋_GB2312" w:cs="Times New Roman"/>
                <w:sz w:val="22"/>
                <w:szCs w:val="22"/>
              </w:rPr>
              <w:t xml:space="preserve">    </w:t>
            </w:r>
            <w:r>
              <w:rPr>
                <w:rFonts w:hint="eastAsia" w:ascii="仿宋_GB2312" w:hAnsi="仿宋_GB2312" w:eastAsia="仿宋_GB2312" w:cs="Times New Roman"/>
                <w:sz w:val="22"/>
                <w:szCs w:val="22"/>
                <w:lang w:val="en-US" w:eastAsia="zh-CN"/>
              </w:rPr>
              <w:t>4</w:t>
            </w:r>
            <w:r>
              <w:rPr>
                <w:rFonts w:hint="eastAsia" w:ascii="仿宋_GB2312" w:hAnsi="仿宋_GB2312" w:eastAsia="仿宋_GB2312" w:cs="Times New Roman"/>
                <w:sz w:val="22"/>
                <w:szCs w:val="22"/>
              </w:rPr>
              <w:t>.提供由省级以上监狱管理局、戒毒管理局（含新疆生产建设兵团）出具的属于监狱企业证明文件（原件彩色扫描件）的，视同为小型和微型企业。</w:t>
            </w:r>
          </w:p>
          <w:p w14:paraId="2CF98B55">
            <w:pPr>
              <w:pStyle w:val="23"/>
              <w:adjustRightInd w:val="0"/>
              <w:snapToGrid w:val="0"/>
              <w:spacing w:beforeLines="50" w:line="360" w:lineRule="auto"/>
              <w:jc w:val="left"/>
              <w:outlineLvl w:val="9"/>
              <w:rPr>
                <w:rFonts w:ascii="仿宋_GB2312" w:hAnsi="仿宋_GB2312" w:eastAsia="仿宋_GB2312" w:cs="Times New Roman"/>
              </w:rPr>
            </w:pPr>
            <w:r>
              <w:rPr>
                <w:rFonts w:hint="eastAsia" w:ascii="仿宋_GB2312" w:hAnsi="仿宋_GB2312" w:eastAsia="仿宋_GB2312" w:cs="Times New Roman"/>
                <w:sz w:val="22"/>
                <w:szCs w:val="22"/>
              </w:rPr>
              <w:t xml:space="preserve">    </w:t>
            </w:r>
            <w:r>
              <w:rPr>
                <w:rFonts w:hint="eastAsia" w:ascii="仿宋_GB2312" w:hAnsi="仿宋_GB2312" w:eastAsia="仿宋_GB2312" w:cs="Times New Roman"/>
                <w:sz w:val="22"/>
                <w:szCs w:val="22"/>
                <w:lang w:val="en-US" w:eastAsia="zh-CN"/>
              </w:rPr>
              <w:t>5</w:t>
            </w:r>
            <w:r>
              <w:rPr>
                <w:rFonts w:hint="eastAsia" w:ascii="仿宋_GB2312" w:hAnsi="仿宋_GB2312" w:eastAsia="仿宋_GB2312" w:cs="Times New Roman"/>
                <w:sz w:val="22"/>
                <w:szCs w:val="22"/>
              </w:rPr>
              <w:t>.符合享受政府采购支持政策的残疾人福利性单位条件且提供《残疾人福利性单位声明函》的，视同为小型和微型企业。</w:t>
            </w:r>
          </w:p>
        </w:tc>
      </w:tr>
      <w:tr w14:paraId="697BD79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58" w:hRule="exact"/>
          <w:jc w:val="center"/>
        </w:trPr>
        <w:tc>
          <w:tcPr>
            <w:tcW w:w="1012" w:type="dxa"/>
            <w:shd w:val="clear" w:color="auto" w:fill="auto"/>
            <w:vAlign w:val="center"/>
          </w:tcPr>
          <w:p w14:paraId="609567BD">
            <w:pPr>
              <w:pStyle w:val="110"/>
              <w:ind w:right="264" w:rightChars="0"/>
              <w:jc w:val="center"/>
              <w:outlineLvl w:val="9"/>
              <w:rPr>
                <w:rFonts w:hint="default" w:ascii="仿宋_GB2312" w:hAnsi="仿宋_GB2312" w:eastAsia="仿宋_GB2312" w:cs="仿宋_GB2312"/>
                <w:kern w:val="0"/>
                <w:sz w:val="21"/>
                <w:szCs w:val="21"/>
                <w:lang w:val="en-US" w:eastAsia="zh-CN" w:bidi="ar-SA"/>
              </w:rPr>
            </w:pPr>
            <w:r>
              <w:rPr>
                <w:rFonts w:ascii="仿宋_GB2312" w:hAnsi="仿宋_GB2312" w:eastAsia="仿宋_GB2312" w:cs="仿宋_GB2312"/>
                <w:sz w:val="21"/>
                <w:szCs w:val="21"/>
                <w:lang w:eastAsia="zh-CN"/>
              </w:rPr>
              <w:t>2</w:t>
            </w:r>
            <w:r>
              <w:rPr>
                <w:rFonts w:hint="eastAsia" w:ascii="仿宋_GB2312" w:hAnsi="仿宋_GB2312" w:eastAsia="仿宋_GB2312" w:cs="仿宋_GB2312"/>
                <w:sz w:val="21"/>
                <w:szCs w:val="21"/>
                <w:lang w:val="en-US" w:eastAsia="zh-CN"/>
              </w:rPr>
              <w:t>6</w:t>
            </w:r>
          </w:p>
        </w:tc>
        <w:tc>
          <w:tcPr>
            <w:tcW w:w="1591" w:type="dxa"/>
            <w:vAlign w:val="center"/>
          </w:tcPr>
          <w:p w14:paraId="2F0AE7B6">
            <w:pPr>
              <w:pStyle w:val="110"/>
              <w:ind w:left="33"/>
              <w:jc w:val="center"/>
              <w:outlineLvl w:val="9"/>
              <w:rPr>
                <w:rFonts w:ascii="仿宋_GB2312" w:hAnsi="仿宋_GB2312" w:eastAsia="仿宋_GB2312" w:cs="Times New Roman"/>
                <w:b/>
                <w:bCs/>
                <w:sz w:val="21"/>
                <w:szCs w:val="21"/>
                <w:lang w:val="zh-CN" w:eastAsia="zh-CN"/>
              </w:rPr>
            </w:pPr>
            <w:r>
              <w:rPr>
                <w:rFonts w:hint="eastAsia" w:ascii="仿宋_GB2312" w:hAnsi="仿宋_GB2312" w:eastAsia="仿宋_GB2312" w:cs="仿宋_GB2312"/>
                <w:b/>
                <w:bCs/>
                <w:sz w:val="21"/>
                <w:szCs w:val="21"/>
                <w:lang w:val="en-US" w:eastAsia="zh-CN"/>
              </w:rPr>
              <w:t>公平性审查</w:t>
            </w:r>
          </w:p>
        </w:tc>
        <w:tc>
          <w:tcPr>
            <w:tcW w:w="7154" w:type="dxa"/>
            <w:vAlign w:val="center"/>
          </w:tcPr>
          <w:p w14:paraId="03944E5D">
            <w:pPr>
              <w:widowControl/>
              <w:ind w:firstLine="422" w:firstLineChars="200"/>
              <w:jc w:val="left"/>
              <w:outlineLvl w:val="9"/>
              <w:rPr>
                <w:rFonts w:ascii="仿宋_GB2312" w:hAnsi="仿宋_GB2312" w:eastAsia="仿宋_GB2312"/>
                <w:b/>
                <w:bCs/>
                <w:color w:val="000000"/>
                <w:kern w:val="0"/>
                <w:sz w:val="21"/>
                <w:szCs w:val="21"/>
              </w:rPr>
            </w:pPr>
            <w:r>
              <w:rPr>
                <w:rFonts w:hint="eastAsia" w:ascii="仿宋_GB2312" w:hAnsi="仿宋_GB2312" w:eastAsia="仿宋_GB2312" w:cs="仿宋_GB2312"/>
                <w:b/>
                <w:bCs/>
                <w:sz w:val="21"/>
                <w:szCs w:val="21"/>
                <w:lang w:val="en-US" w:eastAsia="zh-CN"/>
              </w:rPr>
              <w:t>本项目不</w:t>
            </w:r>
            <w:r>
              <w:rPr>
                <w:rFonts w:hint="eastAsia" w:ascii="仿宋_GB2312" w:hAnsi="仿宋_GB2312" w:eastAsia="仿宋_GB2312" w:cs="仿宋_GB2312"/>
                <w:b/>
                <w:bCs/>
                <w:sz w:val="21"/>
                <w:szCs w:val="21"/>
                <w:lang w:val="zh-CN" w:eastAsia="zh-CN"/>
              </w:rPr>
              <w:t>存在以注册资本金、资产总额、营业收入、从业人员、</w:t>
            </w:r>
            <w:r>
              <w:rPr>
                <w:rFonts w:hint="eastAsia" w:ascii="仿宋_GB2312" w:hAnsi="仿宋_GB2312" w:eastAsia="仿宋_GB2312" w:cs="仿宋_GB2312"/>
                <w:b/>
                <w:bCs/>
                <w:sz w:val="21"/>
                <w:szCs w:val="21"/>
                <w:lang w:eastAsia="zh-CN"/>
              </w:rPr>
              <w:t>利润、纳税额</w:t>
            </w:r>
            <w:r>
              <w:rPr>
                <w:rFonts w:hint="eastAsia" w:ascii="仿宋_GB2312" w:hAnsi="仿宋_GB2312" w:eastAsia="仿宋_GB2312" w:cs="仿宋_GB2312"/>
                <w:b/>
                <w:bCs/>
                <w:sz w:val="21"/>
                <w:szCs w:val="21"/>
                <w:lang w:val="zh-CN" w:eastAsia="zh-CN"/>
              </w:rPr>
              <w:t>等规模条件</w:t>
            </w:r>
            <w:r>
              <w:rPr>
                <w:rFonts w:hint="eastAsia" w:ascii="仿宋_GB2312" w:hAnsi="仿宋_GB2312" w:eastAsia="仿宋_GB2312" w:cs="仿宋_GB2312"/>
                <w:b/>
                <w:bCs/>
                <w:sz w:val="21"/>
                <w:szCs w:val="21"/>
                <w:lang w:eastAsia="zh-CN"/>
              </w:rPr>
              <w:t>和股权结构、经营年限等方面</w:t>
            </w:r>
            <w:r>
              <w:rPr>
                <w:rFonts w:hint="eastAsia" w:ascii="仿宋_GB2312" w:hAnsi="仿宋_GB2312" w:eastAsia="仿宋_GB2312" w:cs="仿宋_GB2312"/>
                <w:b/>
                <w:bCs/>
                <w:sz w:val="21"/>
                <w:szCs w:val="21"/>
                <w:lang w:val="zh-CN" w:eastAsia="zh-CN"/>
              </w:rPr>
              <w:t>对中小企业实行差别待遇或歧视待遇的情况</w:t>
            </w:r>
          </w:p>
        </w:tc>
      </w:tr>
      <w:tr w14:paraId="28E74E6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17" w:hRule="exact"/>
          <w:jc w:val="center"/>
        </w:trPr>
        <w:tc>
          <w:tcPr>
            <w:tcW w:w="1012" w:type="dxa"/>
            <w:shd w:val="clear" w:color="auto" w:fill="auto"/>
            <w:vAlign w:val="center"/>
          </w:tcPr>
          <w:p w14:paraId="4128A34A">
            <w:pPr>
              <w:pStyle w:val="110"/>
              <w:ind w:right="264" w:rightChars="0"/>
              <w:jc w:val="center"/>
              <w:outlineLvl w:val="9"/>
              <w:rPr>
                <w:rFonts w:hint="default" w:ascii="仿宋_GB2312" w:hAnsi="仿宋_GB2312" w:eastAsia="仿宋_GB2312" w:cs="仿宋_GB2312"/>
                <w:kern w:val="0"/>
                <w:sz w:val="21"/>
                <w:szCs w:val="21"/>
                <w:lang w:val="en-US" w:eastAsia="zh-CN" w:bidi="ar-SA"/>
              </w:rPr>
            </w:pPr>
            <w:r>
              <w:rPr>
                <w:rFonts w:hint="eastAsia" w:ascii="仿宋_GB2312" w:hAnsi="仿宋_GB2312" w:eastAsia="仿宋_GB2312" w:cs="仿宋_GB2312"/>
                <w:sz w:val="21"/>
                <w:szCs w:val="21"/>
                <w:lang w:val="en-US" w:eastAsia="zh-CN"/>
              </w:rPr>
              <w:t>27</w:t>
            </w:r>
          </w:p>
        </w:tc>
        <w:tc>
          <w:tcPr>
            <w:tcW w:w="1591" w:type="dxa"/>
            <w:vAlign w:val="center"/>
          </w:tcPr>
          <w:p w14:paraId="6D563533">
            <w:pPr>
              <w:pStyle w:val="110"/>
              <w:ind w:left="33"/>
              <w:jc w:val="center"/>
              <w:outlineLvl w:val="9"/>
              <w:rPr>
                <w:rFonts w:ascii="仿宋_GB2312" w:hAnsi="仿宋_GB2312" w:eastAsia="仿宋_GB2312" w:cs="Times New Roman"/>
                <w:b/>
                <w:bCs/>
                <w:sz w:val="21"/>
                <w:szCs w:val="21"/>
                <w:lang w:val="zh-CN" w:eastAsia="zh-CN"/>
              </w:rPr>
            </w:pPr>
            <w:r>
              <w:rPr>
                <w:rFonts w:hint="eastAsia" w:ascii="仿宋_GB2312" w:hAnsi="仿宋_GB2312" w:eastAsia="仿宋_GB2312" w:cs="仿宋_GB2312"/>
                <w:b/>
                <w:bCs/>
                <w:sz w:val="21"/>
                <w:szCs w:val="21"/>
                <w:lang w:val="zh-CN"/>
              </w:rPr>
              <w:t>投标保证金</w:t>
            </w:r>
          </w:p>
        </w:tc>
        <w:tc>
          <w:tcPr>
            <w:tcW w:w="7154" w:type="dxa"/>
            <w:vAlign w:val="center"/>
          </w:tcPr>
          <w:p w14:paraId="6E11DE78">
            <w:pPr>
              <w:widowControl/>
              <w:jc w:val="left"/>
              <w:outlineLvl w:val="9"/>
              <w:rPr>
                <w:rFonts w:ascii="仿宋_GB2312" w:hAnsi="仿宋_GB2312" w:eastAsia="仿宋_GB2312"/>
                <w:lang w:val="zh-CN"/>
              </w:rPr>
            </w:pPr>
            <w:r>
              <w:rPr>
                <w:rFonts w:hint="eastAsia" w:ascii="仿宋_GB2312" w:hAnsi="仿宋_GB2312" w:eastAsia="仿宋_GB2312" w:cs="仿宋_GB2312"/>
                <w:b/>
                <w:bCs/>
                <w:color w:val="000000"/>
                <w:kern w:val="0"/>
                <w:sz w:val="24"/>
                <w:szCs w:val="24"/>
              </w:rPr>
              <w:t>本项目不收取投标保证金。</w:t>
            </w:r>
          </w:p>
        </w:tc>
      </w:tr>
      <w:tr w14:paraId="268C008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554" w:hRule="exact"/>
          <w:jc w:val="center"/>
        </w:trPr>
        <w:tc>
          <w:tcPr>
            <w:tcW w:w="1012" w:type="dxa"/>
            <w:shd w:val="clear" w:color="auto" w:fill="auto"/>
            <w:vAlign w:val="center"/>
          </w:tcPr>
          <w:p w14:paraId="2847D71E">
            <w:pPr>
              <w:pStyle w:val="110"/>
              <w:ind w:right="264" w:rightChars="0"/>
              <w:jc w:val="center"/>
              <w:outlineLvl w:val="9"/>
              <w:rPr>
                <w:rFonts w:hint="default" w:ascii="仿宋_GB2312" w:hAnsi="仿宋_GB2312" w:eastAsia="仿宋_GB2312" w:cs="仿宋_GB2312"/>
                <w:kern w:val="0"/>
                <w:sz w:val="21"/>
                <w:szCs w:val="21"/>
                <w:lang w:val="en-US" w:eastAsia="zh-CN" w:bidi="ar-SA"/>
              </w:rPr>
            </w:pPr>
            <w:r>
              <w:rPr>
                <w:rFonts w:hint="eastAsia" w:ascii="仿宋_GB2312" w:hAnsi="仿宋_GB2312" w:eastAsia="仿宋_GB2312" w:cs="仿宋_GB2312"/>
                <w:sz w:val="21"/>
                <w:szCs w:val="21"/>
                <w:lang w:val="en-US" w:eastAsia="zh-CN"/>
              </w:rPr>
              <w:t>28</w:t>
            </w:r>
          </w:p>
        </w:tc>
        <w:tc>
          <w:tcPr>
            <w:tcW w:w="1591" w:type="dxa"/>
            <w:vAlign w:val="center"/>
          </w:tcPr>
          <w:p w14:paraId="6FB717BB">
            <w:pPr>
              <w:pStyle w:val="110"/>
              <w:jc w:val="left"/>
              <w:outlineLvl w:val="9"/>
              <w:rPr>
                <w:rFonts w:ascii="仿宋_GB2312" w:hAnsi="仿宋_GB2312" w:eastAsia="仿宋_GB2312" w:cs="Times New Roman"/>
                <w:b/>
                <w:bCs/>
                <w:color w:val="121212"/>
                <w:sz w:val="22"/>
                <w:szCs w:val="22"/>
                <w:shd w:val="clear" w:color="auto" w:fill="FFFFFF"/>
                <w:lang w:val="zh-CN" w:eastAsia="zh-CN"/>
              </w:rPr>
            </w:pPr>
            <w:r>
              <w:rPr>
                <w:rFonts w:hint="eastAsia" w:ascii="仿宋_GB2312" w:hAnsi="仿宋_GB2312" w:eastAsia="仿宋_GB2312" w:cs="仿宋_GB2312"/>
                <w:b/>
                <w:bCs/>
                <w:kern w:val="2"/>
                <w:sz w:val="22"/>
                <w:szCs w:val="22"/>
                <w:lang w:eastAsia="zh-CN"/>
              </w:rPr>
              <w:t>采购标的对应的中小企业划分标准所属行业</w:t>
            </w:r>
          </w:p>
        </w:tc>
        <w:tc>
          <w:tcPr>
            <w:tcW w:w="7154" w:type="dxa"/>
            <w:vAlign w:val="center"/>
          </w:tcPr>
          <w:p w14:paraId="6D54E34A">
            <w:pPr>
              <w:pStyle w:val="23"/>
              <w:adjustRightInd w:val="0"/>
              <w:snapToGrid w:val="0"/>
              <w:spacing w:beforeLines="50" w:line="360" w:lineRule="auto"/>
              <w:jc w:val="left"/>
              <w:outlineLvl w:val="9"/>
              <w:rPr>
                <w:rFonts w:hint="eastAsia" w:hAnsi="Times New Roman" w:cs="Times New Roman"/>
                <w:b/>
                <w:bCs/>
                <w:color w:val="auto"/>
                <w:kern w:val="2"/>
                <w:sz w:val="24"/>
                <w:szCs w:val="24"/>
                <w:highlight w:val="yellow"/>
                <w:u w:val="none"/>
                <w:lang w:val="en-US" w:eastAsia="zh-CN" w:bidi="en-US"/>
              </w:rPr>
            </w:pPr>
            <w:r>
              <w:rPr>
                <w:rFonts w:hint="eastAsia" w:hAnsi="Times New Roman" w:cs="Times New Roman"/>
                <w:b/>
                <w:bCs/>
                <w:color w:val="auto"/>
                <w:kern w:val="2"/>
                <w:sz w:val="24"/>
                <w:szCs w:val="24"/>
                <w:highlight w:val="none"/>
                <w:u w:val="none"/>
                <w:lang w:val="en-US" w:eastAsia="zh-CN" w:bidi="en-US"/>
              </w:rPr>
              <w:t>批发业</w:t>
            </w:r>
          </w:p>
          <w:p w14:paraId="7BA26CD1">
            <w:pPr>
              <w:pStyle w:val="23"/>
              <w:adjustRightInd w:val="0"/>
              <w:snapToGrid w:val="0"/>
              <w:spacing w:beforeLines="50" w:line="360" w:lineRule="auto"/>
              <w:jc w:val="left"/>
              <w:outlineLvl w:val="9"/>
              <w:rPr>
                <w:rFonts w:ascii="仿宋_GB2312" w:hAnsi="仿宋_GB2312" w:eastAsia="仿宋_GB2312" w:cs="Times New Roman"/>
                <w:b/>
                <w:bCs/>
                <w:sz w:val="21"/>
                <w:szCs w:val="21"/>
              </w:rPr>
            </w:pPr>
            <w:r>
              <w:rPr>
                <w:rFonts w:hint="eastAsia" w:ascii="仿宋_GB2312" w:hAnsi="仿宋_GB2312" w:eastAsia="仿宋_GB2312" w:cs="仿宋_GB2312"/>
                <w:b w:val="0"/>
                <w:bCs w:val="0"/>
                <w:color w:val="auto"/>
                <w:sz w:val="22"/>
                <w:szCs w:val="22"/>
                <w:highlight w:val="none"/>
                <w:lang w:eastAsia="zh-CN"/>
              </w:rPr>
              <w:t>注：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tc>
      </w:tr>
      <w:tr w14:paraId="3BCF260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103" w:hRule="exact"/>
          <w:jc w:val="center"/>
        </w:trPr>
        <w:tc>
          <w:tcPr>
            <w:tcW w:w="1012" w:type="dxa"/>
            <w:shd w:val="clear" w:color="auto" w:fill="auto"/>
            <w:vAlign w:val="center"/>
          </w:tcPr>
          <w:p w14:paraId="3BE1A60E">
            <w:pPr>
              <w:pStyle w:val="110"/>
              <w:ind w:right="264" w:rightChars="0"/>
              <w:jc w:val="center"/>
              <w:outlineLvl w:val="9"/>
              <w:rPr>
                <w:rFonts w:hint="default" w:ascii="仿宋_GB2312" w:hAnsi="仿宋_GB2312" w:eastAsia="仿宋_GB2312" w:cs="仿宋_GB2312"/>
                <w:kern w:val="0"/>
                <w:sz w:val="21"/>
                <w:szCs w:val="21"/>
                <w:lang w:val="en-US" w:eastAsia="zh-CN" w:bidi="ar-SA"/>
              </w:rPr>
            </w:pPr>
            <w:r>
              <w:rPr>
                <w:rFonts w:hint="eastAsia" w:ascii="仿宋_GB2312" w:hAnsi="仿宋_GB2312" w:eastAsia="仿宋_GB2312" w:cs="仿宋_GB2312"/>
                <w:sz w:val="21"/>
                <w:szCs w:val="21"/>
                <w:lang w:val="en-US" w:eastAsia="zh-CN"/>
              </w:rPr>
              <w:t>29</w:t>
            </w:r>
          </w:p>
        </w:tc>
        <w:tc>
          <w:tcPr>
            <w:tcW w:w="1591" w:type="dxa"/>
            <w:vAlign w:val="center"/>
          </w:tcPr>
          <w:p w14:paraId="5F00616F">
            <w:pPr>
              <w:pStyle w:val="110"/>
              <w:jc w:val="center"/>
              <w:outlineLvl w:val="9"/>
              <w:rPr>
                <w:rFonts w:ascii="仿宋_GB2312" w:hAnsi="仿宋_GB2312" w:eastAsia="仿宋_GB2312" w:cs="Times New Roman"/>
                <w:b/>
                <w:bCs/>
                <w:sz w:val="21"/>
                <w:szCs w:val="21"/>
                <w:lang w:val="zh-CN" w:eastAsia="zh-CN"/>
              </w:rPr>
            </w:pPr>
            <w:r>
              <w:rPr>
                <w:rFonts w:hint="eastAsia" w:ascii="仿宋_GB2312" w:hAnsi="仿宋_GB2312" w:eastAsia="仿宋_GB2312" w:cs="仿宋_GB2312"/>
                <w:b/>
                <w:bCs/>
                <w:sz w:val="21"/>
                <w:szCs w:val="21"/>
                <w:lang w:val="zh-CN" w:eastAsia="zh-CN"/>
              </w:rPr>
              <w:t>投标文件递交及有关事项说明</w:t>
            </w:r>
          </w:p>
        </w:tc>
        <w:tc>
          <w:tcPr>
            <w:tcW w:w="7154" w:type="dxa"/>
            <w:vAlign w:val="center"/>
          </w:tcPr>
          <w:p w14:paraId="2D265927">
            <w:pPr>
              <w:pStyle w:val="110"/>
              <w:ind w:firstLine="211" w:firstLineChars="100"/>
              <w:outlineLvl w:val="9"/>
              <w:rPr>
                <w:rFonts w:ascii="仿宋_GB2312" w:hAnsi="仿宋_GB2312" w:eastAsia="仿宋_GB2312" w:cs="Times New Roman"/>
                <w:b/>
                <w:bCs/>
                <w:sz w:val="21"/>
                <w:szCs w:val="21"/>
                <w:lang w:eastAsia="zh-CN"/>
              </w:rPr>
            </w:pPr>
            <w:r>
              <w:rPr>
                <w:rFonts w:ascii="仿宋_GB2312" w:hAnsi="仿宋_GB2312" w:eastAsia="仿宋_GB2312" w:cs="仿宋_GB2312"/>
                <w:b/>
                <w:bCs/>
                <w:sz w:val="21"/>
                <w:szCs w:val="21"/>
                <w:lang w:eastAsia="zh-CN"/>
              </w:rPr>
              <w:t>1</w:t>
            </w:r>
            <w:r>
              <w:rPr>
                <w:rFonts w:hint="eastAsia" w:ascii="仿宋_GB2312" w:hAnsi="仿宋_GB2312" w:eastAsia="仿宋_GB2312" w:cs="仿宋_GB2312"/>
                <w:b/>
                <w:bCs/>
                <w:sz w:val="21"/>
                <w:szCs w:val="21"/>
                <w:lang w:eastAsia="zh-CN"/>
              </w:rPr>
              <w:t>、该项目采用新点不见面网上开标方式：开评活动通过“新点不见面网上开标大厅”进行。各投标单位在参与投标时，登录陇南市公共资源交易网首页“下载中心”，下载投标文件制作工具“新点投标文件制作软件（陇南版）”，并按照“不见面开评标投标人操作手册”制作固化并上传投标文件；本项目必须使用同一把</w:t>
            </w:r>
            <w:r>
              <w:rPr>
                <w:rFonts w:ascii="仿宋_GB2312" w:hAnsi="仿宋_GB2312" w:eastAsia="仿宋_GB2312" w:cs="仿宋_GB2312"/>
                <w:b/>
                <w:bCs/>
                <w:sz w:val="21"/>
                <w:szCs w:val="21"/>
                <w:lang w:eastAsia="zh-CN"/>
              </w:rPr>
              <w:t>CA</w:t>
            </w:r>
            <w:r>
              <w:rPr>
                <w:rFonts w:hint="eastAsia" w:ascii="仿宋_GB2312" w:hAnsi="仿宋_GB2312" w:eastAsia="仿宋_GB2312" w:cs="仿宋_GB2312"/>
                <w:b/>
                <w:bCs/>
                <w:sz w:val="21"/>
                <w:szCs w:val="21"/>
                <w:lang w:eastAsia="zh-CN"/>
              </w:rPr>
              <w:t>进行所有操作。若在开标时间前没有网上投标（上传投标文件）则视为放弃投标。</w:t>
            </w:r>
          </w:p>
          <w:p w14:paraId="1288337E">
            <w:pPr>
              <w:widowControl/>
              <w:ind w:firstLine="211" w:firstLineChars="100"/>
              <w:jc w:val="left"/>
              <w:outlineLvl w:val="9"/>
              <w:rPr>
                <w:rFonts w:ascii="仿宋_GB2312" w:hAnsi="仿宋_GB2312" w:eastAsia="仿宋_GB2312"/>
                <w:b/>
                <w:bCs/>
                <w:color w:val="000000"/>
                <w:kern w:val="0"/>
              </w:rPr>
            </w:pPr>
            <w:r>
              <w:rPr>
                <w:rFonts w:ascii="仿宋_GB2312" w:hAnsi="仿宋_GB2312" w:eastAsia="仿宋_GB2312" w:cs="仿宋_GB2312"/>
                <w:b/>
                <w:bCs/>
              </w:rPr>
              <w:t>2</w:t>
            </w:r>
            <w:r>
              <w:rPr>
                <w:rFonts w:hint="eastAsia" w:ascii="仿宋_GB2312" w:hAnsi="仿宋_GB2312" w:eastAsia="仿宋_GB2312" w:cs="仿宋_GB2312"/>
                <w:b/>
                <w:bCs/>
              </w:rPr>
              <w:t>、</w:t>
            </w:r>
            <w:r>
              <w:rPr>
                <w:rFonts w:hint="eastAsia" w:ascii="仿宋_GB2312" w:hAnsi="仿宋_GB2312" w:eastAsia="仿宋_GB2312" w:cs="仿宋_GB2312"/>
                <w:b/>
                <w:bCs/>
                <w:color w:val="000000"/>
                <w:kern w:val="0"/>
              </w:rPr>
              <w:t>投标人需在开标时间截止前在不见面开标大厅进行签到，开标后，因未按要求签到而造成的相关操作和流程无法正常进行的相关责任，其投标人自行负责。</w:t>
            </w:r>
          </w:p>
          <w:p w14:paraId="4BAC51CF">
            <w:pPr>
              <w:widowControl/>
              <w:ind w:firstLine="211" w:firstLineChars="100"/>
              <w:jc w:val="left"/>
              <w:outlineLvl w:val="9"/>
              <w:rPr>
                <w:rFonts w:ascii="仿宋_GB2312" w:hAnsi="仿宋_GB2312" w:eastAsia="仿宋_GB2312"/>
                <w:b/>
                <w:bCs/>
                <w:color w:val="FF0000"/>
                <w:kern w:val="0"/>
              </w:rPr>
            </w:pPr>
            <w:r>
              <w:rPr>
                <w:rFonts w:ascii="仿宋_GB2312" w:hAnsi="仿宋_GB2312" w:eastAsia="仿宋_GB2312" w:cs="仿宋_GB2312"/>
                <w:b/>
                <w:bCs/>
                <w:color w:val="FF0000"/>
                <w:kern w:val="0"/>
              </w:rPr>
              <w:t>3</w:t>
            </w:r>
            <w:r>
              <w:rPr>
                <w:rFonts w:hint="eastAsia" w:ascii="仿宋_GB2312" w:hAnsi="仿宋_GB2312" w:eastAsia="仿宋_GB2312" w:cs="仿宋_GB2312"/>
                <w:b/>
                <w:bCs/>
                <w:color w:val="FF0000"/>
                <w:kern w:val="0"/>
              </w:rPr>
              <w:t>、为确保开标活动顺利进行，开标之后投标单位需要在</w:t>
            </w:r>
            <w:r>
              <w:rPr>
                <w:rFonts w:hint="eastAsia" w:ascii="仿宋_GB2312" w:hAnsi="仿宋_GB2312" w:eastAsia="仿宋_GB2312" w:cs="仿宋_GB2312"/>
                <w:b/>
                <w:bCs/>
                <w:color w:val="FF0000"/>
                <w:kern w:val="0"/>
                <w:u w:val="single"/>
                <w:lang w:val="en-US" w:eastAsia="zh-CN"/>
              </w:rPr>
              <w:t>2024</w:t>
            </w:r>
            <w:r>
              <w:rPr>
                <w:rFonts w:hint="eastAsia" w:ascii="仿宋_GB2312" w:hAnsi="仿宋_GB2312" w:eastAsia="仿宋_GB2312" w:cs="仿宋_GB2312"/>
                <w:b/>
                <w:bCs/>
                <w:color w:val="FF0000"/>
                <w:kern w:val="0"/>
              </w:rPr>
              <w:t>年</w:t>
            </w:r>
            <w:r>
              <w:rPr>
                <w:rFonts w:hint="eastAsia" w:ascii="仿宋_GB2312" w:hAnsi="仿宋_GB2312" w:eastAsia="仿宋_GB2312" w:cs="仿宋_GB2312"/>
                <w:b/>
                <w:bCs/>
                <w:color w:val="FF0000"/>
                <w:kern w:val="0"/>
                <w:u w:val="single"/>
                <w:lang w:val="en-US" w:eastAsia="zh-CN"/>
              </w:rPr>
              <w:t xml:space="preserve"> 12  </w:t>
            </w:r>
            <w:r>
              <w:rPr>
                <w:rFonts w:hint="eastAsia" w:ascii="仿宋_GB2312" w:hAnsi="仿宋_GB2312" w:eastAsia="仿宋_GB2312" w:cs="仿宋_GB2312"/>
                <w:b/>
                <w:bCs/>
                <w:color w:val="FF0000"/>
                <w:kern w:val="0"/>
              </w:rPr>
              <w:t>月</w:t>
            </w:r>
            <w:r>
              <w:rPr>
                <w:rFonts w:ascii="仿宋_GB2312" w:hAnsi="仿宋_GB2312" w:eastAsia="仿宋_GB2312" w:cs="仿宋_GB2312"/>
                <w:b/>
                <w:bCs/>
                <w:color w:val="FF0000"/>
                <w:kern w:val="0"/>
                <w:u w:val="single"/>
              </w:rPr>
              <w:t xml:space="preserve"> </w:t>
            </w:r>
            <w:r>
              <w:rPr>
                <w:rFonts w:hint="eastAsia" w:ascii="仿宋_GB2312" w:hAnsi="仿宋_GB2312" w:eastAsia="仿宋_GB2312" w:cs="仿宋_GB2312"/>
                <w:b/>
                <w:bCs/>
                <w:color w:val="FF0000"/>
                <w:kern w:val="0"/>
                <w:u w:val="single"/>
                <w:lang w:val="en-US" w:eastAsia="zh-CN"/>
              </w:rPr>
              <w:t xml:space="preserve">2 </w:t>
            </w:r>
            <w:r>
              <w:rPr>
                <w:rFonts w:hint="eastAsia" w:ascii="仿宋_GB2312" w:hAnsi="仿宋_GB2312" w:eastAsia="仿宋_GB2312" w:cs="仿宋_GB2312"/>
                <w:b/>
                <w:bCs/>
                <w:color w:val="FF0000"/>
                <w:kern w:val="0"/>
              </w:rPr>
              <w:t>日</w:t>
            </w:r>
            <w:r>
              <w:rPr>
                <w:rFonts w:hint="eastAsia" w:ascii="仿宋_GB2312" w:hAnsi="仿宋_GB2312" w:eastAsia="仿宋_GB2312" w:cs="仿宋_GB2312"/>
                <w:b/>
                <w:bCs/>
                <w:color w:val="FF0000"/>
                <w:kern w:val="0"/>
                <w:u w:val="single"/>
                <w:lang w:val="en-US" w:eastAsia="zh-CN"/>
              </w:rPr>
              <w:t xml:space="preserve"> 15:30</w:t>
            </w:r>
            <w:r>
              <w:rPr>
                <w:rFonts w:hint="eastAsia" w:ascii="仿宋_GB2312" w:hAnsi="仿宋_GB2312" w:eastAsia="仿宋_GB2312" w:cs="仿宋_GB2312"/>
                <w:b/>
                <w:bCs/>
                <w:color w:val="FF0000"/>
                <w:kern w:val="0"/>
                <w:u w:val="none"/>
                <w:lang w:val="en-US" w:eastAsia="zh-CN"/>
              </w:rPr>
              <w:t>时</w:t>
            </w:r>
            <w:r>
              <w:rPr>
                <w:rFonts w:hint="eastAsia" w:ascii="仿宋_GB2312" w:hAnsi="仿宋_GB2312" w:eastAsia="仿宋_GB2312" w:cs="仿宋_GB2312"/>
                <w:b/>
                <w:bCs/>
                <w:color w:val="FF0000"/>
                <w:kern w:val="0"/>
                <w:u w:val="none"/>
              </w:rPr>
              <w:t>前解</w:t>
            </w:r>
            <w:r>
              <w:rPr>
                <w:rFonts w:hint="eastAsia" w:ascii="仿宋_GB2312" w:hAnsi="仿宋_GB2312" w:eastAsia="仿宋_GB2312" w:cs="仿宋_GB2312"/>
                <w:b/>
                <w:bCs/>
                <w:color w:val="FF0000"/>
                <w:kern w:val="0"/>
              </w:rPr>
              <w:t>密投标文件，因投标人原因造成投标文件未解密的，视为撤销其投标文件。</w:t>
            </w:r>
          </w:p>
          <w:p w14:paraId="6B4EDC72">
            <w:pPr>
              <w:widowControl/>
              <w:jc w:val="left"/>
              <w:outlineLvl w:val="9"/>
              <w:rPr>
                <w:rFonts w:hint="eastAsia" w:ascii="仿宋_GB2312" w:hAnsi="仿宋_GB2312" w:eastAsia="仿宋_GB2312" w:cs="Times New Roman"/>
                <w:sz w:val="21"/>
                <w:szCs w:val="21"/>
                <w:lang w:val="zh-CN" w:eastAsia="zh-CN"/>
              </w:rPr>
            </w:pPr>
            <w:r>
              <w:rPr>
                <w:rFonts w:ascii="仿宋_GB2312" w:hAnsi="仿宋_GB2312" w:eastAsia="仿宋_GB2312" w:cs="仿宋_GB2312"/>
                <w:b/>
                <w:bCs/>
                <w:color w:val="FF0000"/>
                <w:kern w:val="0"/>
              </w:rPr>
              <w:t xml:space="preserve"> </w:t>
            </w:r>
            <w:r>
              <w:rPr>
                <w:rFonts w:hint="eastAsia" w:ascii="仿宋_GB2312" w:hAnsi="仿宋_GB2312" w:eastAsia="仿宋_GB2312" w:cs="仿宋_GB2312"/>
                <w:b/>
                <w:bCs/>
                <w:color w:val="FF0000"/>
                <w:kern w:val="0"/>
                <w:lang w:val="en-US" w:eastAsia="zh-CN"/>
              </w:rPr>
              <w:t xml:space="preserve">  </w:t>
            </w:r>
            <w:r>
              <w:rPr>
                <w:rFonts w:hint="eastAsia" w:ascii="仿宋_GB2312" w:hAnsi="仿宋_GB2312" w:eastAsia="仿宋_GB2312" w:cs="仿宋_GB2312"/>
                <w:b/>
                <w:bCs/>
                <w:color w:val="FF0000"/>
                <w:kern w:val="0"/>
              </w:rPr>
              <w:t>注：开始开标前检查自己开标设备网络稳定性，如有中途退出等问题，导致无法解密责任自行承担</w:t>
            </w:r>
            <w:r>
              <w:rPr>
                <w:rFonts w:hint="eastAsia" w:ascii="仿宋_GB2312" w:hAnsi="仿宋_GB2312" w:eastAsia="仿宋_GB2312" w:cs="仿宋_GB2312"/>
                <w:b/>
                <w:bCs/>
                <w:color w:val="FF0000"/>
                <w:kern w:val="0"/>
                <w:lang w:eastAsia="zh-CN"/>
              </w:rPr>
              <w:t>。</w:t>
            </w:r>
          </w:p>
        </w:tc>
      </w:tr>
      <w:tr w14:paraId="5AD32E2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12" w:hRule="atLeast"/>
          <w:jc w:val="center"/>
        </w:trPr>
        <w:tc>
          <w:tcPr>
            <w:tcW w:w="1012" w:type="dxa"/>
            <w:shd w:val="clear" w:color="auto" w:fill="auto"/>
            <w:vAlign w:val="center"/>
          </w:tcPr>
          <w:p w14:paraId="2A833B54">
            <w:pPr>
              <w:pStyle w:val="110"/>
              <w:ind w:right="264" w:rightChars="0"/>
              <w:jc w:val="center"/>
              <w:outlineLvl w:val="9"/>
              <w:rPr>
                <w:rFonts w:hint="default" w:ascii="仿宋_GB2312" w:hAnsi="仿宋_GB2312" w:eastAsia="仿宋_GB2312" w:cs="仿宋_GB2312"/>
                <w:kern w:val="0"/>
                <w:sz w:val="21"/>
                <w:szCs w:val="21"/>
                <w:lang w:val="en-US" w:eastAsia="zh-CN" w:bidi="ar-SA"/>
              </w:rPr>
            </w:pPr>
            <w:r>
              <w:rPr>
                <w:rFonts w:hint="eastAsia" w:ascii="仿宋_GB2312" w:hAnsi="仿宋_GB2312" w:eastAsia="仿宋_GB2312" w:cs="仿宋_GB2312"/>
                <w:sz w:val="21"/>
                <w:szCs w:val="21"/>
                <w:lang w:val="en-US" w:eastAsia="zh-CN"/>
              </w:rPr>
              <w:t>30</w:t>
            </w:r>
          </w:p>
        </w:tc>
        <w:tc>
          <w:tcPr>
            <w:tcW w:w="1591" w:type="dxa"/>
            <w:vAlign w:val="bottom"/>
          </w:tcPr>
          <w:p w14:paraId="623DFE4B">
            <w:pPr>
              <w:pStyle w:val="110"/>
              <w:ind w:firstLine="211" w:firstLineChars="100"/>
              <w:outlineLvl w:val="9"/>
              <w:rPr>
                <w:rFonts w:ascii="仿宋_GB2312" w:hAnsi="仿宋_GB2312" w:eastAsia="仿宋_GB2312" w:cs="Times New Roman"/>
                <w:b/>
                <w:bCs/>
                <w:sz w:val="21"/>
                <w:szCs w:val="21"/>
                <w:lang w:val="zh-CN" w:eastAsia="zh-CN"/>
              </w:rPr>
            </w:pPr>
            <w:r>
              <w:rPr>
                <w:rFonts w:hint="eastAsia" w:ascii="仿宋_GB2312" w:hAnsi="仿宋_GB2312" w:eastAsia="仿宋_GB2312" w:cs="仿宋_GB2312"/>
                <w:b/>
                <w:bCs/>
                <w:sz w:val="21"/>
                <w:szCs w:val="21"/>
                <w:lang w:val="zh-CN" w:eastAsia="zh-CN"/>
              </w:rPr>
              <w:t>履约保证金</w:t>
            </w:r>
          </w:p>
        </w:tc>
        <w:tc>
          <w:tcPr>
            <w:tcW w:w="7154" w:type="dxa"/>
            <w:vAlign w:val="center"/>
          </w:tcPr>
          <w:p w14:paraId="6BA57FB9">
            <w:pPr>
              <w:spacing w:line="340" w:lineRule="exact"/>
              <w:ind w:right="105" w:rightChars="50"/>
              <w:outlineLvl w:val="9"/>
              <w:rPr>
                <w:rFonts w:hint="eastAsia" w:ascii="仿宋_GB2312" w:hAnsi="仿宋_GB2312" w:eastAsia="仿宋_GB2312"/>
                <w:kern w:val="0"/>
                <w:lang w:val="zh-CN" w:eastAsia="zh-CN"/>
              </w:rPr>
            </w:pPr>
            <w:r>
              <w:rPr>
                <w:rFonts w:hint="eastAsia" w:ascii="仿宋_GB2312" w:hAnsi="仿宋_GB2312" w:eastAsia="仿宋_GB2312" w:cs="仿宋_GB2312"/>
                <w:b/>
                <w:bCs/>
                <w:kern w:val="0"/>
                <w:lang w:val="en-US" w:eastAsia="zh-CN"/>
              </w:rPr>
              <w:t>不收取</w:t>
            </w:r>
          </w:p>
        </w:tc>
      </w:tr>
      <w:tr w14:paraId="454B8C5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06" w:hRule="atLeast"/>
          <w:jc w:val="center"/>
        </w:trPr>
        <w:tc>
          <w:tcPr>
            <w:tcW w:w="1012" w:type="dxa"/>
            <w:shd w:val="clear" w:color="auto" w:fill="auto"/>
            <w:vAlign w:val="center"/>
          </w:tcPr>
          <w:p w14:paraId="0B21DAE0">
            <w:pPr>
              <w:pStyle w:val="110"/>
              <w:ind w:right="264" w:rightChars="0"/>
              <w:jc w:val="center"/>
              <w:outlineLvl w:val="9"/>
              <w:rPr>
                <w:rFonts w:hint="default" w:ascii="仿宋_GB2312" w:hAnsi="仿宋_GB2312" w:eastAsia="仿宋_GB2312" w:cs="仿宋_GB2312"/>
                <w:kern w:val="0"/>
                <w:sz w:val="21"/>
                <w:szCs w:val="21"/>
                <w:lang w:val="en-US" w:eastAsia="zh-CN" w:bidi="ar-SA"/>
              </w:rPr>
            </w:pPr>
            <w:r>
              <w:rPr>
                <w:rFonts w:hint="eastAsia" w:ascii="仿宋_GB2312" w:hAnsi="仿宋_GB2312" w:eastAsia="仿宋_GB2312" w:cs="仿宋_GB2312"/>
                <w:sz w:val="21"/>
                <w:szCs w:val="21"/>
                <w:lang w:val="en-US" w:eastAsia="zh-CN"/>
              </w:rPr>
              <w:t>31</w:t>
            </w:r>
          </w:p>
        </w:tc>
        <w:tc>
          <w:tcPr>
            <w:tcW w:w="1591" w:type="dxa"/>
            <w:vAlign w:val="bottom"/>
          </w:tcPr>
          <w:p w14:paraId="15389C1F">
            <w:pPr>
              <w:pStyle w:val="110"/>
              <w:ind w:right="28"/>
              <w:jc w:val="center"/>
              <w:outlineLvl w:val="9"/>
              <w:rPr>
                <w:rFonts w:ascii="仿宋_GB2312" w:hAnsi="仿宋_GB2312" w:eastAsia="仿宋_GB2312" w:cs="Times New Roman"/>
                <w:b/>
                <w:bCs/>
                <w:sz w:val="21"/>
                <w:szCs w:val="21"/>
                <w:lang w:val="zh-CN" w:eastAsia="zh-CN"/>
              </w:rPr>
            </w:pPr>
            <w:r>
              <w:rPr>
                <w:rFonts w:hint="eastAsia" w:ascii="仿宋_GB2312" w:hAnsi="仿宋_GB2312" w:eastAsia="仿宋_GB2312" w:cs="仿宋_GB2312"/>
                <w:b/>
                <w:bCs/>
                <w:sz w:val="21"/>
                <w:szCs w:val="21"/>
                <w:lang w:val="zh-CN"/>
              </w:rPr>
              <w:t>备选投标方案和报价</w:t>
            </w:r>
          </w:p>
        </w:tc>
        <w:tc>
          <w:tcPr>
            <w:tcW w:w="7154" w:type="dxa"/>
            <w:vAlign w:val="center"/>
          </w:tcPr>
          <w:p w14:paraId="56A25F1B">
            <w:pPr>
              <w:pStyle w:val="110"/>
              <w:outlineLvl w:val="9"/>
              <w:rPr>
                <w:rFonts w:ascii="仿宋_GB2312" w:hAnsi="仿宋_GB2312" w:eastAsia="仿宋_GB2312" w:cs="Times New Roman"/>
                <w:sz w:val="21"/>
                <w:szCs w:val="21"/>
                <w:lang w:val="zh-CN" w:eastAsia="zh-CN"/>
              </w:rPr>
            </w:pPr>
            <w:r>
              <w:rPr>
                <w:rFonts w:hint="eastAsia" w:ascii="仿宋_GB2312" w:hAnsi="仿宋_GB2312" w:eastAsia="仿宋_GB2312" w:cs="仿宋_GB2312"/>
                <w:sz w:val="21"/>
                <w:szCs w:val="21"/>
                <w:lang w:val="zh-CN" w:eastAsia="zh-CN"/>
              </w:rPr>
              <w:t>不接受备选投标方案和多个报价，否则按无效投标处理。</w:t>
            </w:r>
          </w:p>
        </w:tc>
      </w:tr>
      <w:tr w14:paraId="14CAAFF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04" w:hRule="atLeast"/>
          <w:jc w:val="center"/>
        </w:trPr>
        <w:tc>
          <w:tcPr>
            <w:tcW w:w="1012" w:type="dxa"/>
            <w:shd w:val="clear" w:color="auto" w:fill="auto"/>
            <w:vAlign w:val="center"/>
          </w:tcPr>
          <w:p w14:paraId="63FC979A">
            <w:pPr>
              <w:pStyle w:val="110"/>
              <w:ind w:right="264" w:rightChars="0"/>
              <w:jc w:val="center"/>
              <w:outlineLvl w:val="9"/>
              <w:rPr>
                <w:rFonts w:hint="default" w:ascii="仿宋_GB2312" w:hAnsi="仿宋_GB2312" w:eastAsia="仿宋_GB2312" w:cs="仿宋_GB2312"/>
                <w:kern w:val="0"/>
                <w:sz w:val="21"/>
                <w:szCs w:val="21"/>
                <w:lang w:val="en-US" w:eastAsia="zh-CN" w:bidi="ar-SA"/>
              </w:rPr>
            </w:pPr>
            <w:r>
              <w:rPr>
                <w:rFonts w:hint="eastAsia" w:ascii="仿宋_GB2312" w:hAnsi="仿宋_GB2312" w:eastAsia="仿宋_GB2312" w:cs="仿宋_GB2312"/>
                <w:sz w:val="21"/>
                <w:szCs w:val="21"/>
                <w:lang w:val="en-US" w:eastAsia="zh-CN"/>
              </w:rPr>
              <w:t>32</w:t>
            </w:r>
          </w:p>
        </w:tc>
        <w:tc>
          <w:tcPr>
            <w:tcW w:w="1591" w:type="dxa"/>
            <w:vAlign w:val="center"/>
          </w:tcPr>
          <w:p w14:paraId="514328C3">
            <w:pPr>
              <w:pStyle w:val="110"/>
              <w:jc w:val="center"/>
              <w:outlineLvl w:val="9"/>
              <w:rPr>
                <w:rFonts w:ascii="仿宋_GB2312" w:hAnsi="仿宋_GB2312" w:eastAsia="仿宋_GB2312" w:cs="Times New Roman"/>
                <w:b/>
                <w:bCs/>
                <w:sz w:val="21"/>
                <w:szCs w:val="21"/>
                <w:lang w:val="zh-CN" w:eastAsia="zh-CN"/>
              </w:rPr>
            </w:pPr>
            <w:r>
              <w:rPr>
                <w:rFonts w:hint="eastAsia" w:ascii="仿宋_GB2312" w:hAnsi="仿宋_GB2312" w:eastAsia="仿宋_GB2312" w:cs="仿宋_GB2312"/>
                <w:b/>
                <w:bCs/>
                <w:sz w:val="21"/>
                <w:szCs w:val="21"/>
                <w:lang w:val="zh-CN" w:eastAsia="zh-CN"/>
              </w:rPr>
              <w:t>电子投标文件的</w:t>
            </w:r>
          </w:p>
          <w:p w14:paraId="5744DA9B">
            <w:pPr>
              <w:pStyle w:val="110"/>
              <w:jc w:val="center"/>
              <w:outlineLvl w:val="9"/>
              <w:rPr>
                <w:rFonts w:ascii="仿宋_GB2312" w:hAnsi="仿宋_GB2312" w:eastAsia="仿宋_GB2312" w:cs="Times New Roman"/>
                <w:b/>
                <w:bCs/>
                <w:sz w:val="21"/>
                <w:szCs w:val="21"/>
                <w:lang w:val="zh-CN" w:eastAsia="zh-CN"/>
              </w:rPr>
            </w:pPr>
            <w:r>
              <w:rPr>
                <w:rFonts w:hint="eastAsia" w:ascii="仿宋_GB2312" w:hAnsi="仿宋_GB2312" w:eastAsia="仿宋_GB2312" w:cs="仿宋_GB2312"/>
                <w:b/>
                <w:bCs/>
                <w:sz w:val="21"/>
                <w:szCs w:val="21"/>
                <w:lang w:val="zh-CN" w:eastAsia="zh-CN"/>
              </w:rPr>
              <w:t>签署、盖章</w:t>
            </w:r>
          </w:p>
        </w:tc>
        <w:tc>
          <w:tcPr>
            <w:tcW w:w="7154" w:type="dxa"/>
            <w:vAlign w:val="center"/>
          </w:tcPr>
          <w:p w14:paraId="7BDEF37A">
            <w:pPr>
              <w:pStyle w:val="110"/>
              <w:outlineLvl w:val="9"/>
              <w:rPr>
                <w:rFonts w:ascii="仿宋_GB2312" w:hAnsi="仿宋_GB2312" w:eastAsia="仿宋_GB2312" w:cs="Times New Roman"/>
                <w:sz w:val="21"/>
                <w:szCs w:val="21"/>
                <w:lang w:val="zh-CN" w:eastAsia="zh-CN"/>
              </w:rPr>
            </w:pPr>
            <w:r>
              <w:rPr>
                <w:rFonts w:hint="eastAsia" w:ascii="仿宋_GB2312" w:hAnsi="仿宋_GB2312" w:eastAsia="仿宋_GB2312" w:cs="仿宋_GB2312"/>
                <w:sz w:val="22"/>
                <w:szCs w:val="22"/>
                <w:lang w:eastAsia="zh-CN"/>
              </w:rPr>
              <w:t>投标人在投标文件及相关文件的签订、履行、通知等事项的书面文件中的单位盖章、印章、公章等处均仅指与当事人名称全称相一致的标准公章或具有法定效力的电子签章，不得使用其它形式（如带有“专用章”等字样的印章）。投标人的法定代表人或授权代表签字或盖章等处仅指与法定代表人或者授权代表名称相一致的签名或盖具有法定效力的个人印鉴或签字章或电子章，不符合本条规定的投标将被拒绝。</w:t>
            </w:r>
          </w:p>
        </w:tc>
      </w:tr>
      <w:tr w14:paraId="6C86987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54" w:hRule="atLeast"/>
          <w:jc w:val="center"/>
        </w:trPr>
        <w:tc>
          <w:tcPr>
            <w:tcW w:w="1012" w:type="dxa"/>
            <w:tcBorders>
              <w:top w:val="single" w:color="auto" w:sz="4" w:space="0"/>
              <w:bottom w:val="single" w:color="auto" w:sz="4" w:space="0"/>
            </w:tcBorders>
            <w:shd w:val="clear" w:color="auto" w:fill="auto"/>
            <w:vAlign w:val="center"/>
          </w:tcPr>
          <w:p w14:paraId="7FCB10B5">
            <w:pPr>
              <w:pStyle w:val="110"/>
              <w:ind w:right="264" w:rightChars="0"/>
              <w:jc w:val="center"/>
              <w:outlineLvl w:val="9"/>
              <w:rPr>
                <w:rFonts w:hint="default" w:ascii="仿宋_GB2312" w:hAnsi="仿宋_GB2312" w:eastAsia="仿宋_GB2312" w:cs="仿宋_GB2312"/>
                <w:kern w:val="0"/>
                <w:sz w:val="21"/>
                <w:szCs w:val="21"/>
                <w:lang w:val="en-US" w:eastAsia="zh-CN" w:bidi="ar-SA"/>
              </w:rPr>
            </w:pPr>
            <w:r>
              <w:rPr>
                <w:rFonts w:hint="eastAsia" w:ascii="仿宋_GB2312" w:hAnsi="仿宋_GB2312" w:eastAsia="仿宋_GB2312" w:cs="仿宋_GB2312"/>
                <w:sz w:val="21"/>
                <w:szCs w:val="21"/>
                <w:lang w:val="en-US" w:eastAsia="zh-CN"/>
              </w:rPr>
              <w:t>33</w:t>
            </w:r>
          </w:p>
        </w:tc>
        <w:tc>
          <w:tcPr>
            <w:tcW w:w="1591" w:type="dxa"/>
            <w:tcBorders>
              <w:top w:val="single" w:color="auto" w:sz="4" w:space="0"/>
              <w:bottom w:val="single" w:color="auto" w:sz="4" w:space="0"/>
            </w:tcBorders>
            <w:vAlign w:val="center"/>
          </w:tcPr>
          <w:p w14:paraId="04522AFD">
            <w:pPr>
              <w:pStyle w:val="110"/>
              <w:jc w:val="center"/>
              <w:outlineLvl w:val="9"/>
              <w:rPr>
                <w:rFonts w:ascii="仿宋_GB2312" w:hAnsi="仿宋_GB2312" w:eastAsia="仿宋_GB2312" w:cs="Times New Roman"/>
                <w:b/>
                <w:bCs/>
                <w:sz w:val="21"/>
                <w:szCs w:val="21"/>
                <w:lang w:val="zh-CN" w:eastAsia="zh-CN"/>
              </w:rPr>
            </w:pPr>
            <w:r>
              <w:rPr>
                <w:rFonts w:hint="eastAsia" w:ascii="仿宋_GB2312" w:hAnsi="仿宋_GB2312" w:eastAsia="仿宋_GB2312" w:cs="仿宋_GB2312"/>
                <w:b/>
                <w:bCs/>
                <w:sz w:val="22"/>
                <w:szCs w:val="22"/>
                <w:lang w:eastAsia="zh-CN"/>
              </w:rPr>
              <w:t>代理费用的收取标准和方式</w:t>
            </w:r>
          </w:p>
        </w:tc>
        <w:tc>
          <w:tcPr>
            <w:tcW w:w="7154" w:type="dxa"/>
            <w:tcBorders>
              <w:top w:val="single" w:color="auto" w:sz="4" w:space="0"/>
              <w:bottom w:val="single" w:color="auto" w:sz="4" w:space="0"/>
            </w:tcBorders>
            <w:vAlign w:val="center"/>
          </w:tcPr>
          <w:p w14:paraId="327F48E4">
            <w:pPr>
              <w:tabs>
                <w:tab w:val="left" w:pos="420"/>
                <w:tab w:val="left" w:pos="7560"/>
                <w:tab w:val="left" w:pos="7740"/>
                <w:tab w:val="left" w:pos="7920"/>
              </w:tabs>
              <w:adjustRightInd w:val="0"/>
              <w:snapToGrid w:val="0"/>
              <w:spacing w:line="360" w:lineRule="auto"/>
              <w:outlineLvl w:val="9"/>
              <w:rPr>
                <w:rFonts w:hint="eastAsia" w:ascii="仿宋_GB2312" w:hAnsi="仿宋_GB2312" w:eastAsia="仿宋_GB2312" w:cs="仿宋_GB2312"/>
                <w:kern w:val="0"/>
                <w:sz w:val="22"/>
                <w:szCs w:val="22"/>
                <w:lang w:eastAsia="zh-CN"/>
              </w:rPr>
            </w:pPr>
          </w:p>
          <w:p w14:paraId="13A4F55B">
            <w:pPr>
              <w:tabs>
                <w:tab w:val="left" w:pos="420"/>
                <w:tab w:val="left" w:pos="7560"/>
                <w:tab w:val="left" w:pos="7740"/>
                <w:tab w:val="left" w:pos="7920"/>
              </w:tabs>
              <w:adjustRightInd w:val="0"/>
              <w:snapToGrid w:val="0"/>
              <w:spacing w:line="360" w:lineRule="auto"/>
              <w:outlineLvl w:val="9"/>
              <w:rPr>
                <w:rFonts w:hint="eastAsia" w:ascii="仿宋_GB2312" w:hAnsi="仿宋_GB2312" w:eastAsia="仿宋_GB2312"/>
                <w:kern w:val="0"/>
                <w:sz w:val="22"/>
                <w:szCs w:val="22"/>
                <w:lang w:eastAsia="zh-CN"/>
              </w:rPr>
            </w:pPr>
            <w:r>
              <w:rPr>
                <w:rFonts w:hint="eastAsia" w:ascii="仿宋_GB2312" w:hAnsi="仿宋_GB2312" w:eastAsia="仿宋_GB2312" w:cs="仿宋_GB2312"/>
                <w:kern w:val="0"/>
                <w:sz w:val="22"/>
                <w:szCs w:val="22"/>
                <w:lang w:eastAsia="zh-CN"/>
              </w:rPr>
              <w:t>集中采购代理机构</w:t>
            </w:r>
            <w:r>
              <w:rPr>
                <w:rFonts w:hint="eastAsia" w:ascii="仿宋_GB2312" w:hAnsi="仿宋_GB2312" w:eastAsia="仿宋_GB2312" w:cs="仿宋_GB2312"/>
                <w:kern w:val="0"/>
                <w:sz w:val="22"/>
                <w:szCs w:val="22"/>
              </w:rPr>
              <w:t>不收取采购代理服务费</w:t>
            </w:r>
            <w:r>
              <w:rPr>
                <w:rFonts w:ascii="仿宋_GB2312" w:hAnsi="仿宋_GB2312" w:eastAsia="仿宋_GB2312" w:cs="仿宋_GB2312"/>
                <w:kern w:val="0"/>
                <w:sz w:val="22"/>
                <w:szCs w:val="22"/>
              </w:rPr>
              <w:t>,</w:t>
            </w:r>
            <w:r>
              <w:rPr>
                <w:rFonts w:hint="eastAsia" w:ascii="仿宋_GB2312" w:hAnsi="仿宋_GB2312" w:eastAsia="仿宋_GB2312" w:cs="仿宋_GB2312"/>
                <w:kern w:val="0"/>
                <w:sz w:val="22"/>
                <w:szCs w:val="22"/>
              </w:rPr>
              <w:t>请各供应商在报价时充分考虑。</w:t>
            </w:r>
          </w:p>
          <w:p w14:paraId="167FF8D2">
            <w:pPr>
              <w:spacing w:after="50" w:line="420" w:lineRule="exact"/>
              <w:outlineLvl w:val="9"/>
              <w:rPr>
                <w:rFonts w:ascii="仿宋_GB2312" w:hAnsi="仿宋_GB2312" w:eastAsia="仿宋_GB2312"/>
              </w:rPr>
            </w:pPr>
          </w:p>
        </w:tc>
      </w:tr>
      <w:tr w14:paraId="2DACFEE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5" w:hRule="atLeast"/>
          <w:jc w:val="center"/>
        </w:trPr>
        <w:tc>
          <w:tcPr>
            <w:tcW w:w="1012" w:type="dxa"/>
            <w:tcBorders>
              <w:top w:val="single" w:color="auto" w:sz="4" w:space="0"/>
              <w:bottom w:val="single" w:color="auto" w:sz="4" w:space="0"/>
            </w:tcBorders>
            <w:shd w:val="clear" w:color="auto" w:fill="auto"/>
            <w:vAlign w:val="center"/>
          </w:tcPr>
          <w:p w14:paraId="02E9D4B6">
            <w:pPr>
              <w:pStyle w:val="110"/>
              <w:ind w:right="264" w:rightChars="0"/>
              <w:jc w:val="center"/>
              <w:outlineLvl w:val="9"/>
              <w:rPr>
                <w:rFonts w:hint="default" w:ascii="仿宋_GB2312" w:hAnsi="仿宋_GB2312" w:eastAsia="仿宋_GB2312" w:cs="仿宋_GB2312"/>
                <w:kern w:val="0"/>
                <w:sz w:val="21"/>
                <w:szCs w:val="21"/>
                <w:lang w:val="en-US" w:eastAsia="zh-CN" w:bidi="ar-SA"/>
              </w:rPr>
            </w:pPr>
            <w:r>
              <w:rPr>
                <w:rFonts w:hint="eastAsia" w:ascii="仿宋_GB2312" w:hAnsi="仿宋_GB2312" w:eastAsia="仿宋_GB2312" w:cs="仿宋_GB2312"/>
                <w:sz w:val="21"/>
                <w:szCs w:val="21"/>
                <w:lang w:val="en-US" w:eastAsia="zh-CN"/>
              </w:rPr>
              <w:t>34</w:t>
            </w:r>
          </w:p>
        </w:tc>
        <w:tc>
          <w:tcPr>
            <w:tcW w:w="1591" w:type="dxa"/>
            <w:tcBorders>
              <w:top w:val="single" w:color="auto" w:sz="4" w:space="0"/>
              <w:bottom w:val="single" w:color="auto" w:sz="4" w:space="0"/>
            </w:tcBorders>
            <w:vAlign w:val="center"/>
          </w:tcPr>
          <w:p w14:paraId="07346C18">
            <w:pPr>
              <w:pStyle w:val="110"/>
              <w:jc w:val="center"/>
              <w:outlineLvl w:val="9"/>
              <w:rPr>
                <w:rFonts w:ascii="仿宋_GB2312" w:hAnsi="仿宋_GB2312" w:eastAsia="仿宋_GB2312" w:cs="Times New Roman"/>
                <w:b/>
                <w:bCs/>
                <w:sz w:val="21"/>
                <w:szCs w:val="21"/>
                <w:lang w:val="zh-CN" w:eastAsia="zh-CN"/>
              </w:rPr>
            </w:pPr>
            <w:r>
              <w:rPr>
                <w:rFonts w:hint="eastAsia" w:ascii="仿宋_GB2312" w:hAnsi="仿宋_GB2312" w:eastAsia="仿宋_GB2312" w:cs="仿宋_GB2312"/>
                <w:b/>
                <w:bCs/>
                <w:sz w:val="21"/>
                <w:szCs w:val="21"/>
                <w:lang w:val="zh-CN" w:eastAsia="zh-CN"/>
              </w:rPr>
              <w:t>付款方式</w:t>
            </w:r>
          </w:p>
        </w:tc>
        <w:tc>
          <w:tcPr>
            <w:tcW w:w="7154" w:type="dxa"/>
            <w:tcBorders>
              <w:top w:val="single" w:color="auto" w:sz="4" w:space="0"/>
              <w:bottom w:val="single" w:color="auto" w:sz="4" w:space="0"/>
            </w:tcBorders>
            <w:vAlign w:val="center"/>
          </w:tcPr>
          <w:p w14:paraId="3DAEBD80">
            <w:pPr>
              <w:pStyle w:val="37"/>
              <w:jc w:val="left"/>
              <w:outlineLvl w:val="9"/>
              <w:rPr>
                <w:rFonts w:hint="default" w:ascii="仿宋_GB2312" w:hAnsi="仿宋_GB2312" w:eastAsia="仿宋_GB2312" w:cs="Times New Roman"/>
                <w:lang w:val="en-US" w:eastAsia="zh-CN"/>
              </w:rPr>
            </w:pPr>
            <w:r>
              <w:rPr>
                <w:rFonts w:hint="eastAsia" w:ascii="仿宋_GB2312" w:hAnsi="仿宋_GB2312" w:eastAsia="仿宋_GB2312" w:cs="Times New Roman"/>
                <w:lang w:val="en-US" w:eastAsia="zh-CN"/>
              </w:rPr>
              <w:t xml:space="preserve"> 供货结束，验收完成后一次性付清</w:t>
            </w:r>
          </w:p>
        </w:tc>
      </w:tr>
      <w:tr w14:paraId="7F062C8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98" w:hRule="atLeast"/>
          <w:jc w:val="center"/>
        </w:trPr>
        <w:tc>
          <w:tcPr>
            <w:tcW w:w="1012" w:type="dxa"/>
            <w:tcBorders>
              <w:top w:val="single" w:color="auto" w:sz="4" w:space="0"/>
              <w:bottom w:val="single" w:color="auto" w:sz="4" w:space="0"/>
            </w:tcBorders>
            <w:shd w:val="clear" w:color="auto" w:fill="auto"/>
            <w:vAlign w:val="center"/>
          </w:tcPr>
          <w:p w14:paraId="575834AC">
            <w:pPr>
              <w:pStyle w:val="110"/>
              <w:ind w:right="264" w:rightChars="0"/>
              <w:jc w:val="center"/>
              <w:outlineLvl w:val="9"/>
              <w:rPr>
                <w:rFonts w:hint="default" w:ascii="仿宋_GB2312" w:hAnsi="仿宋_GB2312" w:eastAsia="仿宋_GB2312" w:cs="仿宋_GB2312"/>
                <w:kern w:val="0"/>
                <w:sz w:val="21"/>
                <w:szCs w:val="21"/>
                <w:lang w:val="en-US" w:eastAsia="zh-CN" w:bidi="ar-SA"/>
              </w:rPr>
            </w:pPr>
            <w:r>
              <w:rPr>
                <w:rFonts w:hint="eastAsia" w:ascii="仿宋_GB2312" w:hAnsi="仿宋_GB2312" w:eastAsia="仿宋_GB2312" w:cs="仿宋_GB2312"/>
                <w:sz w:val="21"/>
                <w:szCs w:val="21"/>
                <w:lang w:val="en-US" w:eastAsia="zh-CN"/>
              </w:rPr>
              <w:t>35</w:t>
            </w:r>
          </w:p>
        </w:tc>
        <w:tc>
          <w:tcPr>
            <w:tcW w:w="1591" w:type="dxa"/>
            <w:tcBorders>
              <w:top w:val="single" w:color="auto" w:sz="4" w:space="0"/>
              <w:bottom w:val="single" w:color="auto" w:sz="4" w:space="0"/>
            </w:tcBorders>
            <w:vAlign w:val="center"/>
          </w:tcPr>
          <w:p w14:paraId="3F5A347A">
            <w:pPr>
              <w:pStyle w:val="110"/>
              <w:jc w:val="center"/>
              <w:outlineLvl w:val="9"/>
              <w:rPr>
                <w:rFonts w:ascii="仿宋_GB2312" w:hAnsi="仿宋_GB2312" w:eastAsia="仿宋_GB2312" w:cs="Times New Roman"/>
                <w:b/>
                <w:bCs/>
                <w:sz w:val="21"/>
                <w:szCs w:val="21"/>
                <w:lang w:val="zh-CN" w:eastAsia="zh-CN"/>
              </w:rPr>
            </w:pPr>
            <w:r>
              <w:rPr>
                <w:rFonts w:hint="eastAsia" w:ascii="仿宋_GB2312" w:hAnsi="仿宋_GB2312" w:eastAsia="仿宋_GB2312" w:cs="仿宋_GB2312"/>
                <w:b/>
                <w:bCs/>
                <w:sz w:val="21"/>
                <w:szCs w:val="21"/>
                <w:lang w:val="zh-CN" w:eastAsia="zh-CN"/>
              </w:rPr>
              <w:t>评标委员会</w:t>
            </w:r>
          </w:p>
        </w:tc>
        <w:tc>
          <w:tcPr>
            <w:tcW w:w="7154" w:type="dxa"/>
            <w:tcBorders>
              <w:top w:val="single" w:color="auto" w:sz="4" w:space="0"/>
              <w:bottom w:val="single" w:color="auto" w:sz="4" w:space="0"/>
            </w:tcBorders>
            <w:vAlign w:val="center"/>
          </w:tcPr>
          <w:p w14:paraId="15628F31">
            <w:pPr>
              <w:pStyle w:val="116"/>
              <w:spacing w:line="460" w:lineRule="exact"/>
              <w:ind w:left="1" w:firstLine="420" w:firstLineChars="200"/>
              <w:outlineLvl w:val="9"/>
              <w:rPr>
                <w:rFonts w:ascii="仿宋_GB2312" w:hAnsi="仿宋_GB2312" w:eastAsia="仿宋_GB2312" w:cs="Times New Roman"/>
              </w:rPr>
            </w:pPr>
            <w:r>
              <w:rPr>
                <w:rFonts w:hint="eastAsia" w:ascii="仿宋_GB2312" w:hAnsi="仿宋_GB2312" w:eastAsia="仿宋_GB2312" w:cs="仿宋_GB2312"/>
                <w:sz w:val="21"/>
                <w:szCs w:val="21"/>
              </w:rPr>
              <w:t>评标委员会由采购人代表和评标专家组成，在陇南市公共资源交易中心政府采购专家库中随机抽取行业专家。</w:t>
            </w:r>
          </w:p>
        </w:tc>
      </w:tr>
      <w:tr w14:paraId="4B37D9E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409" w:hRule="atLeast"/>
          <w:jc w:val="center"/>
        </w:trPr>
        <w:tc>
          <w:tcPr>
            <w:tcW w:w="1012" w:type="dxa"/>
            <w:tcBorders>
              <w:top w:val="single" w:color="auto" w:sz="4" w:space="0"/>
              <w:bottom w:val="single" w:color="auto" w:sz="4" w:space="0"/>
            </w:tcBorders>
            <w:shd w:val="clear" w:color="auto" w:fill="auto"/>
            <w:vAlign w:val="center"/>
          </w:tcPr>
          <w:p w14:paraId="7A879931">
            <w:pPr>
              <w:pStyle w:val="110"/>
              <w:ind w:right="264" w:rightChars="0"/>
              <w:jc w:val="center"/>
              <w:outlineLvl w:val="9"/>
              <w:rPr>
                <w:rFonts w:hint="default" w:ascii="仿宋_GB2312" w:hAnsi="仿宋_GB2312" w:eastAsia="仿宋_GB2312" w:cs="仿宋_GB2312"/>
                <w:kern w:val="0"/>
                <w:sz w:val="21"/>
                <w:szCs w:val="21"/>
                <w:lang w:val="en-US" w:eastAsia="zh-CN" w:bidi="ar-SA"/>
              </w:rPr>
            </w:pPr>
            <w:r>
              <w:rPr>
                <w:rFonts w:hint="eastAsia" w:ascii="仿宋_GB2312" w:hAnsi="仿宋_GB2312" w:eastAsia="仿宋_GB2312" w:cs="仿宋_GB2312"/>
                <w:sz w:val="21"/>
                <w:szCs w:val="21"/>
                <w:lang w:val="en-US" w:eastAsia="zh-CN"/>
              </w:rPr>
              <w:t>36</w:t>
            </w:r>
          </w:p>
        </w:tc>
        <w:tc>
          <w:tcPr>
            <w:tcW w:w="1591" w:type="dxa"/>
            <w:tcBorders>
              <w:top w:val="single" w:color="auto" w:sz="4" w:space="0"/>
              <w:bottom w:val="single" w:color="auto" w:sz="4" w:space="0"/>
            </w:tcBorders>
            <w:vAlign w:val="center"/>
          </w:tcPr>
          <w:p w14:paraId="5E84242B">
            <w:pPr>
              <w:pStyle w:val="110"/>
              <w:jc w:val="center"/>
              <w:outlineLvl w:val="9"/>
              <w:rPr>
                <w:rFonts w:ascii="仿宋_GB2312" w:hAnsi="仿宋_GB2312" w:eastAsia="仿宋_GB2312" w:cs="Times New Roman"/>
                <w:b/>
                <w:bCs/>
                <w:sz w:val="21"/>
                <w:szCs w:val="21"/>
                <w:lang w:val="zh-CN" w:eastAsia="zh-CN"/>
              </w:rPr>
            </w:pPr>
            <w:r>
              <w:rPr>
                <w:rFonts w:hint="eastAsia" w:ascii="仿宋_GB2312" w:hAnsi="仿宋_GB2312" w:eastAsia="仿宋_GB2312" w:cs="仿宋_GB2312"/>
                <w:b/>
                <w:bCs/>
                <w:sz w:val="21"/>
                <w:szCs w:val="21"/>
                <w:lang w:val="zh-CN" w:eastAsia="zh-CN"/>
              </w:rPr>
              <w:t>信息发布</w:t>
            </w:r>
          </w:p>
        </w:tc>
        <w:tc>
          <w:tcPr>
            <w:tcW w:w="7154" w:type="dxa"/>
            <w:tcBorders>
              <w:top w:val="single" w:color="auto" w:sz="4" w:space="0"/>
              <w:bottom w:val="single" w:color="auto" w:sz="4" w:space="0"/>
            </w:tcBorders>
            <w:vAlign w:val="center"/>
          </w:tcPr>
          <w:p w14:paraId="5A45C175">
            <w:pPr>
              <w:spacing w:after="50" w:line="420" w:lineRule="exact"/>
              <w:ind w:firstLine="420" w:firstLineChars="200"/>
              <w:outlineLvl w:val="9"/>
              <w:rPr>
                <w:rFonts w:ascii="仿宋_GB2312" w:hAnsi="仿宋_GB2312" w:eastAsia="仿宋_GB2312"/>
                <w:b/>
                <w:bCs/>
                <w:lang w:val="zh-CN"/>
              </w:rPr>
            </w:pPr>
            <w:r>
              <w:rPr>
                <w:rFonts w:hint="eastAsia" w:ascii="仿宋_GB2312" w:hAnsi="仿宋_GB2312" w:eastAsia="仿宋_GB2312" w:cs="仿宋_GB2312"/>
              </w:rPr>
              <w:t>按照《政府采购信息公告管理办法》中华人民共和国财政部令第</w:t>
            </w:r>
            <w:r>
              <w:rPr>
                <w:rFonts w:ascii="仿宋_GB2312" w:hAnsi="仿宋_GB2312" w:eastAsia="仿宋_GB2312" w:cs="仿宋_GB2312"/>
              </w:rPr>
              <w:t>19</w:t>
            </w:r>
            <w:r>
              <w:rPr>
                <w:rFonts w:hint="eastAsia" w:ascii="仿宋_GB2312" w:hAnsi="仿宋_GB2312" w:eastAsia="仿宋_GB2312" w:cs="仿宋_GB2312"/>
              </w:rPr>
              <w:t>号第三章第十八条在各政府采购信息指定发布媒体上公告同一政府采购信息的时间不一致的，以在财政部指定的政府采购信息发布媒体上最早公告信息的时间为公告时间和政府采购当事人对有关事项应当知道的时间。本项目时间安排以甘肃政府采购网发布信息为准。</w:t>
            </w:r>
          </w:p>
        </w:tc>
      </w:tr>
      <w:tr w14:paraId="21921DE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85" w:hRule="atLeast"/>
          <w:jc w:val="center"/>
        </w:trPr>
        <w:tc>
          <w:tcPr>
            <w:tcW w:w="1012" w:type="dxa"/>
            <w:tcBorders>
              <w:top w:val="single" w:color="auto" w:sz="4" w:space="0"/>
              <w:bottom w:val="single" w:color="auto" w:sz="4" w:space="0"/>
            </w:tcBorders>
            <w:shd w:val="clear" w:color="auto" w:fill="auto"/>
            <w:vAlign w:val="center"/>
          </w:tcPr>
          <w:p w14:paraId="607727B2">
            <w:pPr>
              <w:pStyle w:val="110"/>
              <w:ind w:right="264" w:rightChars="0"/>
              <w:jc w:val="center"/>
              <w:outlineLvl w:val="9"/>
              <w:rPr>
                <w:rFonts w:hint="default" w:ascii="仿宋_GB2312" w:hAnsi="仿宋_GB2312" w:eastAsia="仿宋_GB2312" w:cs="仿宋_GB2312"/>
                <w:kern w:val="0"/>
                <w:sz w:val="21"/>
                <w:szCs w:val="21"/>
                <w:lang w:val="en-US" w:eastAsia="zh-CN" w:bidi="ar-SA"/>
              </w:rPr>
            </w:pPr>
            <w:r>
              <w:rPr>
                <w:rFonts w:hint="eastAsia" w:ascii="仿宋_GB2312" w:hAnsi="仿宋_GB2312" w:eastAsia="仿宋_GB2312" w:cs="仿宋_GB2312"/>
                <w:sz w:val="21"/>
                <w:szCs w:val="21"/>
                <w:lang w:val="en-US" w:eastAsia="zh-CN"/>
              </w:rPr>
              <w:t>37</w:t>
            </w:r>
          </w:p>
        </w:tc>
        <w:tc>
          <w:tcPr>
            <w:tcW w:w="1591" w:type="dxa"/>
            <w:tcBorders>
              <w:top w:val="single" w:color="auto" w:sz="4" w:space="0"/>
              <w:bottom w:val="single" w:color="auto" w:sz="4" w:space="0"/>
            </w:tcBorders>
            <w:vAlign w:val="center"/>
          </w:tcPr>
          <w:p w14:paraId="6E2195B3">
            <w:pPr>
              <w:pStyle w:val="110"/>
              <w:jc w:val="left"/>
              <w:outlineLvl w:val="9"/>
              <w:rPr>
                <w:rFonts w:ascii="仿宋_GB2312" w:hAnsi="仿宋_GB2312" w:eastAsia="仿宋_GB2312" w:cs="Times New Roman"/>
                <w:b/>
                <w:bCs/>
                <w:color w:val="121212"/>
                <w:sz w:val="22"/>
                <w:szCs w:val="22"/>
                <w:shd w:val="clear" w:color="auto" w:fill="FFFFFF"/>
              </w:rPr>
            </w:pPr>
            <w:r>
              <w:rPr>
                <w:rFonts w:hint="eastAsia" w:ascii="仿宋_GB2312" w:hAnsi="仿宋_GB2312" w:eastAsia="仿宋_GB2312" w:cs="仿宋_GB2312"/>
                <w:b/>
                <w:bCs/>
                <w:color w:val="121212"/>
                <w:sz w:val="22"/>
                <w:szCs w:val="22"/>
                <w:shd w:val="clear" w:color="auto" w:fill="FFFFFF"/>
                <w:lang w:eastAsia="zh-CN"/>
              </w:rPr>
              <w:t>政府采购合同融资</w:t>
            </w:r>
          </w:p>
        </w:tc>
        <w:tc>
          <w:tcPr>
            <w:tcW w:w="7154" w:type="dxa"/>
            <w:tcBorders>
              <w:top w:val="single" w:color="auto" w:sz="4" w:space="0"/>
              <w:bottom w:val="single" w:color="auto" w:sz="4" w:space="0"/>
            </w:tcBorders>
            <w:vAlign w:val="center"/>
          </w:tcPr>
          <w:p w14:paraId="62CB269F">
            <w:pPr>
              <w:pStyle w:val="23"/>
              <w:adjustRightInd w:val="0"/>
              <w:snapToGrid w:val="0"/>
              <w:spacing w:beforeLines="50" w:line="360" w:lineRule="auto"/>
              <w:jc w:val="left"/>
              <w:outlineLvl w:val="9"/>
              <w:rPr>
                <w:rFonts w:ascii="仿宋_GB2312" w:hAnsi="仿宋_GB2312" w:eastAsia="仿宋_GB2312" w:cs="Times New Roman"/>
                <w:b/>
                <w:bCs/>
                <w:sz w:val="22"/>
                <w:szCs w:val="22"/>
              </w:rPr>
            </w:pPr>
            <w:r>
              <w:rPr>
                <w:rFonts w:hint="eastAsia" w:ascii="仿宋_GB2312" w:hAnsi="仿宋_GB2312" w:eastAsia="仿宋_GB2312" w:cs="仿宋_GB2312"/>
                <w:sz w:val="22"/>
                <w:szCs w:val="22"/>
              </w:rPr>
              <w:t>在甘肃省注册、具有法人资格且依法取得省内政府采购合同中小微企业在依法签订政府采购合同后，即可通过融资平台自行选择金融机构及合同融资产品，申请合同融资。详见《甘肃省财政厅关于开展甘肃省政府采购合同融资业务有关事宜的通知》（甘财采〔</w:t>
            </w:r>
            <w:r>
              <w:rPr>
                <w:rFonts w:ascii="仿宋_GB2312" w:hAnsi="仿宋_GB2312" w:eastAsia="仿宋_GB2312" w:cs="仿宋_GB2312"/>
                <w:sz w:val="22"/>
                <w:szCs w:val="22"/>
              </w:rPr>
              <w:t>2019</w:t>
            </w:r>
            <w:r>
              <w:rPr>
                <w:rFonts w:hint="eastAsia" w:ascii="仿宋_GB2312" w:hAnsi="仿宋_GB2312" w:eastAsia="仿宋_GB2312" w:cs="仿宋_GB2312"/>
                <w:sz w:val="22"/>
                <w:szCs w:val="22"/>
              </w:rPr>
              <w:t>〕</w:t>
            </w:r>
            <w:r>
              <w:rPr>
                <w:rFonts w:ascii="仿宋_GB2312" w:hAnsi="仿宋_GB2312" w:eastAsia="仿宋_GB2312" w:cs="仿宋_GB2312"/>
                <w:sz w:val="22"/>
                <w:szCs w:val="22"/>
              </w:rPr>
              <w:t>16</w:t>
            </w:r>
            <w:r>
              <w:rPr>
                <w:rFonts w:hint="eastAsia" w:ascii="仿宋_GB2312" w:hAnsi="仿宋_GB2312" w:eastAsia="仿宋_GB2312" w:cs="仿宋_GB2312"/>
                <w:sz w:val="22"/>
                <w:szCs w:val="22"/>
              </w:rPr>
              <w:t>号）。</w:t>
            </w:r>
            <w:r>
              <w:rPr>
                <w:rFonts w:ascii="仿宋_GB2312" w:hAnsi="仿宋_GB2312" w:eastAsia="仿宋_GB2312" w:cs="仿宋_GB2312"/>
                <w:sz w:val="22"/>
                <w:szCs w:val="22"/>
              </w:rPr>
              <w:t xml:space="preserve"> </w:t>
            </w:r>
          </w:p>
        </w:tc>
      </w:tr>
      <w:tr w14:paraId="2607146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00" w:hRule="atLeast"/>
          <w:jc w:val="center"/>
        </w:trPr>
        <w:tc>
          <w:tcPr>
            <w:tcW w:w="1012" w:type="dxa"/>
            <w:tcBorders>
              <w:top w:val="single" w:color="auto" w:sz="4" w:space="0"/>
              <w:bottom w:val="single" w:color="auto" w:sz="4" w:space="0"/>
            </w:tcBorders>
            <w:vAlign w:val="center"/>
          </w:tcPr>
          <w:p w14:paraId="01CBB84E">
            <w:pPr>
              <w:pStyle w:val="110"/>
              <w:ind w:right="264"/>
              <w:jc w:val="center"/>
              <w:outlineLvl w:val="9"/>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38</w:t>
            </w:r>
          </w:p>
        </w:tc>
        <w:tc>
          <w:tcPr>
            <w:tcW w:w="1591" w:type="dxa"/>
            <w:tcBorders>
              <w:top w:val="single" w:color="auto" w:sz="4" w:space="0"/>
              <w:bottom w:val="single" w:color="auto" w:sz="4" w:space="0"/>
            </w:tcBorders>
            <w:vAlign w:val="center"/>
          </w:tcPr>
          <w:p w14:paraId="1D23904F">
            <w:pPr>
              <w:widowControl/>
              <w:jc w:val="center"/>
              <w:outlineLvl w:val="9"/>
              <w:rPr>
                <w:rFonts w:ascii="仿宋_GB2312" w:hAnsi="仿宋_GB2312" w:eastAsia="仿宋_GB2312"/>
                <w:b/>
                <w:bCs/>
              </w:rPr>
            </w:pPr>
            <w:r>
              <w:rPr>
                <w:rFonts w:hint="eastAsia" w:ascii="仿宋_GB2312" w:hAnsi="仿宋_GB2312" w:eastAsia="仿宋_GB2312" w:cs="仿宋_GB2312"/>
                <w:b/>
                <w:bCs/>
                <w:color w:val="000000"/>
                <w:kern w:val="0"/>
                <w:sz w:val="24"/>
                <w:szCs w:val="24"/>
              </w:rPr>
              <w:t>中标通知书</w:t>
            </w:r>
          </w:p>
          <w:p w14:paraId="151AC5BA">
            <w:pPr>
              <w:widowControl/>
              <w:jc w:val="center"/>
              <w:outlineLvl w:val="9"/>
              <w:rPr>
                <w:rFonts w:ascii="仿宋_GB2312" w:hAnsi="仿宋_GB2312" w:eastAsia="仿宋_GB2312"/>
                <w:b/>
                <w:bCs/>
                <w:color w:val="121212"/>
                <w:sz w:val="22"/>
                <w:szCs w:val="22"/>
                <w:shd w:val="clear" w:color="auto" w:fill="FFFFFF"/>
              </w:rPr>
            </w:pPr>
            <w:r>
              <w:rPr>
                <w:rFonts w:hint="eastAsia" w:ascii="仿宋_GB2312" w:hAnsi="仿宋_GB2312" w:eastAsia="仿宋_GB2312" w:cs="仿宋_GB2312"/>
                <w:b/>
                <w:bCs/>
                <w:color w:val="000000"/>
                <w:kern w:val="0"/>
                <w:sz w:val="24"/>
                <w:szCs w:val="24"/>
              </w:rPr>
              <w:t>领取</w:t>
            </w:r>
          </w:p>
        </w:tc>
        <w:tc>
          <w:tcPr>
            <w:tcW w:w="7154" w:type="dxa"/>
            <w:tcBorders>
              <w:top w:val="single" w:color="auto" w:sz="4" w:space="0"/>
              <w:bottom w:val="single" w:color="auto" w:sz="4" w:space="0"/>
            </w:tcBorders>
            <w:vAlign w:val="center"/>
          </w:tcPr>
          <w:p w14:paraId="6203FFED">
            <w:pPr>
              <w:widowControl/>
              <w:jc w:val="left"/>
              <w:outlineLvl w:val="9"/>
              <w:rPr>
                <w:rFonts w:ascii="仿宋_GB2312" w:hAnsi="仿宋_GB2312" w:eastAsia="仿宋_GB2312"/>
                <w:sz w:val="22"/>
                <w:szCs w:val="22"/>
              </w:rPr>
            </w:pPr>
            <w:r>
              <w:rPr>
                <w:rFonts w:hint="eastAsia" w:ascii="仿宋_GB2312" w:hAnsi="仿宋_GB2312" w:eastAsia="仿宋_GB2312" w:cs="仿宋_GB2312"/>
                <w:b w:val="0"/>
                <w:bCs w:val="0"/>
                <w:color w:val="000000"/>
                <w:kern w:val="0"/>
                <w:sz w:val="24"/>
                <w:szCs w:val="24"/>
              </w:rPr>
              <w:t>中标公告发布后，中标人在</w:t>
            </w:r>
            <w:r>
              <w:rPr>
                <w:rFonts w:hint="eastAsia" w:ascii="仿宋_GB2312" w:hAnsi="仿宋_GB2312" w:eastAsia="仿宋_GB2312" w:cs="仿宋_GB2312"/>
                <w:b w:val="0"/>
                <w:bCs w:val="0"/>
                <w:color w:val="000000"/>
                <w:kern w:val="0"/>
                <w:sz w:val="24"/>
                <w:szCs w:val="24"/>
                <w:u w:val="none"/>
                <w:lang w:val="en-US" w:eastAsia="zh-CN"/>
              </w:rPr>
              <w:t>陇南市公共资源交易中心政府采购科316</w:t>
            </w:r>
            <w:r>
              <w:rPr>
                <w:rFonts w:hint="eastAsia" w:ascii="仿宋_GB2312" w:hAnsi="仿宋_GB2312" w:eastAsia="仿宋_GB2312" w:cs="仿宋_GB2312"/>
                <w:b w:val="0"/>
                <w:bCs w:val="0"/>
                <w:color w:val="000000"/>
                <w:kern w:val="0"/>
                <w:sz w:val="24"/>
                <w:szCs w:val="24"/>
                <w:u w:val="single"/>
                <w:lang w:val="en-US" w:eastAsia="zh-CN"/>
              </w:rPr>
              <w:t>室</w:t>
            </w:r>
            <w:r>
              <w:rPr>
                <w:rFonts w:hint="eastAsia" w:ascii="仿宋_GB2312" w:hAnsi="仿宋_GB2312" w:eastAsia="仿宋_GB2312" w:cs="仿宋_GB2312"/>
                <w:b w:val="0"/>
                <w:bCs w:val="0"/>
                <w:color w:val="000000"/>
                <w:kern w:val="0"/>
                <w:sz w:val="24"/>
                <w:szCs w:val="24"/>
              </w:rPr>
              <w:t>领取中标通知书，不再另行通知。</w:t>
            </w:r>
          </w:p>
        </w:tc>
      </w:tr>
      <w:tr w14:paraId="54859BC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00" w:hRule="atLeast"/>
          <w:jc w:val="center"/>
        </w:trPr>
        <w:tc>
          <w:tcPr>
            <w:tcW w:w="1012" w:type="dxa"/>
            <w:tcBorders>
              <w:top w:val="single" w:color="auto" w:sz="4" w:space="0"/>
              <w:bottom w:val="single" w:color="auto" w:sz="4" w:space="0"/>
            </w:tcBorders>
            <w:vAlign w:val="center"/>
          </w:tcPr>
          <w:p w14:paraId="781C0139">
            <w:pPr>
              <w:pStyle w:val="110"/>
              <w:ind w:right="264"/>
              <w:jc w:val="center"/>
              <w:outlineLvl w:val="9"/>
              <w:rPr>
                <w:rFonts w:hint="default" w:ascii="仿宋_GB2312" w:hAnsi="仿宋_GB2312" w:eastAsia="仿宋_GB2312" w:cs="仿宋_GB2312"/>
                <w:sz w:val="21"/>
                <w:szCs w:val="21"/>
                <w:lang w:val="en-US" w:eastAsia="zh-CN"/>
              </w:rPr>
            </w:pPr>
            <w:bookmarkStart w:id="32" w:name="_Toc12650"/>
            <w:bookmarkStart w:id="33" w:name="_Toc373314697"/>
            <w:bookmarkStart w:id="34" w:name="_Toc373309552"/>
            <w:r>
              <w:rPr>
                <w:rFonts w:hint="eastAsia" w:ascii="仿宋_GB2312" w:hAnsi="仿宋_GB2312" w:eastAsia="仿宋_GB2312" w:cs="仿宋_GB2312"/>
                <w:sz w:val="21"/>
                <w:szCs w:val="21"/>
                <w:lang w:val="en-US" w:eastAsia="zh-CN"/>
              </w:rPr>
              <w:t>39</w:t>
            </w:r>
          </w:p>
        </w:tc>
        <w:tc>
          <w:tcPr>
            <w:tcW w:w="1591" w:type="dxa"/>
            <w:tcBorders>
              <w:top w:val="single" w:color="auto" w:sz="4" w:space="0"/>
              <w:bottom w:val="single" w:color="auto" w:sz="4" w:space="0"/>
            </w:tcBorders>
            <w:vAlign w:val="center"/>
          </w:tcPr>
          <w:p w14:paraId="0B166C27">
            <w:pPr>
              <w:widowControl/>
              <w:jc w:val="center"/>
              <w:outlineLvl w:val="9"/>
              <w:rPr>
                <w:rFonts w:hint="eastAsia" w:ascii="仿宋_GB2312" w:hAnsi="仿宋_GB2312" w:eastAsia="仿宋_GB2312" w:cs="仿宋_GB2312"/>
                <w:b/>
                <w:bCs/>
                <w:color w:val="000000"/>
                <w:kern w:val="0"/>
                <w:sz w:val="24"/>
                <w:szCs w:val="24"/>
                <w:lang w:val="en-US" w:eastAsia="zh-CN"/>
              </w:rPr>
            </w:pPr>
            <w:r>
              <w:rPr>
                <w:rFonts w:hint="eastAsia" w:ascii="仿宋_GB2312" w:hAnsi="仿宋_GB2312" w:eastAsia="仿宋_GB2312" w:cs="仿宋_GB2312"/>
                <w:b/>
                <w:bCs/>
                <w:color w:val="000000"/>
                <w:kern w:val="0"/>
                <w:sz w:val="24"/>
                <w:szCs w:val="24"/>
                <w:lang w:val="en-US" w:eastAsia="zh-CN"/>
              </w:rPr>
              <w:t>备注</w:t>
            </w:r>
          </w:p>
        </w:tc>
        <w:tc>
          <w:tcPr>
            <w:tcW w:w="7154" w:type="dxa"/>
            <w:tcBorders>
              <w:top w:val="single" w:color="auto" w:sz="4" w:space="0"/>
              <w:bottom w:val="single" w:color="auto" w:sz="4" w:space="0"/>
            </w:tcBorders>
            <w:vAlign w:val="center"/>
          </w:tcPr>
          <w:p w14:paraId="35B2E74A">
            <w:pPr>
              <w:widowControl/>
              <w:jc w:val="left"/>
              <w:outlineLvl w:val="9"/>
              <w:rPr>
                <w:rFonts w:hint="eastAsia" w:ascii="仿宋_GB2312" w:hAnsi="仿宋_GB2312" w:eastAsia="仿宋_GB2312" w:cs="仿宋_GB2312"/>
                <w:b/>
                <w:bCs/>
                <w:color w:val="000000"/>
                <w:kern w:val="0"/>
                <w:sz w:val="24"/>
                <w:szCs w:val="24"/>
                <w:lang w:val="en-US" w:eastAsia="zh-CN"/>
              </w:rPr>
            </w:pPr>
            <w:r>
              <w:rPr>
                <w:rFonts w:hint="eastAsia" w:ascii="仿宋_GB2312" w:hAnsi="仿宋_GB2312" w:eastAsia="仿宋_GB2312" w:cs="仿宋_GB2312"/>
                <w:b/>
                <w:bCs/>
                <w:color w:val="000000"/>
                <w:kern w:val="0"/>
                <w:sz w:val="24"/>
                <w:szCs w:val="24"/>
                <w:lang w:val="en-US" w:eastAsia="zh-CN"/>
              </w:rPr>
              <w:t>1、履约验收：按照项目要求，对照货品清单，由市农业农村局、市妇联对巾帼家美积分超市奖补货品联合验收。</w:t>
            </w:r>
          </w:p>
          <w:p w14:paraId="41ADD585">
            <w:pPr>
              <w:widowControl/>
              <w:jc w:val="left"/>
              <w:outlineLvl w:val="9"/>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bCs/>
                <w:color w:val="000000"/>
                <w:kern w:val="0"/>
                <w:sz w:val="24"/>
                <w:szCs w:val="24"/>
                <w:lang w:val="en-US" w:eastAsia="zh-CN"/>
              </w:rPr>
              <w:t>2、本项目成交供应商需将巾帼家美积分超市奖补货品运送到采购单位指定的100个积分超市所在村社（详见《陇南市妇联2024年“巾帼家美积分超市”货品奖补项目实施名单》）。超过交货期从货款中扣除误期赔偿费，赔偿费按每周（一周按七天计算，不足七日按一周计算）赔偿迟交货物的成交价的百分之零点五（0.5%）计收。</w:t>
            </w:r>
          </w:p>
        </w:tc>
      </w:tr>
    </w:tbl>
    <w:p w14:paraId="4D736FCF">
      <w:pPr>
        <w:pStyle w:val="5"/>
        <w:pageBreakBefore/>
        <w:adjustRightInd/>
        <w:spacing w:before="0" w:after="0" w:line="360" w:lineRule="auto"/>
        <w:jc w:val="center"/>
        <w:textAlignment w:val="auto"/>
        <w:rPr>
          <w:rFonts w:ascii="宋体"/>
          <w:b w:val="0"/>
          <w:bCs w:val="0"/>
          <w:kern w:val="2"/>
          <w:sz w:val="32"/>
          <w:szCs w:val="32"/>
        </w:rPr>
      </w:pPr>
      <w:r>
        <w:rPr>
          <w:rFonts w:hint="eastAsia" w:ascii="宋体" w:hAnsi="宋体" w:cs="宋体"/>
          <w:b w:val="0"/>
          <w:bCs w:val="0"/>
          <w:kern w:val="2"/>
          <w:sz w:val="32"/>
          <w:szCs w:val="32"/>
        </w:rPr>
        <w:t>一、总则</w:t>
      </w:r>
      <w:bookmarkEnd w:id="32"/>
    </w:p>
    <w:p w14:paraId="1B556AA6">
      <w:pPr>
        <w:numPr>
          <w:ilvl w:val="0"/>
          <w:numId w:val="3"/>
        </w:numPr>
        <w:spacing w:line="360" w:lineRule="auto"/>
        <w:rPr>
          <w:rFonts w:ascii="宋体"/>
          <w:b/>
          <w:bCs/>
          <w:color w:val="000000"/>
          <w:sz w:val="22"/>
          <w:szCs w:val="22"/>
        </w:rPr>
      </w:pPr>
      <w:r>
        <w:rPr>
          <w:rFonts w:hint="eastAsia" w:ascii="宋体" w:hAnsi="宋体" w:cs="宋体"/>
          <w:b/>
          <w:bCs/>
          <w:color w:val="000000"/>
          <w:sz w:val="22"/>
          <w:szCs w:val="22"/>
        </w:rPr>
        <w:t>适用法律、法规</w:t>
      </w:r>
    </w:p>
    <w:p w14:paraId="3EE2CB2B">
      <w:pPr>
        <w:numPr>
          <w:ilvl w:val="1"/>
          <w:numId w:val="3"/>
        </w:numPr>
        <w:spacing w:line="360" w:lineRule="auto"/>
        <w:rPr>
          <w:rFonts w:ascii="宋体"/>
          <w:color w:val="000000"/>
          <w:sz w:val="22"/>
          <w:szCs w:val="22"/>
          <w:lang w:val="en-GB"/>
        </w:rPr>
      </w:pPr>
      <w:r>
        <w:rPr>
          <w:rFonts w:hint="eastAsia" w:ascii="宋体" w:hAnsi="宋体" w:cs="宋体"/>
          <w:color w:val="000000"/>
          <w:sz w:val="22"/>
          <w:szCs w:val="22"/>
          <w:lang w:val="en-GB"/>
        </w:rPr>
        <w:t>本次招标适用的主要法律、法规为《中华人民共和国政府采购法》、《中华人民共和国政府采购法实施条例》及其它相关法规。</w:t>
      </w:r>
    </w:p>
    <w:p w14:paraId="7A77ACAE">
      <w:pPr>
        <w:numPr>
          <w:ilvl w:val="0"/>
          <w:numId w:val="3"/>
        </w:numPr>
        <w:spacing w:line="360" w:lineRule="auto"/>
        <w:rPr>
          <w:rFonts w:ascii="宋体"/>
          <w:b/>
          <w:bCs/>
          <w:color w:val="000000"/>
          <w:sz w:val="22"/>
          <w:szCs w:val="22"/>
        </w:rPr>
      </w:pPr>
      <w:r>
        <w:rPr>
          <w:rFonts w:hint="eastAsia" w:ascii="宋体" w:hAnsi="宋体" w:cs="宋体"/>
          <w:b/>
          <w:bCs/>
          <w:color w:val="000000"/>
          <w:sz w:val="22"/>
          <w:szCs w:val="22"/>
        </w:rPr>
        <w:t>资金</w:t>
      </w:r>
    </w:p>
    <w:p w14:paraId="0946F70E">
      <w:pPr>
        <w:numPr>
          <w:ilvl w:val="1"/>
          <w:numId w:val="3"/>
        </w:numPr>
        <w:spacing w:line="360" w:lineRule="auto"/>
        <w:rPr>
          <w:rFonts w:ascii="宋体"/>
          <w:color w:val="000000"/>
          <w:sz w:val="22"/>
          <w:szCs w:val="22"/>
        </w:rPr>
      </w:pPr>
      <w:r>
        <w:rPr>
          <w:rFonts w:hint="eastAsia" w:ascii="宋体" w:hAnsi="宋体" w:cs="宋体"/>
          <w:color w:val="000000"/>
          <w:sz w:val="22"/>
          <w:szCs w:val="22"/>
          <w:lang w:val="en-GB"/>
        </w:rPr>
        <w:t>本项目的资金属于财政性资金，资金来源已经落实，计划用于支付本次采购后所签订的合同项下的款项。</w:t>
      </w:r>
    </w:p>
    <w:p w14:paraId="4CD55C05">
      <w:pPr>
        <w:numPr>
          <w:ilvl w:val="0"/>
          <w:numId w:val="3"/>
        </w:numPr>
        <w:spacing w:line="360" w:lineRule="auto"/>
        <w:rPr>
          <w:rFonts w:ascii="宋体"/>
          <w:b/>
          <w:bCs/>
          <w:color w:val="000000"/>
          <w:sz w:val="22"/>
          <w:szCs w:val="22"/>
        </w:rPr>
      </w:pPr>
      <w:r>
        <w:rPr>
          <w:rFonts w:hint="eastAsia" w:ascii="宋体" w:hAnsi="宋体" w:cs="宋体"/>
          <w:b/>
          <w:bCs/>
          <w:color w:val="000000"/>
          <w:sz w:val="22"/>
          <w:szCs w:val="22"/>
        </w:rPr>
        <w:t>释义</w:t>
      </w:r>
    </w:p>
    <w:p w14:paraId="5C42477F">
      <w:pPr>
        <w:numPr>
          <w:ilvl w:val="1"/>
          <w:numId w:val="3"/>
        </w:numPr>
        <w:spacing w:line="360" w:lineRule="auto"/>
        <w:rPr>
          <w:rFonts w:ascii="宋体"/>
          <w:color w:val="000000"/>
          <w:sz w:val="22"/>
          <w:szCs w:val="22"/>
        </w:rPr>
      </w:pPr>
      <w:r>
        <w:rPr>
          <w:rFonts w:hint="eastAsia" w:ascii="宋体" w:hAnsi="宋体" w:cs="宋体"/>
          <w:sz w:val="22"/>
          <w:szCs w:val="22"/>
        </w:rPr>
        <w:t>采购人：系指依法进行政府采购的国家机关、事业单位、团体组织。</w:t>
      </w:r>
    </w:p>
    <w:p w14:paraId="5DE038F0">
      <w:pPr>
        <w:numPr>
          <w:ilvl w:val="1"/>
          <w:numId w:val="3"/>
        </w:numPr>
        <w:spacing w:line="360" w:lineRule="auto"/>
        <w:rPr>
          <w:rFonts w:ascii="宋体"/>
          <w:color w:val="000000"/>
          <w:sz w:val="22"/>
          <w:szCs w:val="22"/>
        </w:rPr>
      </w:pPr>
      <w:r>
        <w:rPr>
          <w:rFonts w:hint="eastAsia" w:ascii="宋体" w:hAnsi="宋体" w:cs="宋体"/>
          <w:color w:val="000000"/>
          <w:sz w:val="22"/>
          <w:szCs w:val="22"/>
        </w:rPr>
        <w:t>投标人：是指按招标公告</w:t>
      </w:r>
      <w:r>
        <w:rPr>
          <w:rFonts w:hint="eastAsia" w:ascii="宋体" w:hAnsi="宋体" w:cs="宋体"/>
          <w:color w:val="000000"/>
          <w:sz w:val="22"/>
          <w:szCs w:val="22"/>
          <w:lang w:val="en-US" w:eastAsia="zh-CN"/>
        </w:rPr>
        <w:t>获取</w:t>
      </w:r>
      <w:r>
        <w:rPr>
          <w:rFonts w:hint="eastAsia" w:ascii="宋体" w:hAnsi="宋体" w:cs="宋体"/>
          <w:color w:val="000000"/>
          <w:sz w:val="22"/>
          <w:szCs w:val="22"/>
        </w:rPr>
        <w:t>了招标文件进行投标的供应商。</w:t>
      </w:r>
    </w:p>
    <w:p w14:paraId="36F344F6">
      <w:pPr>
        <w:numPr>
          <w:ilvl w:val="1"/>
          <w:numId w:val="3"/>
        </w:numPr>
        <w:spacing w:line="360" w:lineRule="auto"/>
        <w:rPr>
          <w:rFonts w:ascii="宋体"/>
          <w:color w:val="000000"/>
          <w:sz w:val="22"/>
          <w:szCs w:val="22"/>
        </w:rPr>
      </w:pPr>
      <w:r>
        <w:rPr>
          <w:rFonts w:hint="eastAsia" w:ascii="宋体" w:hAnsi="宋体" w:cs="宋体"/>
          <w:color w:val="000000"/>
          <w:sz w:val="22"/>
          <w:szCs w:val="22"/>
        </w:rPr>
        <w:t>中标人：指依法确定成交资格并授予合同的投标人。</w:t>
      </w:r>
    </w:p>
    <w:p w14:paraId="0C9E8D47">
      <w:pPr>
        <w:numPr>
          <w:ilvl w:val="1"/>
          <w:numId w:val="3"/>
        </w:numPr>
        <w:spacing w:line="360" w:lineRule="auto"/>
        <w:rPr>
          <w:rFonts w:ascii="宋体"/>
          <w:color w:val="000000"/>
          <w:sz w:val="22"/>
          <w:szCs w:val="22"/>
        </w:rPr>
      </w:pPr>
      <w:r>
        <w:rPr>
          <w:rFonts w:hint="eastAsia" w:ascii="宋体" w:hAnsi="宋体" w:cs="宋体"/>
          <w:color w:val="000000"/>
          <w:sz w:val="22"/>
          <w:szCs w:val="22"/>
        </w:rPr>
        <w:t>招标文件：是指包括项目公告、招标文件以及招标文件的补充、变更和澄清等一系列文件。</w:t>
      </w:r>
    </w:p>
    <w:p w14:paraId="43D9CFCD">
      <w:pPr>
        <w:numPr>
          <w:ilvl w:val="1"/>
          <w:numId w:val="3"/>
        </w:numPr>
        <w:spacing w:line="360" w:lineRule="auto"/>
        <w:rPr>
          <w:rFonts w:ascii="宋体"/>
          <w:color w:val="000000"/>
          <w:sz w:val="22"/>
          <w:szCs w:val="22"/>
        </w:rPr>
      </w:pPr>
      <w:r>
        <w:rPr>
          <w:rFonts w:hint="eastAsia" w:ascii="宋体" w:hAnsi="宋体" w:cs="宋体"/>
          <w:color w:val="000000"/>
          <w:sz w:val="22"/>
          <w:szCs w:val="22"/>
        </w:rPr>
        <w:t>货物：系指投标人按招标文件要求，向采购人提供的各种形态和种类的物品，包括原材料、设备、产品</w:t>
      </w:r>
      <w:r>
        <w:rPr>
          <w:rFonts w:ascii="宋体" w:hAnsi="宋体" w:cs="宋体"/>
          <w:color w:val="000000"/>
          <w:sz w:val="22"/>
          <w:szCs w:val="22"/>
        </w:rPr>
        <w:t>(</w:t>
      </w:r>
      <w:r>
        <w:rPr>
          <w:rFonts w:hint="eastAsia" w:ascii="宋体" w:hAnsi="宋体" w:cs="宋体"/>
          <w:color w:val="000000"/>
          <w:sz w:val="22"/>
          <w:szCs w:val="22"/>
        </w:rPr>
        <w:t>包括软件</w:t>
      </w:r>
      <w:r>
        <w:rPr>
          <w:rFonts w:ascii="宋体" w:hAnsi="宋体" w:cs="宋体"/>
          <w:color w:val="000000"/>
          <w:sz w:val="22"/>
          <w:szCs w:val="22"/>
        </w:rPr>
        <w:t>)</w:t>
      </w:r>
      <w:r>
        <w:rPr>
          <w:rFonts w:hint="eastAsia" w:ascii="宋体" w:hAnsi="宋体" w:cs="宋体"/>
          <w:color w:val="000000"/>
          <w:sz w:val="22"/>
          <w:szCs w:val="22"/>
        </w:rPr>
        <w:t>及相关的备品备件、工具、手册及其它技术资料和材料。</w:t>
      </w:r>
    </w:p>
    <w:p w14:paraId="1706F59F">
      <w:pPr>
        <w:numPr>
          <w:ilvl w:val="1"/>
          <w:numId w:val="3"/>
        </w:numPr>
        <w:spacing w:line="360" w:lineRule="auto"/>
        <w:rPr>
          <w:rFonts w:ascii="宋体"/>
          <w:color w:val="000000"/>
          <w:sz w:val="22"/>
          <w:szCs w:val="22"/>
        </w:rPr>
      </w:pPr>
      <w:r>
        <w:rPr>
          <w:rFonts w:hint="eastAsia" w:ascii="宋体" w:hAnsi="宋体" w:cs="宋体"/>
          <w:color w:val="000000"/>
          <w:sz w:val="22"/>
          <w:szCs w:val="22"/>
        </w:rPr>
        <w:t>服务：系指招标文件规定投标人须承担的系统集成、安装、调试、技术协助、校准、培训以及其它类似的义务。</w:t>
      </w:r>
    </w:p>
    <w:p w14:paraId="221E5900">
      <w:pPr>
        <w:numPr>
          <w:ilvl w:val="1"/>
          <w:numId w:val="3"/>
        </w:numPr>
        <w:spacing w:line="360" w:lineRule="auto"/>
        <w:rPr>
          <w:rFonts w:ascii="宋体"/>
          <w:color w:val="000000"/>
          <w:sz w:val="22"/>
          <w:szCs w:val="22"/>
        </w:rPr>
      </w:pPr>
      <w:r>
        <w:rPr>
          <w:rFonts w:hint="eastAsia" w:ascii="宋体" w:hAnsi="宋体" w:cs="宋体"/>
          <w:sz w:val="22"/>
          <w:szCs w:val="22"/>
        </w:rPr>
        <w:t>偏离：系指投标文件对招标文件的偏离，即不满足、或不响应招标文件的要求。偏离分为对招标文件的实质性要求条款偏离和对招标文件的一般商务和技术条款（参数）偏离。</w:t>
      </w:r>
    </w:p>
    <w:p w14:paraId="269148F9">
      <w:pPr>
        <w:numPr>
          <w:ilvl w:val="1"/>
          <w:numId w:val="3"/>
        </w:numPr>
        <w:spacing w:line="360" w:lineRule="auto"/>
        <w:rPr>
          <w:rFonts w:ascii="宋体"/>
          <w:color w:val="000000"/>
          <w:sz w:val="22"/>
          <w:szCs w:val="22"/>
        </w:rPr>
      </w:pPr>
      <w:r>
        <w:rPr>
          <w:rFonts w:hint="eastAsia" w:ascii="宋体" w:hAnsi="宋体" w:cs="宋体"/>
          <w:sz w:val="22"/>
          <w:szCs w:val="22"/>
        </w:rPr>
        <w:t>实质性条款：除法律、法规和规章规定外，招标文件中用“拒绝”、“不接受”、“无效”、“不得”等文字规定或标注“</w:t>
      </w:r>
      <w:r>
        <w:rPr>
          <w:rFonts w:hint="eastAsia" w:ascii="仿宋_GB2312" w:hAnsi="仿宋_GB2312" w:eastAsia="仿宋_GB2312" w:cs="仿宋_GB2312"/>
          <w:kern w:val="0"/>
          <w:sz w:val="21"/>
          <w:szCs w:val="21"/>
          <w:lang w:val="zh-CN" w:eastAsia="zh-CN" w:bidi="ar-SA"/>
        </w:rPr>
        <w:t>●</w:t>
      </w:r>
      <w:r>
        <w:rPr>
          <w:rFonts w:hint="eastAsia" w:ascii="宋体" w:hAnsi="宋体" w:cs="宋体"/>
          <w:sz w:val="22"/>
          <w:szCs w:val="22"/>
        </w:rPr>
        <w:t>”符号的条款为实质性要求条款（即重要条款），对其中任何一条的偏离，在评标时将其视为无效投标。未用上述文字规定或符号标注的条款为非实质性要求条款</w:t>
      </w:r>
      <w:r>
        <w:rPr>
          <w:rFonts w:ascii="宋体" w:hAnsi="宋体" w:cs="宋体"/>
          <w:sz w:val="22"/>
          <w:szCs w:val="22"/>
        </w:rPr>
        <w:t>(</w:t>
      </w:r>
      <w:r>
        <w:rPr>
          <w:rFonts w:hint="eastAsia" w:ascii="宋体" w:hAnsi="宋体" w:cs="宋体"/>
          <w:sz w:val="22"/>
          <w:szCs w:val="22"/>
        </w:rPr>
        <w:t>即一般条款</w:t>
      </w:r>
      <w:r>
        <w:rPr>
          <w:rFonts w:ascii="宋体" w:hAnsi="宋体" w:cs="宋体"/>
          <w:sz w:val="22"/>
          <w:szCs w:val="22"/>
        </w:rPr>
        <w:t>)</w:t>
      </w:r>
      <w:r>
        <w:rPr>
          <w:rFonts w:hint="eastAsia" w:ascii="宋体" w:hAnsi="宋体" w:cs="宋体"/>
          <w:sz w:val="22"/>
          <w:szCs w:val="22"/>
        </w:rPr>
        <w:t>。</w:t>
      </w:r>
    </w:p>
    <w:p w14:paraId="0188C743">
      <w:pPr>
        <w:numPr>
          <w:ilvl w:val="1"/>
          <w:numId w:val="3"/>
        </w:numPr>
        <w:spacing w:line="360" w:lineRule="auto"/>
        <w:rPr>
          <w:rFonts w:ascii="宋体"/>
          <w:color w:val="000000"/>
          <w:sz w:val="22"/>
          <w:szCs w:val="22"/>
        </w:rPr>
      </w:pPr>
      <w:r>
        <w:rPr>
          <w:rFonts w:hint="eastAsia" w:ascii="宋体" w:hAnsi="宋体" w:cs="宋体"/>
          <w:color w:val="000000"/>
          <w:sz w:val="22"/>
          <w:szCs w:val="22"/>
        </w:rPr>
        <w:t>日期、天数、时间：未有特别说明时，均为公历日（天）及北京时间。</w:t>
      </w:r>
    </w:p>
    <w:p w14:paraId="53A7914D">
      <w:pPr>
        <w:numPr>
          <w:ilvl w:val="0"/>
          <w:numId w:val="3"/>
        </w:numPr>
        <w:spacing w:line="360" w:lineRule="auto"/>
        <w:rPr>
          <w:rFonts w:ascii="宋体"/>
          <w:color w:val="000000"/>
          <w:sz w:val="22"/>
          <w:szCs w:val="22"/>
        </w:rPr>
      </w:pPr>
      <w:r>
        <w:rPr>
          <w:rFonts w:hint="eastAsia" w:ascii="宋体" w:hAnsi="宋体" w:cs="宋体"/>
          <w:color w:val="000000"/>
          <w:sz w:val="22"/>
          <w:szCs w:val="22"/>
        </w:rPr>
        <w:t>投标人资格要求</w:t>
      </w:r>
    </w:p>
    <w:p w14:paraId="0C895A60">
      <w:pPr>
        <w:numPr>
          <w:ilvl w:val="1"/>
          <w:numId w:val="3"/>
        </w:numPr>
        <w:spacing w:line="360" w:lineRule="auto"/>
        <w:rPr>
          <w:rFonts w:ascii="宋体"/>
          <w:color w:val="000000"/>
          <w:sz w:val="22"/>
          <w:szCs w:val="22"/>
        </w:rPr>
      </w:pPr>
      <w:r>
        <w:rPr>
          <w:rFonts w:hint="eastAsia" w:ascii="宋体" w:hAnsi="宋体" w:cs="宋体"/>
          <w:color w:val="000000"/>
          <w:sz w:val="22"/>
          <w:szCs w:val="22"/>
        </w:rPr>
        <w:t>投标人投标不得存在下列情形之一：</w:t>
      </w:r>
    </w:p>
    <w:p w14:paraId="4CE39686">
      <w:pPr>
        <w:spacing w:line="360" w:lineRule="auto"/>
        <w:ind w:firstLine="440" w:firstLineChars="200"/>
        <w:rPr>
          <w:rFonts w:ascii="宋体"/>
          <w:color w:val="000000"/>
          <w:sz w:val="22"/>
          <w:szCs w:val="22"/>
        </w:rPr>
      </w:pPr>
      <w:r>
        <w:rPr>
          <w:rFonts w:hint="eastAsia" w:ascii="宋体" w:hAnsi="宋体" w:cs="宋体"/>
          <w:color w:val="000000"/>
          <w:sz w:val="22"/>
          <w:szCs w:val="22"/>
        </w:rPr>
        <w:t>（</w:t>
      </w:r>
      <w:r>
        <w:rPr>
          <w:rFonts w:ascii="宋体" w:hAnsi="宋体" w:cs="宋体"/>
          <w:color w:val="000000"/>
          <w:sz w:val="22"/>
          <w:szCs w:val="22"/>
        </w:rPr>
        <w:t>1</w:t>
      </w:r>
      <w:r>
        <w:rPr>
          <w:rFonts w:hint="eastAsia" w:ascii="宋体" w:hAnsi="宋体" w:cs="宋体"/>
          <w:color w:val="000000"/>
          <w:sz w:val="22"/>
          <w:szCs w:val="22"/>
        </w:rPr>
        <w:t>）与采购人或采购代理机构存在隶属关系或者其他利害关系；</w:t>
      </w:r>
    </w:p>
    <w:p w14:paraId="4A9247BF">
      <w:pPr>
        <w:spacing w:line="360" w:lineRule="auto"/>
        <w:ind w:firstLine="440" w:firstLineChars="200"/>
        <w:rPr>
          <w:rFonts w:ascii="宋体"/>
          <w:color w:val="000000"/>
          <w:sz w:val="22"/>
          <w:szCs w:val="22"/>
        </w:rPr>
      </w:pPr>
      <w:r>
        <w:rPr>
          <w:rFonts w:hint="eastAsia" w:ascii="宋体" w:hAnsi="宋体" w:cs="宋体"/>
          <w:color w:val="000000"/>
          <w:sz w:val="22"/>
          <w:szCs w:val="22"/>
        </w:rPr>
        <w:t>（</w:t>
      </w:r>
      <w:r>
        <w:rPr>
          <w:rFonts w:ascii="宋体" w:hAnsi="宋体" w:cs="宋体"/>
          <w:color w:val="000000"/>
          <w:sz w:val="22"/>
          <w:szCs w:val="22"/>
        </w:rPr>
        <w:t>2</w:t>
      </w:r>
      <w:r>
        <w:rPr>
          <w:rFonts w:hint="eastAsia" w:ascii="宋体" w:hAnsi="宋体" w:cs="宋体"/>
          <w:color w:val="000000"/>
          <w:sz w:val="22"/>
          <w:szCs w:val="22"/>
        </w:rPr>
        <w:t>）法定代表人或者负责人为同一人或者存在控股、管理关系的两个以上投标人，不得参加同一政府采购项目同一包（标段）的投标。</w:t>
      </w:r>
    </w:p>
    <w:p w14:paraId="2E1A4C5E">
      <w:pPr>
        <w:numPr>
          <w:ilvl w:val="1"/>
          <w:numId w:val="3"/>
        </w:numPr>
        <w:spacing w:line="360" w:lineRule="auto"/>
        <w:rPr>
          <w:rFonts w:ascii="宋体"/>
          <w:color w:val="000000"/>
          <w:sz w:val="22"/>
          <w:szCs w:val="22"/>
        </w:rPr>
      </w:pPr>
      <w:r>
        <w:rPr>
          <w:rFonts w:hint="eastAsia" w:ascii="宋体" w:hAnsi="宋体" w:cs="宋体"/>
          <w:color w:val="000000"/>
          <w:sz w:val="22"/>
          <w:szCs w:val="22"/>
        </w:rPr>
        <w:t>投标人免费下载获取了本项目招标文件并非意味着完全满足了合格投标人的条件，一切均以评标委员会审核的结果为准。</w:t>
      </w:r>
    </w:p>
    <w:p w14:paraId="0FB4542F">
      <w:pPr>
        <w:numPr>
          <w:ilvl w:val="1"/>
          <w:numId w:val="3"/>
        </w:numPr>
        <w:spacing w:line="360" w:lineRule="auto"/>
        <w:rPr>
          <w:rFonts w:ascii="宋体"/>
          <w:b/>
          <w:bCs/>
          <w:color w:val="000000"/>
          <w:sz w:val="22"/>
          <w:szCs w:val="22"/>
        </w:rPr>
      </w:pPr>
      <w:r>
        <w:rPr>
          <w:rFonts w:hint="eastAsia" w:ascii="宋体" w:hAnsi="宋体" w:cs="宋体"/>
          <w:b/>
          <w:bCs/>
          <w:color w:val="000000"/>
          <w:sz w:val="22"/>
          <w:szCs w:val="22"/>
        </w:rPr>
        <w:t>不接受联合体投标。</w:t>
      </w:r>
    </w:p>
    <w:p w14:paraId="0C41AFED">
      <w:pPr>
        <w:numPr>
          <w:ilvl w:val="0"/>
          <w:numId w:val="3"/>
        </w:numPr>
        <w:spacing w:line="360" w:lineRule="auto"/>
        <w:rPr>
          <w:rFonts w:ascii="宋体"/>
          <w:b/>
          <w:bCs/>
          <w:color w:val="000000"/>
          <w:sz w:val="22"/>
          <w:szCs w:val="22"/>
        </w:rPr>
      </w:pPr>
      <w:r>
        <w:rPr>
          <w:rFonts w:hint="eastAsia" w:ascii="宋体" w:hAnsi="宋体" w:cs="宋体"/>
          <w:b/>
          <w:bCs/>
          <w:color w:val="000000"/>
          <w:sz w:val="22"/>
          <w:szCs w:val="22"/>
        </w:rPr>
        <w:t>授权委托</w:t>
      </w:r>
    </w:p>
    <w:p w14:paraId="1C8CB140">
      <w:pPr>
        <w:numPr>
          <w:ilvl w:val="1"/>
          <w:numId w:val="3"/>
        </w:numPr>
        <w:spacing w:line="360" w:lineRule="auto"/>
        <w:rPr>
          <w:rFonts w:ascii="宋体"/>
          <w:color w:val="000000"/>
          <w:sz w:val="22"/>
          <w:szCs w:val="22"/>
        </w:rPr>
      </w:pPr>
      <w:r>
        <w:rPr>
          <w:rFonts w:hint="eastAsia" w:ascii="宋体" w:hAnsi="宋体" w:cs="宋体"/>
          <w:color w:val="000000"/>
          <w:sz w:val="22"/>
          <w:szCs w:val="22"/>
        </w:rPr>
        <w:t>投标人代表不是投标人的法定代表人或负责人，应持有授权委托书，并附法定代表人或负责人身份证明</w:t>
      </w:r>
    </w:p>
    <w:p w14:paraId="2707DE1B">
      <w:pPr>
        <w:numPr>
          <w:ilvl w:val="0"/>
          <w:numId w:val="3"/>
        </w:numPr>
        <w:spacing w:line="360" w:lineRule="auto"/>
        <w:rPr>
          <w:rFonts w:ascii="宋体"/>
          <w:b/>
          <w:bCs/>
          <w:color w:val="000000"/>
          <w:sz w:val="22"/>
          <w:szCs w:val="22"/>
        </w:rPr>
      </w:pPr>
      <w:r>
        <w:rPr>
          <w:rFonts w:hint="eastAsia" w:ascii="宋体" w:hAnsi="宋体" w:cs="宋体"/>
          <w:b/>
          <w:bCs/>
          <w:color w:val="000000"/>
          <w:sz w:val="22"/>
          <w:szCs w:val="22"/>
        </w:rPr>
        <w:t>投标费用</w:t>
      </w:r>
    </w:p>
    <w:p w14:paraId="6E9AF5E3">
      <w:pPr>
        <w:numPr>
          <w:ilvl w:val="1"/>
          <w:numId w:val="3"/>
        </w:numPr>
        <w:spacing w:line="360" w:lineRule="auto"/>
        <w:rPr>
          <w:rFonts w:ascii="宋体"/>
          <w:color w:val="000000"/>
          <w:sz w:val="22"/>
          <w:szCs w:val="22"/>
        </w:rPr>
      </w:pPr>
      <w:r>
        <w:rPr>
          <w:rFonts w:hint="eastAsia" w:ascii="宋体" w:hAnsi="宋体" w:cs="宋体"/>
          <w:color w:val="000000"/>
          <w:sz w:val="22"/>
          <w:szCs w:val="22"/>
        </w:rPr>
        <w:t>投标人应承担所有与准备和参加投标有关的费用。不论投标的结果如何，集采代理机构和采购人在任何情况下均无义务和责任承担这些费用。</w:t>
      </w:r>
    </w:p>
    <w:p w14:paraId="6F51BD04">
      <w:pPr>
        <w:numPr>
          <w:ilvl w:val="0"/>
          <w:numId w:val="3"/>
        </w:numPr>
        <w:spacing w:line="360" w:lineRule="auto"/>
        <w:rPr>
          <w:rFonts w:ascii="宋体"/>
          <w:color w:val="000000"/>
          <w:sz w:val="22"/>
          <w:szCs w:val="22"/>
        </w:rPr>
      </w:pPr>
      <w:r>
        <w:rPr>
          <w:rFonts w:hint="eastAsia" w:ascii="宋体" w:hAnsi="宋体" w:cs="宋体"/>
          <w:sz w:val="22"/>
          <w:szCs w:val="22"/>
        </w:rPr>
        <w:t>采购人、采购代理机构在发布招标公告后，除因重大变故采购任务取消情况外，不得擅自终止招标活动。</w:t>
      </w:r>
    </w:p>
    <w:p w14:paraId="7F9760D4">
      <w:pPr>
        <w:numPr>
          <w:ilvl w:val="0"/>
          <w:numId w:val="3"/>
        </w:numPr>
        <w:spacing w:line="360" w:lineRule="auto"/>
        <w:rPr>
          <w:rFonts w:ascii="宋体"/>
          <w:color w:val="000000"/>
          <w:sz w:val="22"/>
          <w:szCs w:val="22"/>
        </w:rPr>
      </w:pPr>
      <w:r>
        <w:rPr>
          <w:rFonts w:hint="eastAsia" w:ascii="宋体" w:hAnsi="宋体" w:cs="宋体"/>
          <w:b/>
          <w:bCs/>
          <w:color w:val="000000"/>
          <w:sz w:val="22"/>
          <w:szCs w:val="22"/>
        </w:rPr>
        <w:t>采购进口产品</w:t>
      </w:r>
    </w:p>
    <w:p w14:paraId="588E1910">
      <w:pPr>
        <w:spacing w:line="360" w:lineRule="auto"/>
        <w:ind w:firstLine="440" w:firstLineChars="200"/>
        <w:rPr>
          <w:rFonts w:ascii="宋体"/>
          <w:color w:val="000000"/>
          <w:sz w:val="22"/>
          <w:szCs w:val="22"/>
        </w:rPr>
      </w:pPr>
      <w:r>
        <w:rPr>
          <w:rFonts w:hint="eastAsia" w:ascii="宋体" w:hAnsi="宋体" w:cs="宋体"/>
          <w:color w:val="000000"/>
          <w:sz w:val="22"/>
          <w:szCs w:val="22"/>
        </w:rPr>
        <w:t>经财政监管部门审核管理，并经进口论证后方可采购进口产品。</w:t>
      </w:r>
    </w:p>
    <w:p w14:paraId="60B55CFC">
      <w:pPr>
        <w:numPr>
          <w:ilvl w:val="0"/>
          <w:numId w:val="3"/>
        </w:numPr>
        <w:spacing w:line="360" w:lineRule="auto"/>
        <w:rPr>
          <w:rFonts w:ascii="宋体"/>
          <w:color w:val="000000"/>
          <w:sz w:val="22"/>
          <w:szCs w:val="22"/>
        </w:rPr>
      </w:pPr>
      <w:r>
        <w:rPr>
          <w:rFonts w:hint="eastAsia" w:ascii="宋体" w:hAnsi="宋体" w:cs="宋体"/>
          <w:b/>
          <w:bCs/>
          <w:color w:val="000000"/>
          <w:sz w:val="22"/>
          <w:szCs w:val="22"/>
        </w:rPr>
        <w:t>节能产品</w:t>
      </w:r>
      <w:r>
        <w:rPr>
          <w:rFonts w:ascii="宋体" w:hAnsi="宋体" w:cs="宋体"/>
          <w:b/>
          <w:bCs/>
          <w:color w:val="000000"/>
          <w:sz w:val="22"/>
          <w:szCs w:val="22"/>
        </w:rPr>
        <w:t xml:space="preserve"> </w:t>
      </w:r>
    </w:p>
    <w:p w14:paraId="747A3ED2">
      <w:pPr>
        <w:spacing w:line="360" w:lineRule="auto"/>
        <w:ind w:firstLine="440" w:firstLineChars="200"/>
        <w:rPr>
          <w:rFonts w:hint="eastAsia" w:ascii="宋体" w:hAnsi="宋体" w:cs="宋体"/>
          <w:color w:val="000000"/>
          <w:sz w:val="22"/>
          <w:szCs w:val="22"/>
        </w:rPr>
      </w:pPr>
      <w:r>
        <w:rPr>
          <w:rFonts w:hint="eastAsia" w:ascii="宋体" w:hAnsi="宋体" w:cs="宋体"/>
          <w:color w:val="000000"/>
          <w:sz w:val="22"/>
          <w:szCs w:val="22"/>
        </w:rPr>
        <w:t xml:space="preserve"> 对政府采购节能产品、环境标志产品实施品目清单管理。依据品目清 单和认证证书，产品属于节能产品政府采购品目清单(财库〔2019〕19 号）中“★” 标注的品目产品，实施政府强制采购。产品属于环境标志产品政府采购品目清单(财库〔2019〕18 号）范围内的品目产品，实施政府优先采购。</w:t>
      </w:r>
    </w:p>
    <w:p w14:paraId="1E9654D4">
      <w:pPr>
        <w:pStyle w:val="5"/>
        <w:adjustRightInd/>
        <w:spacing w:before="0" w:after="0" w:line="360" w:lineRule="auto"/>
        <w:jc w:val="center"/>
        <w:textAlignment w:val="auto"/>
        <w:rPr>
          <w:rFonts w:ascii="宋体"/>
          <w:b w:val="0"/>
          <w:bCs w:val="0"/>
          <w:kern w:val="2"/>
          <w:sz w:val="32"/>
          <w:szCs w:val="32"/>
        </w:rPr>
      </w:pPr>
      <w:bookmarkStart w:id="35" w:name="_Toc19337"/>
      <w:r>
        <w:rPr>
          <w:rFonts w:hint="eastAsia" w:ascii="宋体" w:hAnsi="宋体" w:cs="宋体"/>
          <w:b w:val="0"/>
          <w:bCs w:val="0"/>
          <w:kern w:val="2"/>
          <w:sz w:val="32"/>
          <w:szCs w:val="32"/>
        </w:rPr>
        <w:t>二、招标文件</w:t>
      </w:r>
      <w:bookmarkEnd w:id="35"/>
    </w:p>
    <w:p w14:paraId="24FF4389">
      <w:pPr>
        <w:numPr>
          <w:ilvl w:val="0"/>
          <w:numId w:val="3"/>
        </w:numPr>
        <w:spacing w:line="360" w:lineRule="auto"/>
        <w:rPr>
          <w:rFonts w:ascii="宋体"/>
          <w:b/>
          <w:bCs/>
          <w:color w:val="000000"/>
          <w:sz w:val="22"/>
          <w:szCs w:val="22"/>
        </w:rPr>
      </w:pPr>
      <w:r>
        <w:rPr>
          <w:rFonts w:hint="eastAsia" w:ascii="宋体" w:hAnsi="宋体" w:cs="宋体"/>
          <w:b/>
          <w:bCs/>
          <w:color w:val="000000"/>
          <w:sz w:val="22"/>
          <w:szCs w:val="22"/>
        </w:rPr>
        <w:t>招标文件组成</w:t>
      </w:r>
    </w:p>
    <w:p w14:paraId="428C5DAD">
      <w:pPr>
        <w:numPr>
          <w:ilvl w:val="1"/>
          <w:numId w:val="3"/>
        </w:numPr>
        <w:spacing w:line="360" w:lineRule="auto"/>
        <w:rPr>
          <w:rFonts w:ascii="宋体"/>
          <w:color w:val="000000"/>
          <w:sz w:val="22"/>
          <w:szCs w:val="22"/>
        </w:rPr>
      </w:pPr>
      <w:r>
        <w:rPr>
          <w:rFonts w:hint="eastAsia" w:ascii="宋体" w:hAnsi="宋体" w:cs="宋体"/>
          <w:color w:val="000000"/>
          <w:sz w:val="22"/>
          <w:szCs w:val="22"/>
        </w:rPr>
        <w:t>招标文件共分六章，其内容如下：</w:t>
      </w:r>
    </w:p>
    <w:p w14:paraId="62DFF580">
      <w:pPr>
        <w:spacing w:line="360" w:lineRule="auto"/>
        <w:ind w:firstLine="550" w:firstLineChars="250"/>
        <w:rPr>
          <w:rFonts w:ascii="宋体"/>
          <w:color w:val="000000"/>
          <w:sz w:val="22"/>
          <w:szCs w:val="22"/>
        </w:rPr>
      </w:pPr>
      <w:r>
        <w:rPr>
          <w:rFonts w:hint="eastAsia" w:ascii="宋体" w:hAnsi="宋体" w:cs="宋体"/>
          <w:color w:val="000000"/>
          <w:sz w:val="22"/>
          <w:szCs w:val="22"/>
        </w:rPr>
        <w:t>第一章</w:t>
      </w:r>
      <w:r>
        <w:rPr>
          <w:rFonts w:ascii="宋体" w:hAnsi="宋体" w:cs="宋体"/>
          <w:color w:val="000000"/>
          <w:sz w:val="22"/>
          <w:szCs w:val="22"/>
        </w:rPr>
        <w:t xml:space="preserve"> </w:t>
      </w:r>
      <w:r>
        <w:rPr>
          <w:rFonts w:hint="eastAsia" w:ascii="宋体" w:hAnsi="宋体" w:cs="宋体"/>
          <w:color w:val="000000"/>
          <w:sz w:val="22"/>
          <w:szCs w:val="22"/>
        </w:rPr>
        <w:t>招标公告</w:t>
      </w:r>
    </w:p>
    <w:p w14:paraId="07EBFBEB">
      <w:pPr>
        <w:spacing w:line="360" w:lineRule="auto"/>
        <w:ind w:firstLine="550" w:firstLineChars="250"/>
        <w:rPr>
          <w:rFonts w:ascii="宋体"/>
          <w:color w:val="000000"/>
          <w:sz w:val="22"/>
          <w:szCs w:val="22"/>
        </w:rPr>
      </w:pPr>
      <w:r>
        <w:rPr>
          <w:rFonts w:hint="eastAsia" w:ascii="宋体" w:hAnsi="宋体" w:cs="宋体"/>
          <w:color w:val="000000"/>
          <w:sz w:val="22"/>
          <w:szCs w:val="22"/>
        </w:rPr>
        <w:t>第二章</w:t>
      </w:r>
      <w:r>
        <w:rPr>
          <w:rFonts w:ascii="宋体" w:hAnsi="宋体" w:cs="宋体"/>
          <w:color w:val="000000"/>
          <w:sz w:val="22"/>
          <w:szCs w:val="22"/>
        </w:rPr>
        <w:t xml:space="preserve"> </w:t>
      </w:r>
      <w:r>
        <w:rPr>
          <w:rFonts w:hint="eastAsia" w:ascii="宋体" w:hAnsi="宋体" w:cs="宋体"/>
          <w:color w:val="000000"/>
          <w:sz w:val="22"/>
          <w:szCs w:val="22"/>
        </w:rPr>
        <w:t>供应商须知及前附表</w:t>
      </w:r>
    </w:p>
    <w:p w14:paraId="3C9A6CF7">
      <w:pPr>
        <w:spacing w:line="360" w:lineRule="auto"/>
        <w:ind w:firstLine="550" w:firstLineChars="250"/>
        <w:rPr>
          <w:rFonts w:ascii="宋体"/>
          <w:color w:val="000000"/>
          <w:sz w:val="22"/>
          <w:szCs w:val="22"/>
        </w:rPr>
      </w:pPr>
      <w:r>
        <w:rPr>
          <w:rFonts w:hint="eastAsia" w:ascii="宋体" w:hAnsi="宋体" w:cs="宋体"/>
          <w:color w:val="000000"/>
          <w:sz w:val="22"/>
          <w:szCs w:val="22"/>
        </w:rPr>
        <w:t>第三章</w:t>
      </w:r>
      <w:r>
        <w:rPr>
          <w:rFonts w:ascii="宋体" w:hAnsi="宋体" w:cs="宋体"/>
          <w:color w:val="000000"/>
          <w:sz w:val="22"/>
          <w:szCs w:val="22"/>
        </w:rPr>
        <w:t xml:space="preserve"> </w:t>
      </w:r>
      <w:r>
        <w:rPr>
          <w:rFonts w:hint="eastAsia" w:ascii="宋体" w:hAnsi="宋体" w:cs="宋体"/>
          <w:color w:val="000000"/>
          <w:sz w:val="22"/>
          <w:szCs w:val="22"/>
        </w:rPr>
        <w:t>采购需求及要求</w:t>
      </w:r>
    </w:p>
    <w:p w14:paraId="0F8B60A3">
      <w:pPr>
        <w:spacing w:line="360" w:lineRule="auto"/>
        <w:ind w:firstLine="550" w:firstLineChars="250"/>
        <w:rPr>
          <w:rFonts w:ascii="宋体"/>
          <w:color w:val="000000"/>
          <w:sz w:val="22"/>
          <w:szCs w:val="22"/>
        </w:rPr>
      </w:pPr>
      <w:r>
        <w:rPr>
          <w:rFonts w:hint="eastAsia" w:ascii="宋体" w:hAnsi="宋体" w:cs="宋体"/>
          <w:color w:val="000000"/>
          <w:sz w:val="22"/>
          <w:szCs w:val="22"/>
        </w:rPr>
        <w:t>第四章</w:t>
      </w:r>
      <w:r>
        <w:rPr>
          <w:rFonts w:ascii="宋体" w:hAnsi="宋体" w:cs="宋体"/>
          <w:color w:val="000000"/>
          <w:sz w:val="22"/>
          <w:szCs w:val="22"/>
        </w:rPr>
        <w:t xml:space="preserve"> </w:t>
      </w:r>
      <w:r>
        <w:rPr>
          <w:rFonts w:hint="eastAsia" w:ascii="宋体" w:hAnsi="宋体" w:cs="宋体"/>
          <w:color w:val="000000"/>
          <w:sz w:val="22"/>
          <w:szCs w:val="22"/>
        </w:rPr>
        <w:t>评标方法及标准</w:t>
      </w:r>
    </w:p>
    <w:p w14:paraId="19A59573">
      <w:pPr>
        <w:spacing w:line="360" w:lineRule="auto"/>
        <w:ind w:firstLine="550" w:firstLineChars="250"/>
        <w:rPr>
          <w:rFonts w:ascii="宋体"/>
          <w:color w:val="000000"/>
          <w:sz w:val="22"/>
          <w:szCs w:val="22"/>
        </w:rPr>
      </w:pPr>
      <w:r>
        <w:rPr>
          <w:rFonts w:hint="eastAsia" w:ascii="宋体" w:hAnsi="宋体" w:cs="宋体"/>
          <w:color w:val="000000"/>
          <w:sz w:val="22"/>
          <w:szCs w:val="22"/>
        </w:rPr>
        <w:t>第五章</w:t>
      </w:r>
      <w:r>
        <w:rPr>
          <w:rFonts w:ascii="宋体" w:hAnsi="宋体" w:cs="宋体"/>
          <w:color w:val="000000"/>
          <w:sz w:val="22"/>
          <w:szCs w:val="22"/>
        </w:rPr>
        <w:t xml:space="preserve"> </w:t>
      </w:r>
      <w:r>
        <w:rPr>
          <w:rFonts w:hint="eastAsia" w:ascii="宋体" w:hAnsi="宋体" w:cs="宋体"/>
          <w:color w:val="000000"/>
          <w:sz w:val="22"/>
          <w:szCs w:val="22"/>
        </w:rPr>
        <w:t>投标文件格式</w:t>
      </w:r>
    </w:p>
    <w:p w14:paraId="793A47BE">
      <w:pPr>
        <w:spacing w:line="360" w:lineRule="auto"/>
        <w:ind w:firstLine="550" w:firstLineChars="250"/>
        <w:rPr>
          <w:rFonts w:ascii="宋体"/>
          <w:color w:val="000000"/>
          <w:sz w:val="22"/>
          <w:szCs w:val="22"/>
        </w:rPr>
      </w:pPr>
      <w:r>
        <w:rPr>
          <w:rFonts w:hint="eastAsia" w:ascii="宋体" w:hAnsi="宋体" w:cs="宋体"/>
          <w:color w:val="000000"/>
          <w:sz w:val="22"/>
          <w:szCs w:val="22"/>
        </w:rPr>
        <w:t>第六章</w:t>
      </w:r>
      <w:r>
        <w:rPr>
          <w:rFonts w:ascii="宋体" w:hAnsi="宋体" w:cs="宋体"/>
          <w:color w:val="000000"/>
          <w:sz w:val="22"/>
          <w:szCs w:val="22"/>
        </w:rPr>
        <w:t xml:space="preserve"> </w:t>
      </w:r>
      <w:r>
        <w:rPr>
          <w:rFonts w:hint="eastAsia" w:ascii="宋体" w:hAnsi="宋体" w:cs="宋体"/>
          <w:color w:val="000000"/>
          <w:sz w:val="22"/>
          <w:szCs w:val="22"/>
        </w:rPr>
        <w:t>政府采购合同</w:t>
      </w:r>
    </w:p>
    <w:p w14:paraId="43B86C61">
      <w:pPr>
        <w:numPr>
          <w:ilvl w:val="1"/>
          <w:numId w:val="3"/>
        </w:numPr>
        <w:spacing w:line="360" w:lineRule="auto"/>
        <w:rPr>
          <w:rFonts w:ascii="宋体"/>
          <w:color w:val="000000"/>
          <w:sz w:val="22"/>
          <w:szCs w:val="22"/>
        </w:rPr>
      </w:pPr>
      <w:r>
        <w:rPr>
          <w:rFonts w:hint="eastAsia" w:ascii="宋体" w:hAnsi="宋体" w:cs="宋体"/>
          <w:sz w:val="22"/>
          <w:szCs w:val="22"/>
        </w:rPr>
        <w:t>对招标文件所作的澄清、修改，构成招标文件的组成部分。</w:t>
      </w:r>
    </w:p>
    <w:p w14:paraId="1DC283FA">
      <w:pPr>
        <w:numPr>
          <w:ilvl w:val="1"/>
          <w:numId w:val="3"/>
        </w:numPr>
        <w:spacing w:line="360" w:lineRule="auto"/>
        <w:rPr>
          <w:rFonts w:ascii="宋体"/>
          <w:color w:val="000000"/>
          <w:sz w:val="22"/>
          <w:szCs w:val="22"/>
        </w:rPr>
      </w:pPr>
      <w:r>
        <w:rPr>
          <w:rFonts w:hint="eastAsia" w:ascii="宋体" w:hAnsi="宋体" w:cs="宋体"/>
          <w:sz w:val="22"/>
          <w:szCs w:val="22"/>
        </w:rPr>
        <w:t>投标人应仔细阅读招标文件的全部内容，按照招标文件要求编制投标文件。任何对招标文件的忽略或误解不能作为投标文件存在缺陷或瑕疵的理由，其风险由投标人自行承担。</w:t>
      </w:r>
    </w:p>
    <w:p w14:paraId="6ECAEB96">
      <w:pPr>
        <w:numPr>
          <w:ilvl w:val="1"/>
          <w:numId w:val="3"/>
        </w:numPr>
        <w:spacing w:line="360" w:lineRule="auto"/>
        <w:rPr>
          <w:rFonts w:hint="eastAsia" w:ascii="宋体" w:hAnsi="宋体" w:cs="宋体"/>
          <w:b/>
          <w:bCs/>
          <w:sz w:val="28"/>
          <w:szCs w:val="28"/>
        </w:rPr>
      </w:pPr>
      <w:r>
        <w:rPr>
          <w:rFonts w:hint="eastAsia" w:ascii="宋体" w:hAnsi="宋体" w:cs="宋体"/>
          <w:b/>
          <w:bCs/>
          <w:sz w:val="28"/>
          <w:szCs w:val="28"/>
        </w:rPr>
        <w:t>本招标文件的投标人资格条件、服务内容及要求和评分标准由采购单位提供并负责解释。</w:t>
      </w:r>
    </w:p>
    <w:p w14:paraId="5DBA28A3">
      <w:pPr>
        <w:numPr>
          <w:ilvl w:val="0"/>
          <w:numId w:val="3"/>
        </w:numPr>
        <w:spacing w:line="360" w:lineRule="auto"/>
        <w:rPr>
          <w:rFonts w:ascii="宋体"/>
          <w:b/>
          <w:bCs/>
          <w:color w:val="000000"/>
          <w:sz w:val="22"/>
          <w:szCs w:val="22"/>
        </w:rPr>
      </w:pPr>
      <w:r>
        <w:rPr>
          <w:rFonts w:hint="eastAsia" w:ascii="宋体" w:hAnsi="宋体" w:cs="宋体"/>
          <w:b/>
          <w:bCs/>
          <w:color w:val="000000"/>
          <w:sz w:val="22"/>
          <w:szCs w:val="22"/>
        </w:rPr>
        <w:t>招标文件的澄清、修改</w:t>
      </w:r>
    </w:p>
    <w:p w14:paraId="3E236E1E">
      <w:pPr>
        <w:numPr>
          <w:ilvl w:val="1"/>
          <w:numId w:val="3"/>
        </w:numPr>
        <w:spacing w:line="360" w:lineRule="auto"/>
        <w:rPr>
          <w:rFonts w:ascii="宋体"/>
          <w:sz w:val="22"/>
          <w:szCs w:val="22"/>
        </w:rPr>
      </w:pPr>
      <w:r>
        <w:rPr>
          <w:rFonts w:hint="eastAsia" w:ascii="宋体" w:hAnsi="宋体" w:cs="宋体"/>
          <w:sz w:val="22"/>
          <w:szCs w:val="22"/>
        </w:rPr>
        <w:t>采购人或者</w:t>
      </w:r>
      <w:r>
        <w:rPr>
          <w:rFonts w:hint="eastAsia" w:ascii="宋体" w:hAnsi="宋体" w:cs="宋体"/>
          <w:sz w:val="22"/>
          <w:szCs w:val="22"/>
          <w:lang w:val="en-US" w:eastAsia="zh-CN"/>
        </w:rPr>
        <w:t>集采</w:t>
      </w:r>
      <w:r>
        <w:rPr>
          <w:rFonts w:hint="eastAsia" w:ascii="宋体" w:hAnsi="宋体" w:cs="宋体"/>
          <w:sz w:val="22"/>
          <w:szCs w:val="22"/>
        </w:rPr>
        <w:t>机构可以对已发出的招标文件进行必要的澄清或者修改，但不得改变采购标的和资格条件。澄清或者修改应当在原公告发布媒体（甘肃政府采购网、陇南公共资源交易网，下同）上发布澄清公告，并以书面形式通过上传答疑文件通知所有招标文件收受人。该澄清或者修改的内容为招标文件的组成部分。澄清或者修改的内容为招标文件的组成部分。</w:t>
      </w:r>
    </w:p>
    <w:p w14:paraId="772EC61A">
      <w:pPr>
        <w:numPr>
          <w:ilvl w:val="1"/>
          <w:numId w:val="3"/>
        </w:numPr>
        <w:spacing w:line="360" w:lineRule="auto"/>
        <w:rPr>
          <w:rFonts w:ascii="宋体"/>
          <w:color w:val="000000"/>
          <w:sz w:val="22"/>
          <w:szCs w:val="22"/>
        </w:rPr>
      </w:pPr>
      <w:r>
        <w:rPr>
          <w:rFonts w:hint="eastAsia" w:ascii="宋体" w:hAnsi="宋体" w:cs="宋体"/>
          <w:color w:val="000000"/>
          <w:sz w:val="22"/>
          <w:szCs w:val="22"/>
        </w:rPr>
        <w:t>采购人及</w:t>
      </w:r>
      <w:r>
        <w:rPr>
          <w:rFonts w:hint="eastAsia" w:ascii="宋体" w:hAnsi="宋体" w:cs="宋体"/>
          <w:color w:val="000000"/>
          <w:sz w:val="22"/>
          <w:szCs w:val="22"/>
          <w:lang w:val="en-US" w:eastAsia="zh-CN"/>
        </w:rPr>
        <w:t>集采</w:t>
      </w:r>
      <w:r>
        <w:rPr>
          <w:rFonts w:hint="eastAsia" w:ascii="宋体" w:hAnsi="宋体" w:cs="宋体"/>
          <w:color w:val="000000"/>
          <w:sz w:val="22"/>
          <w:szCs w:val="22"/>
        </w:rPr>
        <w:t>代理机构可以视采购具体情况，延长投标截止时间和开标时间，但至少应当在招标文件要求提交投标文件的截止时间三日前，并在财政部门指定的政府采购信息发布媒体上发布变更公告。</w:t>
      </w:r>
    </w:p>
    <w:p w14:paraId="27DF911F">
      <w:pPr>
        <w:numPr>
          <w:ilvl w:val="1"/>
          <w:numId w:val="3"/>
        </w:numPr>
        <w:spacing w:line="360" w:lineRule="auto"/>
        <w:rPr>
          <w:rFonts w:hint="eastAsia" w:ascii="宋体" w:hAnsi="宋体" w:cs="宋体"/>
          <w:b/>
          <w:bCs/>
          <w:color w:val="000000"/>
          <w:sz w:val="22"/>
          <w:szCs w:val="22"/>
        </w:rPr>
      </w:pPr>
      <w:r>
        <w:rPr>
          <w:rFonts w:hint="eastAsia" w:ascii="宋体" w:hAnsi="宋体" w:cs="宋体"/>
          <w:b/>
          <w:bCs/>
          <w:color w:val="000000"/>
          <w:sz w:val="22"/>
          <w:szCs w:val="22"/>
        </w:rPr>
        <w:t>陇南市公共资源交易网采用网上报名的方式，开标前无法获悉潜在投标人名单，请各投标人随时关注甘肃政府采购网、陇南市公共资源交易网本项目相关变更公告、答疑文件及通知，否则由变更引起的相关责任自负。</w:t>
      </w:r>
    </w:p>
    <w:p w14:paraId="70D43646">
      <w:pPr>
        <w:pStyle w:val="5"/>
        <w:adjustRightInd/>
        <w:spacing w:before="0" w:after="0" w:line="360" w:lineRule="auto"/>
        <w:jc w:val="center"/>
        <w:textAlignment w:val="auto"/>
        <w:rPr>
          <w:rFonts w:ascii="宋体"/>
          <w:b w:val="0"/>
          <w:bCs w:val="0"/>
          <w:kern w:val="2"/>
          <w:sz w:val="32"/>
          <w:szCs w:val="32"/>
        </w:rPr>
      </w:pPr>
      <w:bookmarkStart w:id="36" w:name="_Toc10153"/>
      <w:r>
        <w:rPr>
          <w:rFonts w:hint="eastAsia" w:ascii="宋体" w:hAnsi="宋体" w:cs="宋体"/>
          <w:b w:val="0"/>
          <w:bCs w:val="0"/>
          <w:kern w:val="2"/>
          <w:sz w:val="32"/>
          <w:szCs w:val="32"/>
        </w:rPr>
        <w:t>三、投标文件</w:t>
      </w:r>
      <w:bookmarkEnd w:id="36"/>
    </w:p>
    <w:p w14:paraId="110BBE6F">
      <w:pPr>
        <w:numPr>
          <w:ilvl w:val="0"/>
          <w:numId w:val="3"/>
        </w:numPr>
        <w:spacing w:line="360" w:lineRule="auto"/>
        <w:rPr>
          <w:rFonts w:ascii="宋体"/>
          <w:b/>
          <w:bCs/>
          <w:color w:val="000000"/>
          <w:sz w:val="22"/>
          <w:szCs w:val="22"/>
        </w:rPr>
      </w:pPr>
      <w:r>
        <w:rPr>
          <w:rFonts w:hint="eastAsia" w:ascii="宋体" w:hAnsi="宋体" w:cs="宋体"/>
          <w:b/>
          <w:bCs/>
          <w:color w:val="000000"/>
          <w:sz w:val="22"/>
          <w:szCs w:val="22"/>
        </w:rPr>
        <w:t>编制原则</w:t>
      </w:r>
    </w:p>
    <w:p w14:paraId="37F322BF">
      <w:pPr>
        <w:numPr>
          <w:ilvl w:val="1"/>
          <w:numId w:val="3"/>
        </w:numPr>
        <w:spacing w:line="360" w:lineRule="auto"/>
        <w:rPr>
          <w:rFonts w:ascii="宋体"/>
          <w:color w:val="000000"/>
          <w:sz w:val="22"/>
          <w:szCs w:val="22"/>
        </w:rPr>
      </w:pPr>
      <w:r>
        <w:rPr>
          <w:rFonts w:hint="eastAsia" w:ascii="宋体" w:hAnsi="宋体" w:cs="宋体"/>
          <w:color w:val="000000"/>
          <w:sz w:val="22"/>
          <w:szCs w:val="22"/>
        </w:rPr>
        <w:t>投标文件应突出重点，精简扼要。所提供的资料必须符合诚实信用、客观真实的原则，对弄虚作假或违背诚信的违法行为，应承担相应的后果及法律责任。</w:t>
      </w:r>
    </w:p>
    <w:p w14:paraId="6B403382">
      <w:pPr>
        <w:numPr>
          <w:ilvl w:val="1"/>
          <w:numId w:val="3"/>
        </w:numPr>
        <w:spacing w:line="360" w:lineRule="auto"/>
        <w:rPr>
          <w:rFonts w:ascii="宋体"/>
          <w:color w:val="000000"/>
          <w:sz w:val="22"/>
          <w:szCs w:val="22"/>
        </w:rPr>
      </w:pPr>
      <w:r>
        <w:rPr>
          <w:rFonts w:hint="eastAsia" w:ascii="宋体" w:hAnsi="宋体" w:cs="宋体"/>
          <w:color w:val="000000"/>
          <w:sz w:val="22"/>
          <w:szCs w:val="22"/>
        </w:rPr>
        <w:t>投标人应仔细阅读招标文件的所有内容，按照招标文件的要求提交投标文件。投标文件应对招标文件的要求作出实质性响应，并保证所提供的全部资料的真实性。</w:t>
      </w:r>
    </w:p>
    <w:p w14:paraId="3996942A">
      <w:pPr>
        <w:numPr>
          <w:ilvl w:val="0"/>
          <w:numId w:val="3"/>
        </w:numPr>
        <w:spacing w:line="360" w:lineRule="auto"/>
        <w:rPr>
          <w:rFonts w:ascii="宋体"/>
          <w:b/>
          <w:bCs/>
          <w:color w:val="000000"/>
          <w:sz w:val="22"/>
          <w:szCs w:val="22"/>
        </w:rPr>
      </w:pPr>
      <w:r>
        <w:rPr>
          <w:rFonts w:hint="eastAsia" w:ascii="宋体" w:hAnsi="宋体" w:cs="宋体"/>
          <w:b/>
          <w:bCs/>
          <w:color w:val="000000"/>
          <w:sz w:val="22"/>
          <w:szCs w:val="22"/>
        </w:rPr>
        <w:t>编制要求</w:t>
      </w:r>
    </w:p>
    <w:p w14:paraId="459A5550">
      <w:pPr>
        <w:numPr>
          <w:ilvl w:val="1"/>
          <w:numId w:val="3"/>
        </w:numPr>
        <w:spacing w:line="360" w:lineRule="auto"/>
        <w:rPr>
          <w:rFonts w:ascii="宋体"/>
          <w:color w:val="000000"/>
          <w:sz w:val="22"/>
          <w:szCs w:val="22"/>
        </w:rPr>
      </w:pPr>
      <w:r>
        <w:rPr>
          <w:rFonts w:hint="eastAsia" w:ascii="宋体" w:hAnsi="宋体" w:cs="宋体"/>
          <w:color w:val="000000"/>
          <w:sz w:val="22"/>
          <w:szCs w:val="22"/>
        </w:rPr>
        <w:t>投标文件应按照</w:t>
      </w:r>
      <w:r>
        <w:rPr>
          <w:rFonts w:ascii="宋体" w:hAnsi="宋体" w:cs="宋体"/>
          <w:color w:val="000000"/>
          <w:sz w:val="22"/>
          <w:szCs w:val="22"/>
        </w:rPr>
        <w:t xml:space="preserve"> </w:t>
      </w:r>
      <w:r>
        <w:rPr>
          <w:rFonts w:hint="eastAsia" w:ascii="宋体" w:hAnsi="宋体" w:cs="宋体"/>
          <w:color w:val="000000"/>
          <w:sz w:val="22"/>
          <w:szCs w:val="22"/>
        </w:rPr>
        <w:t>“投标文件格式”的要求以</w:t>
      </w:r>
      <w:r>
        <w:rPr>
          <w:rFonts w:ascii="宋体" w:hAnsi="宋体" w:cs="宋体"/>
          <w:color w:val="000000"/>
          <w:sz w:val="22"/>
          <w:szCs w:val="22"/>
        </w:rPr>
        <w:t>A4</w:t>
      </w:r>
      <w:r>
        <w:rPr>
          <w:rFonts w:hint="eastAsia" w:ascii="宋体" w:hAnsi="宋体" w:cs="宋体"/>
          <w:color w:val="000000"/>
          <w:sz w:val="22"/>
          <w:szCs w:val="22"/>
        </w:rPr>
        <w:t>版面统一编制。</w:t>
      </w:r>
    </w:p>
    <w:p w14:paraId="377DE483">
      <w:pPr>
        <w:numPr>
          <w:ilvl w:val="1"/>
          <w:numId w:val="3"/>
        </w:numPr>
        <w:spacing w:line="360" w:lineRule="auto"/>
        <w:rPr>
          <w:rFonts w:ascii="宋体"/>
          <w:b/>
          <w:bCs/>
          <w:color w:val="000000"/>
          <w:sz w:val="22"/>
          <w:szCs w:val="22"/>
        </w:rPr>
      </w:pPr>
      <w:r>
        <w:rPr>
          <w:rFonts w:hint="eastAsia" w:ascii="宋体" w:hAnsi="宋体" w:cs="宋体"/>
          <w:b/>
          <w:bCs/>
          <w:color w:val="000000"/>
          <w:sz w:val="22"/>
          <w:szCs w:val="22"/>
        </w:rPr>
        <w:t>对于有特定格式要求的，不允许改动其内容，否则，其投标无效。</w:t>
      </w:r>
    </w:p>
    <w:p w14:paraId="3258B751">
      <w:pPr>
        <w:numPr>
          <w:ilvl w:val="1"/>
          <w:numId w:val="3"/>
        </w:numPr>
        <w:spacing w:line="360" w:lineRule="auto"/>
        <w:rPr>
          <w:rFonts w:ascii="宋体"/>
          <w:color w:val="000000"/>
          <w:sz w:val="22"/>
          <w:szCs w:val="22"/>
        </w:rPr>
      </w:pPr>
      <w:r>
        <w:rPr>
          <w:rFonts w:hint="eastAsia" w:ascii="宋体" w:hAnsi="宋体" w:cs="宋体"/>
          <w:color w:val="000000"/>
          <w:sz w:val="22"/>
          <w:szCs w:val="22"/>
        </w:rPr>
        <w:t>投标文件的制作，应使用简体中文。</w:t>
      </w:r>
    </w:p>
    <w:p w14:paraId="65FE7C58">
      <w:pPr>
        <w:numPr>
          <w:ilvl w:val="1"/>
          <w:numId w:val="3"/>
        </w:numPr>
        <w:spacing w:line="360" w:lineRule="auto"/>
        <w:rPr>
          <w:rFonts w:ascii="宋体"/>
          <w:color w:val="000000"/>
          <w:sz w:val="22"/>
          <w:szCs w:val="22"/>
        </w:rPr>
      </w:pPr>
      <w:r>
        <w:rPr>
          <w:rFonts w:hint="eastAsia" w:ascii="宋体" w:hAnsi="宋体" w:cs="宋体"/>
          <w:color w:val="000000"/>
          <w:sz w:val="22"/>
          <w:szCs w:val="22"/>
        </w:rPr>
        <w:t>投标文件在加盖投标人公章时，不得使用合同专用章、财务专用章、公司部门章或分支机构章、授权（投标）专用章等代替；否则，投标文件按无效投标处理。</w:t>
      </w:r>
    </w:p>
    <w:p w14:paraId="78DE9AB3">
      <w:pPr>
        <w:numPr>
          <w:ilvl w:val="1"/>
          <w:numId w:val="3"/>
        </w:numPr>
        <w:spacing w:line="360" w:lineRule="auto"/>
        <w:rPr>
          <w:rFonts w:ascii="宋体"/>
          <w:color w:val="000000"/>
          <w:sz w:val="22"/>
          <w:szCs w:val="22"/>
        </w:rPr>
      </w:pPr>
      <w:r>
        <w:rPr>
          <w:rFonts w:hint="eastAsia" w:ascii="宋体" w:hAnsi="宋体" w:cs="宋体"/>
          <w:color w:val="000000"/>
          <w:sz w:val="22"/>
          <w:szCs w:val="22"/>
        </w:rPr>
        <w:t>任何行间插字、涂改和增删，须由投标人授权代表在旁边签字后方为有效。</w:t>
      </w:r>
    </w:p>
    <w:p w14:paraId="56AAF338">
      <w:pPr>
        <w:numPr>
          <w:ilvl w:val="0"/>
          <w:numId w:val="3"/>
        </w:numPr>
        <w:spacing w:line="360" w:lineRule="auto"/>
        <w:rPr>
          <w:rFonts w:ascii="宋体"/>
          <w:b w:val="0"/>
          <w:bCs w:val="0"/>
          <w:sz w:val="22"/>
          <w:szCs w:val="22"/>
        </w:rPr>
      </w:pPr>
      <w:r>
        <w:rPr>
          <w:rFonts w:hint="eastAsia" w:ascii="宋体" w:hAnsi="宋体" w:cs="宋体"/>
          <w:b w:val="0"/>
          <w:bCs w:val="0"/>
          <w:sz w:val="22"/>
          <w:szCs w:val="22"/>
        </w:rPr>
        <w:t>投标文件的组成</w:t>
      </w:r>
    </w:p>
    <w:p w14:paraId="1B497A27">
      <w:pPr>
        <w:spacing w:line="360" w:lineRule="auto"/>
        <w:ind w:left="437" w:leftChars="208" w:firstLine="0" w:firstLineChars="0"/>
        <w:rPr>
          <w:rFonts w:ascii="宋体"/>
          <w:b/>
          <w:bCs/>
          <w:sz w:val="22"/>
          <w:szCs w:val="22"/>
        </w:rPr>
      </w:pPr>
      <w:r>
        <w:rPr>
          <w:rFonts w:hint="eastAsia" w:ascii="宋体" w:hAnsi="宋体" w:cs="宋体"/>
          <w:b/>
          <w:bCs/>
          <w:sz w:val="22"/>
          <w:szCs w:val="22"/>
        </w:rPr>
        <w:t>投标文件由价格文件、商务文件和技术文件三部分组成。（以</w:t>
      </w:r>
      <w:r>
        <w:rPr>
          <w:rFonts w:hint="eastAsia" w:ascii="宋体" w:hAnsi="宋体" w:cs="宋体"/>
          <w:b/>
          <w:bCs/>
          <w:sz w:val="22"/>
          <w:szCs w:val="22"/>
          <w:lang w:val="en-US" w:eastAsia="zh-CN"/>
        </w:rPr>
        <w:t>国泰</w:t>
      </w:r>
      <w:r>
        <w:rPr>
          <w:rFonts w:hint="eastAsia" w:ascii="宋体" w:hAnsi="宋体" w:cs="宋体"/>
          <w:b/>
          <w:bCs/>
          <w:sz w:val="22"/>
          <w:szCs w:val="22"/>
        </w:rPr>
        <w:t>新点网上不见面开标系统投标文件制作格式为准）</w:t>
      </w:r>
    </w:p>
    <w:p w14:paraId="017B015A">
      <w:pPr>
        <w:numPr>
          <w:ilvl w:val="0"/>
          <w:numId w:val="3"/>
        </w:numPr>
        <w:spacing w:line="360" w:lineRule="auto"/>
        <w:rPr>
          <w:rFonts w:ascii="宋体"/>
          <w:b/>
          <w:bCs/>
          <w:color w:val="000000"/>
          <w:sz w:val="22"/>
          <w:szCs w:val="22"/>
        </w:rPr>
      </w:pPr>
      <w:r>
        <w:rPr>
          <w:rFonts w:hint="eastAsia" w:ascii="宋体" w:hAnsi="宋体" w:cs="宋体"/>
          <w:b/>
          <w:bCs/>
          <w:color w:val="000000"/>
          <w:sz w:val="22"/>
          <w:szCs w:val="22"/>
        </w:rPr>
        <w:t>投标报价</w:t>
      </w:r>
    </w:p>
    <w:p w14:paraId="67CC2CE2">
      <w:pPr>
        <w:numPr>
          <w:ilvl w:val="1"/>
          <w:numId w:val="3"/>
        </w:numPr>
        <w:spacing w:line="360" w:lineRule="auto"/>
        <w:rPr>
          <w:rFonts w:ascii="宋体"/>
          <w:color w:val="000000"/>
          <w:sz w:val="22"/>
          <w:szCs w:val="22"/>
        </w:rPr>
      </w:pPr>
      <w:r>
        <w:rPr>
          <w:rFonts w:hint="eastAsia" w:ascii="宋体" w:hAnsi="宋体" w:cs="宋体"/>
          <w:sz w:val="22"/>
          <w:szCs w:val="22"/>
        </w:rPr>
        <w:t>投标人应按招标文件规定的供货及服务要求、责任范围和合同条件，以人民币进行报价。</w:t>
      </w:r>
    </w:p>
    <w:p w14:paraId="74A87541">
      <w:pPr>
        <w:numPr>
          <w:ilvl w:val="1"/>
          <w:numId w:val="3"/>
        </w:numPr>
        <w:spacing w:line="360" w:lineRule="auto"/>
        <w:rPr>
          <w:rFonts w:ascii="宋体"/>
          <w:color w:val="000000"/>
          <w:sz w:val="22"/>
          <w:szCs w:val="22"/>
        </w:rPr>
      </w:pPr>
      <w:r>
        <w:rPr>
          <w:rFonts w:hint="eastAsia" w:ascii="宋体" w:hAnsi="宋体" w:cs="宋体"/>
          <w:sz w:val="22"/>
          <w:szCs w:val="22"/>
        </w:rPr>
        <w:t>投标人应按开标报价一览表和分项价格表的内容和格式要求填写各项货物及服务的分项价格和总价。投标总价中不得包含招标文件要求以外的内容，否则，在评标时不予核减。投标总价中也不得缺漏招标文件所要求的内容，否则，在评标时将其视为无效投标。</w:t>
      </w:r>
    </w:p>
    <w:p w14:paraId="39F9B9FF">
      <w:pPr>
        <w:numPr>
          <w:ilvl w:val="1"/>
          <w:numId w:val="3"/>
        </w:numPr>
        <w:spacing w:line="360" w:lineRule="auto"/>
        <w:rPr>
          <w:rFonts w:ascii="宋体"/>
          <w:color w:val="000000"/>
          <w:sz w:val="22"/>
          <w:szCs w:val="22"/>
        </w:rPr>
      </w:pPr>
      <w:r>
        <w:rPr>
          <w:rFonts w:hint="eastAsia" w:ascii="宋体" w:hAnsi="宋体" w:cs="宋体"/>
          <w:sz w:val="22"/>
          <w:szCs w:val="22"/>
        </w:rPr>
        <w:t>投标人对每种货物及服务只允许有一个报价，不接受选择性报价，否则，在评标时将其视为无效投标。</w:t>
      </w:r>
    </w:p>
    <w:p w14:paraId="62CE3E9A">
      <w:pPr>
        <w:numPr>
          <w:ilvl w:val="1"/>
          <w:numId w:val="3"/>
        </w:numPr>
        <w:spacing w:line="360" w:lineRule="auto"/>
        <w:rPr>
          <w:rFonts w:ascii="宋体"/>
          <w:sz w:val="22"/>
          <w:szCs w:val="22"/>
        </w:rPr>
      </w:pPr>
      <w:r>
        <w:rPr>
          <w:rFonts w:hint="eastAsia" w:ascii="宋体" w:hAnsi="宋体" w:cs="宋体"/>
          <w:sz w:val="22"/>
          <w:szCs w:val="22"/>
        </w:rPr>
        <w:t>投标文件中标明的价格在合同执行过程中是固定不变的，不得以任何理由予以变更。任何包含价格调整要求和条件的投标，在评标时将其视为无效投标。</w:t>
      </w:r>
    </w:p>
    <w:p w14:paraId="3BAA7868">
      <w:pPr>
        <w:numPr>
          <w:ilvl w:val="1"/>
          <w:numId w:val="3"/>
        </w:numPr>
        <w:spacing w:line="360" w:lineRule="auto"/>
        <w:rPr>
          <w:rFonts w:ascii="宋体"/>
          <w:sz w:val="22"/>
          <w:szCs w:val="22"/>
        </w:rPr>
      </w:pPr>
      <w:r>
        <w:rPr>
          <w:rFonts w:hint="eastAsia" w:ascii="宋体" w:hAnsi="宋体" w:cs="宋体"/>
          <w:sz w:val="22"/>
          <w:szCs w:val="22"/>
        </w:rPr>
        <w:t>投标人应根据《采购清单》最终得出总额。</w:t>
      </w:r>
    </w:p>
    <w:p w14:paraId="504AEA3A">
      <w:pPr>
        <w:numPr>
          <w:ilvl w:val="1"/>
          <w:numId w:val="3"/>
        </w:numPr>
        <w:spacing w:line="360" w:lineRule="auto"/>
        <w:rPr>
          <w:rFonts w:ascii="宋体"/>
          <w:sz w:val="22"/>
          <w:szCs w:val="22"/>
        </w:rPr>
      </w:pPr>
      <w:r>
        <w:rPr>
          <w:rFonts w:hint="eastAsia" w:ascii="宋体" w:hAnsi="宋体" w:cs="宋体"/>
          <w:sz w:val="22"/>
          <w:szCs w:val="22"/>
        </w:rPr>
        <w:t>投标报价应包含产品的安装、维护、售后服务及税金等全部费用。</w:t>
      </w:r>
    </w:p>
    <w:p w14:paraId="0DC5ECF4">
      <w:pPr>
        <w:numPr>
          <w:ilvl w:val="1"/>
          <w:numId w:val="3"/>
        </w:numPr>
        <w:spacing w:line="360" w:lineRule="auto"/>
        <w:rPr>
          <w:rFonts w:ascii="宋体"/>
          <w:sz w:val="22"/>
          <w:szCs w:val="22"/>
        </w:rPr>
      </w:pPr>
      <w:r>
        <w:rPr>
          <w:rFonts w:hint="eastAsia" w:ascii="宋体" w:hAnsi="宋体" w:cs="宋体"/>
          <w:sz w:val="22"/>
          <w:szCs w:val="22"/>
        </w:rPr>
        <w:t>投标人根据招标内容的要求，准确报价，一经报出，不得更改。</w:t>
      </w:r>
    </w:p>
    <w:p w14:paraId="2C65A86D">
      <w:pPr>
        <w:numPr>
          <w:ilvl w:val="0"/>
          <w:numId w:val="3"/>
        </w:numPr>
        <w:spacing w:line="360" w:lineRule="auto"/>
        <w:rPr>
          <w:rFonts w:ascii="宋体"/>
          <w:b/>
          <w:bCs/>
          <w:sz w:val="22"/>
          <w:szCs w:val="22"/>
        </w:rPr>
      </w:pPr>
      <w:r>
        <w:rPr>
          <w:rFonts w:hint="eastAsia" w:ascii="宋体" w:hAnsi="宋体" w:cs="宋体"/>
          <w:b/>
          <w:bCs/>
          <w:sz w:val="22"/>
          <w:szCs w:val="22"/>
        </w:rPr>
        <w:t>投标文件报价出现前后不一致的，按照下列规定修正：</w:t>
      </w:r>
      <w:r>
        <w:rPr>
          <w:rFonts w:ascii="宋体" w:hAnsi="宋体" w:cs="宋体"/>
          <w:b/>
          <w:bCs/>
          <w:sz w:val="22"/>
          <w:szCs w:val="22"/>
        </w:rPr>
        <w:t xml:space="preserve"> </w:t>
      </w:r>
    </w:p>
    <w:p w14:paraId="6C8726DD">
      <w:pPr>
        <w:numPr>
          <w:ilvl w:val="1"/>
          <w:numId w:val="3"/>
        </w:numPr>
        <w:spacing w:line="360" w:lineRule="auto"/>
        <w:rPr>
          <w:rFonts w:hint="eastAsia" w:ascii="宋体" w:hAnsi="宋体" w:cs="宋体"/>
          <w:b/>
          <w:bCs/>
          <w:sz w:val="22"/>
          <w:szCs w:val="22"/>
        </w:rPr>
      </w:pPr>
      <w:r>
        <w:rPr>
          <w:rFonts w:hint="eastAsia" w:ascii="宋体" w:hAnsi="宋体" w:cs="宋体"/>
          <w:sz w:val="22"/>
          <w:szCs w:val="22"/>
        </w:rPr>
        <w:t>投标文件中开标一览表（报价表）内容与投标文件中相应内容不一致的，</w:t>
      </w:r>
      <w:r>
        <w:rPr>
          <w:rFonts w:hint="eastAsia" w:ascii="宋体" w:hAnsi="宋体" w:cs="宋体"/>
          <w:b/>
          <w:bCs/>
          <w:sz w:val="22"/>
          <w:szCs w:val="22"/>
        </w:rPr>
        <w:t>以开标一览表（报价表）为准；</w:t>
      </w:r>
    </w:p>
    <w:p w14:paraId="5E8F40D9">
      <w:pPr>
        <w:numPr>
          <w:ilvl w:val="1"/>
          <w:numId w:val="3"/>
        </w:numPr>
        <w:spacing w:line="360" w:lineRule="auto"/>
        <w:rPr>
          <w:rFonts w:ascii="宋体"/>
          <w:b/>
          <w:bCs/>
          <w:sz w:val="22"/>
          <w:szCs w:val="22"/>
        </w:rPr>
      </w:pPr>
      <w:r>
        <w:rPr>
          <w:rFonts w:hint="eastAsia" w:ascii="宋体" w:hAnsi="宋体" w:cs="宋体"/>
          <w:sz w:val="22"/>
          <w:szCs w:val="22"/>
        </w:rPr>
        <w:t>大写金额和小写金额不一致的，</w:t>
      </w:r>
      <w:r>
        <w:rPr>
          <w:rFonts w:hint="eastAsia" w:ascii="宋体" w:hAnsi="宋体" w:cs="宋体"/>
          <w:b/>
          <w:bCs/>
          <w:sz w:val="22"/>
          <w:szCs w:val="22"/>
        </w:rPr>
        <w:t>以大写金额为准；</w:t>
      </w:r>
      <w:r>
        <w:rPr>
          <w:rFonts w:ascii="宋体" w:hAnsi="宋体" w:cs="宋体"/>
          <w:b/>
          <w:bCs/>
          <w:sz w:val="22"/>
          <w:szCs w:val="22"/>
        </w:rPr>
        <w:t xml:space="preserve"> </w:t>
      </w:r>
    </w:p>
    <w:p w14:paraId="5CEB4AD5">
      <w:pPr>
        <w:numPr>
          <w:ilvl w:val="1"/>
          <w:numId w:val="3"/>
        </w:numPr>
        <w:spacing w:line="360" w:lineRule="auto"/>
        <w:rPr>
          <w:rFonts w:ascii="宋体"/>
          <w:sz w:val="22"/>
          <w:szCs w:val="22"/>
        </w:rPr>
      </w:pPr>
      <w:r>
        <w:rPr>
          <w:rFonts w:hint="eastAsia" w:ascii="宋体" w:hAnsi="宋体" w:cs="宋体"/>
          <w:sz w:val="22"/>
          <w:szCs w:val="22"/>
        </w:rPr>
        <w:t>单价金额小数点或者百分比有明显错位的，以开标一览表的总价为准，并修改单价；</w:t>
      </w:r>
      <w:r>
        <w:rPr>
          <w:rFonts w:ascii="宋体" w:hAnsi="宋体" w:cs="宋体"/>
          <w:sz w:val="22"/>
          <w:szCs w:val="22"/>
        </w:rPr>
        <w:t xml:space="preserve"> </w:t>
      </w:r>
    </w:p>
    <w:p w14:paraId="7BFC4698">
      <w:pPr>
        <w:numPr>
          <w:ilvl w:val="1"/>
          <w:numId w:val="3"/>
        </w:numPr>
        <w:spacing w:line="360" w:lineRule="auto"/>
        <w:rPr>
          <w:rFonts w:ascii="宋体"/>
          <w:sz w:val="22"/>
          <w:szCs w:val="22"/>
        </w:rPr>
      </w:pPr>
      <w:r>
        <w:rPr>
          <w:rFonts w:hint="eastAsia" w:ascii="宋体" w:hAnsi="宋体" w:cs="宋体"/>
          <w:sz w:val="22"/>
          <w:szCs w:val="22"/>
        </w:rPr>
        <w:t>总价金额与按单价汇总金额不一致的，以单价金额计算结果为准。</w:t>
      </w:r>
      <w:r>
        <w:rPr>
          <w:rFonts w:ascii="宋体" w:hAnsi="宋体" w:cs="宋体"/>
          <w:sz w:val="22"/>
          <w:szCs w:val="22"/>
        </w:rPr>
        <w:t xml:space="preserve"> </w:t>
      </w:r>
    </w:p>
    <w:p w14:paraId="27838A76">
      <w:pPr>
        <w:numPr>
          <w:ilvl w:val="1"/>
          <w:numId w:val="3"/>
        </w:numPr>
        <w:spacing w:line="360" w:lineRule="auto"/>
        <w:rPr>
          <w:rFonts w:ascii="宋体"/>
          <w:sz w:val="22"/>
          <w:szCs w:val="22"/>
        </w:rPr>
      </w:pPr>
      <w:r>
        <w:rPr>
          <w:rFonts w:hint="eastAsia" w:ascii="宋体" w:hAnsi="宋体" w:cs="宋体"/>
          <w:sz w:val="22"/>
          <w:szCs w:val="22"/>
        </w:rPr>
        <w:t>同时出现两种以上不一致的，按照前款规定的顺序修正，投标人不确认的，其投标无效。</w:t>
      </w:r>
      <w:r>
        <w:rPr>
          <w:rFonts w:ascii="宋体" w:hAnsi="宋体" w:cs="宋体"/>
          <w:sz w:val="22"/>
          <w:szCs w:val="22"/>
        </w:rPr>
        <w:t xml:space="preserve"> </w:t>
      </w:r>
    </w:p>
    <w:p w14:paraId="0C578DA1">
      <w:pPr>
        <w:numPr>
          <w:ilvl w:val="1"/>
          <w:numId w:val="3"/>
        </w:numPr>
        <w:spacing w:line="360" w:lineRule="auto"/>
        <w:rPr>
          <w:rFonts w:ascii="宋体"/>
          <w:sz w:val="22"/>
          <w:szCs w:val="22"/>
        </w:rPr>
      </w:pPr>
      <w:r>
        <w:rPr>
          <w:rFonts w:hint="eastAsia" w:ascii="宋体" w:hAnsi="宋体" w:cs="宋体"/>
          <w:sz w:val="22"/>
          <w:szCs w:val="22"/>
        </w:rPr>
        <w:t>投标人在报价时，价格包含一切税费，未作说明的情况下，视同包含一切税费。</w:t>
      </w:r>
    </w:p>
    <w:p w14:paraId="5F352792">
      <w:pPr>
        <w:numPr>
          <w:ilvl w:val="1"/>
          <w:numId w:val="3"/>
        </w:numPr>
        <w:spacing w:line="360" w:lineRule="auto"/>
        <w:rPr>
          <w:rFonts w:ascii="宋体"/>
          <w:color w:val="000000"/>
          <w:sz w:val="22"/>
          <w:szCs w:val="22"/>
        </w:rPr>
      </w:pPr>
      <w:r>
        <w:rPr>
          <w:rFonts w:hint="eastAsia" w:ascii="宋体" w:hAnsi="宋体" w:cs="宋体"/>
          <w:sz w:val="22"/>
          <w:szCs w:val="22"/>
        </w:rPr>
        <w:t>未宣读的投标价格信息，评标时不予承认。</w:t>
      </w:r>
    </w:p>
    <w:p w14:paraId="4D48DD51">
      <w:pPr>
        <w:numPr>
          <w:ilvl w:val="0"/>
          <w:numId w:val="3"/>
        </w:numPr>
        <w:spacing w:line="360" w:lineRule="auto"/>
        <w:rPr>
          <w:rFonts w:ascii="宋体"/>
          <w:color w:val="000000"/>
          <w:sz w:val="22"/>
          <w:szCs w:val="22"/>
        </w:rPr>
      </w:pPr>
      <w:r>
        <w:rPr>
          <w:rFonts w:hint="eastAsia" w:ascii="宋体" w:hAnsi="宋体" w:cs="宋体"/>
          <w:b/>
          <w:bCs/>
          <w:sz w:val="22"/>
          <w:szCs w:val="22"/>
        </w:rPr>
        <w:t>备选方案</w:t>
      </w:r>
    </w:p>
    <w:p w14:paraId="48BC3D90">
      <w:pPr>
        <w:numPr>
          <w:ilvl w:val="1"/>
          <w:numId w:val="3"/>
        </w:numPr>
        <w:spacing w:line="360" w:lineRule="auto"/>
        <w:rPr>
          <w:rFonts w:ascii="宋体"/>
          <w:b w:val="0"/>
          <w:bCs w:val="0"/>
          <w:color w:val="000000"/>
          <w:sz w:val="22"/>
          <w:szCs w:val="22"/>
        </w:rPr>
      </w:pPr>
      <w:r>
        <w:rPr>
          <w:rFonts w:hint="eastAsia" w:ascii="宋体" w:hAnsi="宋体" w:cs="宋体"/>
          <w:b w:val="0"/>
          <w:bCs w:val="0"/>
          <w:sz w:val="22"/>
          <w:szCs w:val="22"/>
        </w:rPr>
        <w:t>本采购项目不接受备选方案投标。</w:t>
      </w:r>
    </w:p>
    <w:p w14:paraId="3B0E2945">
      <w:pPr>
        <w:numPr>
          <w:ilvl w:val="0"/>
          <w:numId w:val="3"/>
        </w:numPr>
        <w:spacing w:line="360" w:lineRule="auto"/>
        <w:rPr>
          <w:rFonts w:ascii="宋体"/>
          <w:b/>
          <w:bCs/>
          <w:color w:val="000000"/>
          <w:sz w:val="22"/>
          <w:szCs w:val="22"/>
        </w:rPr>
      </w:pPr>
      <w:r>
        <w:rPr>
          <w:rFonts w:hint="eastAsia" w:ascii="宋体" w:hAnsi="宋体" w:cs="宋体"/>
          <w:b/>
          <w:bCs/>
          <w:color w:val="000000"/>
          <w:sz w:val="22"/>
          <w:szCs w:val="22"/>
        </w:rPr>
        <w:t>投标人的资格证明文件</w:t>
      </w:r>
    </w:p>
    <w:p w14:paraId="75636C22">
      <w:pPr>
        <w:numPr>
          <w:ilvl w:val="1"/>
          <w:numId w:val="3"/>
        </w:numPr>
        <w:spacing w:line="360" w:lineRule="auto"/>
        <w:rPr>
          <w:rFonts w:ascii="宋体"/>
          <w:b/>
          <w:bCs/>
          <w:color w:val="000000"/>
          <w:sz w:val="22"/>
          <w:szCs w:val="22"/>
        </w:rPr>
      </w:pPr>
      <w:r>
        <w:rPr>
          <w:rFonts w:hint="eastAsia" w:ascii="宋体" w:hAnsi="宋体" w:cs="宋体"/>
          <w:sz w:val="22"/>
          <w:szCs w:val="22"/>
        </w:rPr>
        <w:t>投标人应提交满足资格条件要求的证明文件</w:t>
      </w:r>
      <w:r>
        <w:rPr>
          <w:rFonts w:ascii="宋体" w:cs="宋体"/>
          <w:sz w:val="22"/>
          <w:szCs w:val="22"/>
        </w:rPr>
        <w:t>,</w:t>
      </w:r>
      <w:r>
        <w:rPr>
          <w:rFonts w:hint="eastAsia" w:ascii="宋体" w:hAnsi="宋体" w:cs="宋体"/>
          <w:sz w:val="22"/>
          <w:szCs w:val="22"/>
        </w:rPr>
        <w:t>该证明文件作为投标文件的一部分。</w:t>
      </w:r>
    </w:p>
    <w:p w14:paraId="16809EF2">
      <w:pPr>
        <w:numPr>
          <w:ilvl w:val="0"/>
          <w:numId w:val="3"/>
        </w:numPr>
        <w:spacing w:line="360" w:lineRule="auto"/>
        <w:rPr>
          <w:rFonts w:ascii="宋体"/>
          <w:b/>
          <w:bCs/>
          <w:color w:val="000000"/>
          <w:sz w:val="22"/>
          <w:szCs w:val="22"/>
        </w:rPr>
      </w:pPr>
      <w:r>
        <w:rPr>
          <w:rFonts w:hint="eastAsia" w:ascii="宋体" w:hAnsi="宋体" w:cs="宋体"/>
          <w:b/>
          <w:bCs/>
          <w:sz w:val="22"/>
          <w:szCs w:val="22"/>
        </w:rPr>
        <w:t>投标有效期</w:t>
      </w:r>
    </w:p>
    <w:p w14:paraId="238EF84C">
      <w:pPr>
        <w:numPr>
          <w:ilvl w:val="1"/>
          <w:numId w:val="3"/>
        </w:numPr>
        <w:spacing w:line="360" w:lineRule="auto"/>
        <w:rPr>
          <w:rFonts w:ascii="宋体"/>
          <w:b/>
          <w:bCs/>
          <w:color w:val="000000"/>
          <w:sz w:val="22"/>
          <w:szCs w:val="22"/>
        </w:rPr>
      </w:pPr>
      <w:r>
        <w:rPr>
          <w:rFonts w:hint="eastAsia" w:ascii="宋体" w:hAnsi="宋体" w:cs="宋体"/>
          <w:sz w:val="22"/>
          <w:szCs w:val="22"/>
        </w:rPr>
        <w:t>投标有效期为</w:t>
      </w:r>
      <w:r>
        <w:rPr>
          <w:rFonts w:ascii="宋体" w:hAnsi="宋体" w:cs="宋体"/>
          <w:sz w:val="22"/>
          <w:szCs w:val="22"/>
        </w:rPr>
        <w:t>60</w:t>
      </w:r>
      <w:r>
        <w:rPr>
          <w:rFonts w:hint="eastAsia" w:ascii="宋体" w:hAnsi="宋体" w:cs="宋体"/>
          <w:sz w:val="22"/>
          <w:szCs w:val="22"/>
        </w:rPr>
        <w:t>天，在此期间投标文件对投标人具有法律约束力，以保证采购人有足够的时间完成评标、定标以及签订合同。投标有效期从规定的投标截止之日起计算。</w:t>
      </w:r>
      <w:r>
        <w:rPr>
          <w:rFonts w:hint="eastAsia" w:ascii="宋体" w:hAnsi="宋体" w:cs="宋体"/>
          <w:b/>
          <w:bCs/>
          <w:sz w:val="22"/>
          <w:szCs w:val="22"/>
        </w:rPr>
        <w:t>投标有效期不足的，在评标时将其视为无效投标。</w:t>
      </w:r>
    </w:p>
    <w:p w14:paraId="7280DCF2">
      <w:pPr>
        <w:numPr>
          <w:ilvl w:val="0"/>
          <w:numId w:val="3"/>
        </w:numPr>
        <w:spacing w:line="360" w:lineRule="auto"/>
        <w:rPr>
          <w:rFonts w:ascii="宋体"/>
          <w:b/>
          <w:bCs/>
          <w:color w:val="000000"/>
          <w:sz w:val="22"/>
          <w:szCs w:val="22"/>
        </w:rPr>
      </w:pPr>
      <w:r>
        <w:rPr>
          <w:rFonts w:hint="eastAsia" w:ascii="宋体" w:hAnsi="宋体" w:cs="宋体"/>
          <w:b/>
          <w:bCs/>
          <w:color w:val="000000"/>
          <w:sz w:val="22"/>
          <w:szCs w:val="22"/>
        </w:rPr>
        <w:t>投标文件签署、盖章</w:t>
      </w:r>
    </w:p>
    <w:p w14:paraId="62EFC77F">
      <w:pPr>
        <w:numPr>
          <w:ilvl w:val="1"/>
          <w:numId w:val="3"/>
        </w:numPr>
        <w:spacing w:line="360" w:lineRule="auto"/>
        <w:rPr>
          <w:rFonts w:ascii="宋体"/>
          <w:color w:val="000000"/>
          <w:sz w:val="22"/>
          <w:szCs w:val="22"/>
        </w:rPr>
      </w:pPr>
      <w:r>
        <w:rPr>
          <w:rFonts w:hint="eastAsia" w:ascii="宋体" w:hAnsi="宋体" w:cs="宋体"/>
          <w:color w:val="000000"/>
          <w:sz w:val="22"/>
          <w:szCs w:val="22"/>
        </w:rPr>
        <w:t>投标文件应按照规定的格式填报，且必须编制详细目录，并逐页标注连续页码，其纸张大小统一规定为</w:t>
      </w:r>
      <w:r>
        <w:rPr>
          <w:rFonts w:ascii="宋体" w:hAnsi="宋体" w:cs="宋体"/>
          <w:color w:val="000000"/>
          <w:sz w:val="22"/>
          <w:szCs w:val="22"/>
        </w:rPr>
        <w:t>A4</w:t>
      </w:r>
      <w:r>
        <w:rPr>
          <w:rFonts w:hint="eastAsia" w:ascii="宋体" w:hAnsi="宋体" w:cs="宋体"/>
          <w:color w:val="000000"/>
          <w:sz w:val="22"/>
          <w:szCs w:val="22"/>
        </w:rPr>
        <w:t>。</w:t>
      </w:r>
      <w:r>
        <w:rPr>
          <w:rFonts w:ascii="宋体" w:hAnsi="宋体" w:cs="宋体"/>
          <w:color w:val="000000"/>
          <w:sz w:val="22"/>
          <w:szCs w:val="22"/>
        </w:rPr>
        <w:t xml:space="preserve"> </w:t>
      </w:r>
    </w:p>
    <w:p w14:paraId="76C0CF59">
      <w:pPr>
        <w:numPr>
          <w:ilvl w:val="1"/>
          <w:numId w:val="3"/>
        </w:numPr>
        <w:spacing w:line="360" w:lineRule="auto"/>
        <w:rPr>
          <w:rFonts w:ascii="宋体"/>
          <w:b/>
          <w:bCs/>
          <w:color w:val="000000"/>
          <w:sz w:val="22"/>
          <w:szCs w:val="22"/>
        </w:rPr>
      </w:pPr>
      <w:r>
        <w:rPr>
          <w:rFonts w:hint="eastAsia" w:ascii="宋体" w:hAnsi="宋体" w:cs="宋体"/>
          <w:color w:val="000000"/>
          <w:sz w:val="22"/>
          <w:szCs w:val="22"/>
        </w:rPr>
        <w:t>投标文件正本中除要求由投标人法定代表人或被授权人签字的内容必须签字、盖章，否则按无效投标处理。</w:t>
      </w:r>
    </w:p>
    <w:p w14:paraId="663496A3">
      <w:pPr>
        <w:pStyle w:val="5"/>
        <w:adjustRightInd/>
        <w:spacing w:before="0" w:after="0" w:line="360" w:lineRule="auto"/>
        <w:jc w:val="center"/>
        <w:textAlignment w:val="auto"/>
        <w:rPr>
          <w:rFonts w:ascii="宋体"/>
          <w:b w:val="0"/>
          <w:bCs w:val="0"/>
          <w:kern w:val="2"/>
          <w:sz w:val="32"/>
          <w:szCs w:val="32"/>
        </w:rPr>
      </w:pPr>
      <w:bookmarkStart w:id="37" w:name="_Toc5052"/>
      <w:r>
        <w:rPr>
          <w:rFonts w:hint="eastAsia" w:ascii="宋体" w:hAnsi="宋体" w:cs="宋体"/>
          <w:b w:val="0"/>
          <w:bCs w:val="0"/>
          <w:kern w:val="2"/>
          <w:sz w:val="32"/>
          <w:szCs w:val="32"/>
        </w:rPr>
        <w:t>四、投标文件的递交</w:t>
      </w:r>
      <w:bookmarkEnd w:id="37"/>
    </w:p>
    <w:p w14:paraId="5736FFEB">
      <w:pPr>
        <w:spacing w:line="360" w:lineRule="auto"/>
        <w:rPr>
          <w:rFonts w:ascii="宋体"/>
          <w:color w:val="000000"/>
          <w:sz w:val="22"/>
          <w:szCs w:val="22"/>
        </w:rPr>
      </w:pPr>
    </w:p>
    <w:p w14:paraId="302F7D56">
      <w:pPr>
        <w:numPr>
          <w:ilvl w:val="0"/>
          <w:numId w:val="3"/>
        </w:numPr>
        <w:spacing w:line="360" w:lineRule="auto"/>
        <w:rPr>
          <w:rFonts w:ascii="宋体"/>
          <w:b/>
          <w:bCs/>
          <w:color w:val="000000"/>
          <w:sz w:val="22"/>
          <w:szCs w:val="22"/>
        </w:rPr>
      </w:pPr>
      <w:r>
        <w:rPr>
          <w:rFonts w:hint="eastAsia" w:ascii="宋体" w:hAnsi="宋体" w:cs="宋体"/>
          <w:b/>
          <w:bCs/>
          <w:color w:val="000000"/>
          <w:sz w:val="22"/>
          <w:szCs w:val="22"/>
        </w:rPr>
        <w:t>投标文件的递交</w:t>
      </w:r>
    </w:p>
    <w:p w14:paraId="00CC8A22">
      <w:pPr>
        <w:numPr>
          <w:ilvl w:val="1"/>
          <w:numId w:val="3"/>
        </w:numPr>
        <w:spacing w:line="360" w:lineRule="auto"/>
        <w:rPr>
          <w:rFonts w:ascii="宋体"/>
          <w:color w:val="000000"/>
          <w:sz w:val="22"/>
          <w:szCs w:val="22"/>
        </w:rPr>
      </w:pPr>
      <w:r>
        <w:rPr>
          <w:rFonts w:hint="eastAsia" w:ascii="宋体" w:hAnsi="宋体" w:cs="宋体"/>
          <w:sz w:val="22"/>
          <w:szCs w:val="22"/>
        </w:rPr>
        <w:t>投标文件必须在投标截止时间之前上传到指定的地点。</w:t>
      </w:r>
    </w:p>
    <w:p w14:paraId="1E0199F5">
      <w:pPr>
        <w:numPr>
          <w:ilvl w:val="1"/>
          <w:numId w:val="3"/>
        </w:numPr>
        <w:spacing w:line="360" w:lineRule="auto"/>
        <w:rPr>
          <w:rFonts w:ascii="宋体"/>
          <w:sz w:val="22"/>
          <w:szCs w:val="22"/>
        </w:rPr>
      </w:pPr>
      <w:r>
        <w:rPr>
          <w:rFonts w:hint="eastAsia" w:ascii="宋体" w:hAnsi="宋体" w:cs="宋体"/>
          <w:sz w:val="22"/>
          <w:szCs w:val="22"/>
        </w:rPr>
        <w:t>未提交招标文件规定的资格证明文件和其他文件的，其投标文件拒绝接收。</w:t>
      </w:r>
    </w:p>
    <w:p w14:paraId="1ED8EF32">
      <w:pPr>
        <w:numPr>
          <w:ilvl w:val="1"/>
          <w:numId w:val="3"/>
        </w:numPr>
        <w:spacing w:line="360" w:lineRule="auto"/>
        <w:rPr>
          <w:rFonts w:ascii="宋体"/>
          <w:color w:val="000000"/>
          <w:sz w:val="22"/>
          <w:szCs w:val="22"/>
        </w:rPr>
      </w:pPr>
      <w:r>
        <w:rPr>
          <w:rFonts w:hint="eastAsia" w:ascii="宋体" w:hAnsi="宋体" w:cs="宋体"/>
          <w:color w:val="000000"/>
          <w:sz w:val="22"/>
          <w:szCs w:val="22"/>
        </w:rPr>
        <w:t>投标文件未按照招标文件规定要求签署、盖章的，其投标文件拒绝接收。</w:t>
      </w:r>
    </w:p>
    <w:p w14:paraId="786D9C6D">
      <w:pPr>
        <w:numPr>
          <w:ilvl w:val="1"/>
          <w:numId w:val="3"/>
        </w:numPr>
        <w:spacing w:line="360" w:lineRule="auto"/>
        <w:rPr>
          <w:rFonts w:ascii="宋体"/>
          <w:color w:val="000000"/>
          <w:sz w:val="22"/>
          <w:szCs w:val="22"/>
        </w:rPr>
      </w:pPr>
      <w:r>
        <w:rPr>
          <w:rFonts w:hint="eastAsia" w:ascii="宋体" w:hAnsi="宋体" w:cs="宋体"/>
          <w:color w:val="000000"/>
          <w:sz w:val="22"/>
          <w:szCs w:val="22"/>
        </w:rPr>
        <w:t>未参加投标报名的，其投标文件拒绝接收。</w:t>
      </w:r>
    </w:p>
    <w:p w14:paraId="421C1A21">
      <w:pPr>
        <w:numPr>
          <w:ilvl w:val="1"/>
          <w:numId w:val="3"/>
        </w:numPr>
        <w:spacing w:line="360" w:lineRule="auto"/>
        <w:rPr>
          <w:rFonts w:ascii="宋体"/>
          <w:b w:val="0"/>
          <w:bCs w:val="0"/>
          <w:color w:val="000000"/>
          <w:sz w:val="22"/>
          <w:szCs w:val="22"/>
        </w:rPr>
      </w:pPr>
      <w:r>
        <w:rPr>
          <w:rFonts w:hint="eastAsia" w:ascii="宋体" w:hAnsi="宋体" w:cs="宋体"/>
          <w:b w:val="0"/>
          <w:bCs w:val="0"/>
          <w:color w:val="000000"/>
          <w:sz w:val="22"/>
          <w:szCs w:val="22"/>
        </w:rPr>
        <w:t>投标人名称与投标报名时的名称不一致者且未提供有效证明的，其投标文件拒绝接收。</w:t>
      </w:r>
    </w:p>
    <w:p w14:paraId="6462E564">
      <w:pPr>
        <w:numPr>
          <w:ilvl w:val="0"/>
          <w:numId w:val="3"/>
        </w:numPr>
        <w:tabs>
          <w:tab w:val="left" w:pos="567"/>
          <w:tab w:val="clear" w:pos="425"/>
        </w:tabs>
        <w:spacing w:line="360" w:lineRule="auto"/>
        <w:rPr>
          <w:rFonts w:ascii="宋体"/>
          <w:b/>
          <w:bCs/>
          <w:sz w:val="24"/>
          <w:szCs w:val="24"/>
        </w:rPr>
      </w:pPr>
      <w:r>
        <w:rPr>
          <w:rFonts w:hint="eastAsia" w:ascii="宋体" w:hAnsi="宋体" w:cs="宋体"/>
          <w:b/>
          <w:bCs/>
          <w:sz w:val="24"/>
          <w:szCs w:val="24"/>
        </w:rPr>
        <w:t>投标文件的修改和撤回</w:t>
      </w:r>
    </w:p>
    <w:p w14:paraId="03A04CBD">
      <w:pPr>
        <w:numPr>
          <w:ilvl w:val="1"/>
          <w:numId w:val="3"/>
        </w:numPr>
        <w:spacing w:line="360" w:lineRule="auto"/>
        <w:rPr>
          <w:rFonts w:ascii="宋体"/>
          <w:b/>
          <w:bCs/>
          <w:sz w:val="22"/>
          <w:szCs w:val="22"/>
        </w:rPr>
      </w:pPr>
      <w:r>
        <w:rPr>
          <w:rFonts w:hint="eastAsia" w:ascii="宋体" w:hAnsi="宋体" w:cs="宋体"/>
          <w:sz w:val="22"/>
          <w:szCs w:val="22"/>
        </w:rPr>
        <w:t>投标人在投标截止时间前，可以对所递交的投标文件进行补充、修改或者撤回，并书面通知采购人或者采购代理机构。补充、修改的内容应当按照招标文件要求签署、盖章后，作为投标文件的组成部分。</w:t>
      </w:r>
    </w:p>
    <w:p w14:paraId="0780E178">
      <w:pPr>
        <w:numPr>
          <w:ilvl w:val="1"/>
          <w:numId w:val="3"/>
        </w:numPr>
        <w:spacing w:line="360" w:lineRule="auto"/>
        <w:rPr>
          <w:rFonts w:ascii="宋体"/>
          <w:b/>
          <w:bCs/>
          <w:sz w:val="22"/>
          <w:szCs w:val="22"/>
        </w:rPr>
      </w:pPr>
      <w:r>
        <w:rPr>
          <w:rFonts w:hint="eastAsia" w:ascii="宋体" w:hAnsi="宋体" w:cs="宋体"/>
          <w:sz w:val="22"/>
          <w:szCs w:val="22"/>
        </w:rPr>
        <w:t>修改、补充的内容为投标文件的组成部分。修改、补充的投标文件应按规定编制、签署、标记和递交，并标明“修改、补充”字样。</w:t>
      </w:r>
    </w:p>
    <w:p w14:paraId="5725BBFF">
      <w:pPr>
        <w:pStyle w:val="5"/>
        <w:adjustRightInd/>
        <w:spacing w:before="0" w:after="0" w:line="360" w:lineRule="auto"/>
        <w:jc w:val="center"/>
        <w:textAlignment w:val="auto"/>
        <w:rPr>
          <w:rFonts w:ascii="宋体"/>
          <w:b w:val="0"/>
          <w:bCs w:val="0"/>
          <w:kern w:val="2"/>
          <w:sz w:val="32"/>
          <w:szCs w:val="32"/>
        </w:rPr>
      </w:pPr>
      <w:bookmarkStart w:id="38" w:name="_Toc3678"/>
      <w:r>
        <w:rPr>
          <w:rFonts w:hint="eastAsia" w:ascii="宋体" w:hAnsi="宋体" w:cs="宋体"/>
          <w:b w:val="0"/>
          <w:bCs w:val="0"/>
          <w:kern w:val="2"/>
          <w:sz w:val="32"/>
          <w:szCs w:val="32"/>
        </w:rPr>
        <w:t>五、开标、评标与定标</w:t>
      </w:r>
      <w:bookmarkEnd w:id="38"/>
    </w:p>
    <w:p w14:paraId="1F27DC3D">
      <w:pPr>
        <w:numPr>
          <w:ilvl w:val="0"/>
          <w:numId w:val="3"/>
        </w:numPr>
        <w:spacing w:line="360" w:lineRule="auto"/>
        <w:rPr>
          <w:rFonts w:ascii="宋体"/>
          <w:b/>
          <w:bCs/>
          <w:color w:val="000000"/>
          <w:sz w:val="22"/>
          <w:szCs w:val="22"/>
        </w:rPr>
      </w:pPr>
      <w:r>
        <w:rPr>
          <w:rFonts w:hint="eastAsia" w:ascii="宋体" w:hAnsi="宋体" w:cs="宋体"/>
          <w:b/>
          <w:bCs/>
          <w:color w:val="000000"/>
          <w:sz w:val="22"/>
          <w:szCs w:val="22"/>
        </w:rPr>
        <w:t>开标</w:t>
      </w:r>
    </w:p>
    <w:p w14:paraId="625109C2">
      <w:pPr>
        <w:spacing w:line="360" w:lineRule="auto"/>
        <w:ind w:firstLine="643" w:firstLineChars="200"/>
        <w:rPr>
          <w:rFonts w:ascii="宋体"/>
          <w:b/>
          <w:bCs/>
          <w:sz w:val="32"/>
          <w:szCs w:val="32"/>
        </w:rPr>
      </w:pPr>
      <w:r>
        <w:rPr>
          <w:rFonts w:hint="eastAsia" w:ascii="宋体" w:hAnsi="宋体" w:cs="宋体"/>
          <w:b/>
          <w:bCs/>
          <w:sz w:val="32"/>
          <w:szCs w:val="32"/>
        </w:rPr>
        <w:t>本项目招投标流程以现行电子开标程序为主（登录陇南市公共资源交易网首页“下载中心”，下载政府采购全流程电子化开评标系统操作手册）。</w:t>
      </w:r>
    </w:p>
    <w:p w14:paraId="5C7844F3">
      <w:pPr>
        <w:numPr>
          <w:ilvl w:val="0"/>
          <w:numId w:val="3"/>
        </w:numPr>
        <w:spacing w:line="360" w:lineRule="auto"/>
        <w:rPr>
          <w:rFonts w:ascii="宋体"/>
          <w:b/>
          <w:bCs/>
          <w:color w:val="000000"/>
          <w:sz w:val="22"/>
          <w:szCs w:val="22"/>
        </w:rPr>
      </w:pPr>
      <w:r>
        <w:rPr>
          <w:rFonts w:hint="eastAsia" w:ascii="宋体" w:hAnsi="宋体" w:cs="宋体"/>
          <w:b/>
          <w:bCs/>
          <w:color w:val="000000"/>
          <w:sz w:val="22"/>
          <w:szCs w:val="22"/>
        </w:rPr>
        <w:t>评标</w:t>
      </w:r>
    </w:p>
    <w:p w14:paraId="0C1FC5C8">
      <w:pPr>
        <w:numPr>
          <w:ilvl w:val="1"/>
          <w:numId w:val="3"/>
        </w:numPr>
        <w:spacing w:line="360" w:lineRule="auto"/>
        <w:rPr>
          <w:rFonts w:ascii="宋体"/>
          <w:sz w:val="22"/>
          <w:szCs w:val="22"/>
        </w:rPr>
      </w:pPr>
      <w:r>
        <w:rPr>
          <w:rFonts w:hint="eastAsia" w:ascii="宋体" w:hAnsi="宋体" w:cs="宋体"/>
          <w:sz w:val="22"/>
          <w:szCs w:val="22"/>
        </w:rPr>
        <w:t>开标前半小时，采购人将立即组织评标委员会（以下简称评委会）进行评标。</w:t>
      </w:r>
    </w:p>
    <w:p w14:paraId="13A0A607">
      <w:pPr>
        <w:numPr>
          <w:ilvl w:val="0"/>
          <w:numId w:val="0"/>
        </w:numPr>
        <w:spacing w:line="360" w:lineRule="auto"/>
        <w:ind w:leftChars="0"/>
        <w:rPr>
          <w:rFonts w:ascii="宋体"/>
          <w:sz w:val="22"/>
          <w:szCs w:val="22"/>
        </w:rPr>
      </w:pPr>
      <w:r>
        <w:rPr>
          <w:rFonts w:hint="eastAsia" w:ascii="宋体" w:hAnsi="宋体" w:cs="宋体"/>
          <w:sz w:val="22"/>
          <w:szCs w:val="22"/>
        </w:rPr>
        <w:t>评委会由行业专家、采购人代表组成，且人员构成符合相关规定。</w:t>
      </w:r>
    </w:p>
    <w:p w14:paraId="60E7229E">
      <w:pPr>
        <w:spacing w:line="360" w:lineRule="auto"/>
        <w:ind w:firstLine="440" w:firstLineChars="200"/>
        <w:rPr>
          <w:rFonts w:ascii="宋体"/>
          <w:b w:val="0"/>
          <w:bCs w:val="0"/>
          <w:sz w:val="22"/>
          <w:szCs w:val="22"/>
        </w:rPr>
      </w:pPr>
      <w:r>
        <w:rPr>
          <w:rFonts w:hint="eastAsia" w:ascii="宋体" w:hAnsi="宋体" w:cs="宋体"/>
          <w:sz w:val="22"/>
          <w:szCs w:val="22"/>
        </w:rPr>
        <w:t>评标由采购人依法组建的评标委员会负责。评标委员会由有关技术、经济等方面的专家</w:t>
      </w:r>
      <w:r>
        <w:rPr>
          <w:rFonts w:hint="eastAsia" w:ascii="宋体" w:hAnsi="宋体" w:cs="宋体"/>
          <w:sz w:val="22"/>
          <w:szCs w:val="22"/>
          <w:lang w:eastAsia="zh-CN"/>
        </w:rPr>
        <w:t>以</w:t>
      </w:r>
      <w:r>
        <w:rPr>
          <w:rFonts w:hint="eastAsia" w:ascii="宋体" w:hAnsi="宋体" w:cs="宋体"/>
          <w:sz w:val="22"/>
          <w:szCs w:val="22"/>
        </w:rPr>
        <w:t>单数组成，评标专家从陇南市公共资源交易中心评标专家库中随机抽取产生。</w:t>
      </w:r>
      <w:r>
        <w:rPr>
          <w:rFonts w:hint="eastAsia" w:ascii="宋体" w:hAnsi="宋体" w:cs="宋体"/>
          <w:b w:val="0"/>
          <w:bCs w:val="0"/>
          <w:sz w:val="22"/>
          <w:szCs w:val="22"/>
        </w:rPr>
        <w:t>采购人代表须出具采购单位的授权函。</w:t>
      </w:r>
    </w:p>
    <w:p w14:paraId="3EE2241A">
      <w:pPr>
        <w:numPr>
          <w:ilvl w:val="1"/>
          <w:numId w:val="3"/>
        </w:numPr>
        <w:spacing w:line="360" w:lineRule="auto"/>
        <w:rPr>
          <w:rFonts w:ascii="宋体"/>
          <w:sz w:val="22"/>
          <w:szCs w:val="22"/>
        </w:rPr>
      </w:pPr>
      <w:r>
        <w:rPr>
          <w:rFonts w:hint="eastAsia" w:ascii="宋体" w:hAnsi="宋体" w:cs="宋体"/>
          <w:sz w:val="22"/>
          <w:szCs w:val="22"/>
        </w:rPr>
        <w:t>评标委员会负责具体评标事务，并独立履行下列职责：</w:t>
      </w:r>
    </w:p>
    <w:p w14:paraId="2C03BD30">
      <w:pPr>
        <w:numPr>
          <w:ilvl w:val="0"/>
          <w:numId w:val="4"/>
        </w:numPr>
        <w:tabs>
          <w:tab w:val="left" w:pos="567"/>
        </w:tabs>
        <w:spacing w:line="360" w:lineRule="auto"/>
        <w:rPr>
          <w:rFonts w:ascii="宋体"/>
          <w:sz w:val="22"/>
          <w:szCs w:val="22"/>
        </w:rPr>
      </w:pPr>
      <w:r>
        <w:rPr>
          <w:rFonts w:hint="eastAsia" w:ascii="宋体" w:hAnsi="宋体" w:cs="宋体"/>
          <w:sz w:val="22"/>
          <w:szCs w:val="22"/>
        </w:rPr>
        <w:t>审查、评价投标文件是否符合招标文件的商务、技术等实质性要求；</w:t>
      </w:r>
      <w:r>
        <w:rPr>
          <w:rFonts w:ascii="宋体" w:hAnsi="宋体" w:cs="宋体"/>
          <w:sz w:val="22"/>
          <w:szCs w:val="22"/>
        </w:rPr>
        <w:t xml:space="preserve"> </w:t>
      </w:r>
    </w:p>
    <w:p w14:paraId="66016BA4">
      <w:pPr>
        <w:numPr>
          <w:ilvl w:val="0"/>
          <w:numId w:val="4"/>
        </w:numPr>
        <w:tabs>
          <w:tab w:val="left" w:pos="567"/>
        </w:tabs>
        <w:spacing w:line="360" w:lineRule="auto"/>
        <w:rPr>
          <w:rFonts w:ascii="宋体"/>
          <w:sz w:val="22"/>
          <w:szCs w:val="22"/>
        </w:rPr>
      </w:pPr>
      <w:r>
        <w:rPr>
          <w:rFonts w:hint="eastAsia" w:ascii="宋体" w:hAnsi="宋体" w:cs="宋体"/>
          <w:sz w:val="22"/>
          <w:szCs w:val="22"/>
        </w:rPr>
        <w:t>要求投标人对投标文件有关事项作出澄清或者说明；</w:t>
      </w:r>
      <w:r>
        <w:rPr>
          <w:rFonts w:ascii="宋体" w:hAnsi="宋体" w:cs="宋体"/>
          <w:sz w:val="22"/>
          <w:szCs w:val="22"/>
        </w:rPr>
        <w:t xml:space="preserve"> </w:t>
      </w:r>
    </w:p>
    <w:p w14:paraId="2A22A178">
      <w:pPr>
        <w:tabs>
          <w:tab w:val="left" w:pos="567"/>
        </w:tabs>
        <w:spacing w:line="360" w:lineRule="auto"/>
        <w:ind w:firstLine="440" w:firstLineChars="200"/>
        <w:rPr>
          <w:rFonts w:ascii="宋体"/>
          <w:sz w:val="22"/>
          <w:szCs w:val="22"/>
        </w:rPr>
      </w:pPr>
      <w:r>
        <w:rPr>
          <w:rFonts w:hint="eastAsia" w:ascii="宋体" w:hAnsi="宋体" w:cs="宋体"/>
          <w:sz w:val="22"/>
          <w:szCs w:val="22"/>
        </w:rPr>
        <w:t>（三）对投标文件进行比较和评价；</w:t>
      </w:r>
      <w:r>
        <w:rPr>
          <w:rFonts w:ascii="宋体" w:hAnsi="宋体" w:cs="宋体"/>
          <w:sz w:val="22"/>
          <w:szCs w:val="22"/>
        </w:rPr>
        <w:t xml:space="preserve"> </w:t>
      </w:r>
    </w:p>
    <w:p w14:paraId="31999D91">
      <w:pPr>
        <w:tabs>
          <w:tab w:val="left" w:pos="567"/>
        </w:tabs>
        <w:spacing w:line="360" w:lineRule="auto"/>
        <w:ind w:firstLine="440" w:firstLineChars="200"/>
        <w:rPr>
          <w:rFonts w:ascii="宋体"/>
          <w:sz w:val="22"/>
          <w:szCs w:val="22"/>
        </w:rPr>
      </w:pPr>
      <w:r>
        <w:rPr>
          <w:rFonts w:hint="eastAsia" w:ascii="宋体" w:hAnsi="宋体" w:cs="宋体"/>
          <w:sz w:val="22"/>
          <w:szCs w:val="22"/>
        </w:rPr>
        <w:t>（四）确定中标候选人名单，以及根据采购人委托直接确定中标人；</w:t>
      </w:r>
      <w:r>
        <w:rPr>
          <w:rFonts w:ascii="宋体" w:hAnsi="宋体" w:cs="宋体"/>
          <w:sz w:val="22"/>
          <w:szCs w:val="22"/>
        </w:rPr>
        <w:t xml:space="preserve"> </w:t>
      </w:r>
    </w:p>
    <w:p w14:paraId="21AF0AC1">
      <w:pPr>
        <w:tabs>
          <w:tab w:val="left" w:pos="567"/>
        </w:tabs>
        <w:spacing w:line="360" w:lineRule="auto"/>
        <w:ind w:firstLine="440" w:firstLineChars="200"/>
        <w:rPr>
          <w:rFonts w:ascii="宋体"/>
          <w:sz w:val="22"/>
          <w:szCs w:val="22"/>
        </w:rPr>
      </w:pPr>
      <w:r>
        <w:rPr>
          <w:rFonts w:hint="eastAsia" w:ascii="宋体" w:hAnsi="宋体" w:cs="宋体"/>
          <w:sz w:val="22"/>
          <w:szCs w:val="22"/>
        </w:rPr>
        <w:t>（五）向采购人、采购代理机构或者有关部门报告评标中发现的违法行为。</w:t>
      </w:r>
    </w:p>
    <w:p w14:paraId="7968C593">
      <w:pPr>
        <w:numPr>
          <w:ilvl w:val="1"/>
          <w:numId w:val="3"/>
        </w:numPr>
        <w:tabs>
          <w:tab w:val="left" w:pos="425"/>
        </w:tabs>
        <w:spacing w:line="360" w:lineRule="auto"/>
        <w:rPr>
          <w:rFonts w:ascii="宋体"/>
          <w:b/>
          <w:bCs/>
          <w:sz w:val="22"/>
          <w:szCs w:val="22"/>
        </w:rPr>
      </w:pPr>
      <w:r>
        <w:rPr>
          <w:rFonts w:ascii="宋体" w:hAnsi="宋体" w:cs="宋体"/>
          <w:sz w:val="22"/>
          <w:szCs w:val="22"/>
        </w:rPr>
        <w:t xml:space="preserve"> </w:t>
      </w:r>
      <w:r>
        <w:rPr>
          <w:rFonts w:hint="eastAsia" w:ascii="宋体" w:hAnsi="宋体" w:cs="宋体"/>
          <w:sz w:val="22"/>
          <w:szCs w:val="22"/>
        </w:rPr>
        <w:t>评标委员会成员与投标人存在利害关系的，应当回避。</w:t>
      </w:r>
    </w:p>
    <w:p w14:paraId="64334165">
      <w:pPr>
        <w:numPr>
          <w:ilvl w:val="1"/>
          <w:numId w:val="3"/>
        </w:numPr>
        <w:spacing w:line="360" w:lineRule="auto"/>
        <w:rPr>
          <w:rFonts w:ascii="宋体"/>
          <w:b/>
          <w:bCs/>
          <w:sz w:val="22"/>
          <w:szCs w:val="22"/>
        </w:rPr>
      </w:pPr>
      <w:r>
        <w:rPr>
          <w:rFonts w:hint="eastAsia" w:ascii="宋体" w:hAnsi="宋体" w:cs="宋体"/>
          <w:sz w:val="22"/>
          <w:szCs w:val="22"/>
        </w:rPr>
        <w:t>评标委员会应当对符合资格的投标人的投标文件进行符合性审查，以确定其是否满足招标文件的实质性要求。</w:t>
      </w:r>
    </w:p>
    <w:p w14:paraId="2FB17C90">
      <w:pPr>
        <w:numPr>
          <w:ilvl w:val="1"/>
          <w:numId w:val="3"/>
        </w:numPr>
        <w:spacing w:line="360" w:lineRule="auto"/>
        <w:rPr>
          <w:rFonts w:ascii="宋体"/>
          <w:b/>
          <w:bCs/>
          <w:sz w:val="22"/>
          <w:szCs w:val="22"/>
        </w:rPr>
      </w:pPr>
      <w:r>
        <w:rPr>
          <w:rFonts w:hint="eastAsia" w:ascii="宋体" w:hAnsi="宋体" w:cs="宋体"/>
          <w:sz w:val="22"/>
          <w:szCs w:val="22"/>
        </w:rPr>
        <w:t>评标委员会应当按照招标文件中规定的评标方法和标准，对符合性审查合格的投标文件进行商务和技术评估，综合比较与评价。</w:t>
      </w:r>
    </w:p>
    <w:p w14:paraId="30AF290C">
      <w:pPr>
        <w:numPr>
          <w:ilvl w:val="1"/>
          <w:numId w:val="3"/>
        </w:numPr>
        <w:spacing w:line="360" w:lineRule="auto"/>
        <w:rPr>
          <w:rFonts w:ascii="宋体"/>
          <w:sz w:val="22"/>
          <w:szCs w:val="22"/>
        </w:rPr>
      </w:pPr>
      <w:r>
        <w:rPr>
          <w:rFonts w:hint="eastAsia" w:ascii="宋体" w:hAnsi="宋体" w:cs="宋体"/>
          <w:sz w:val="22"/>
          <w:szCs w:val="22"/>
        </w:rPr>
        <w:t>评委会应以科学、公正的态度参加评审工作并推荐中标候选人。评审专家在评审过程中不受任何干扰，独立、负责地提出评审意见，并对自己的评审意见承担责任。</w:t>
      </w:r>
    </w:p>
    <w:p w14:paraId="135E3467">
      <w:pPr>
        <w:numPr>
          <w:ilvl w:val="1"/>
          <w:numId w:val="3"/>
        </w:numPr>
        <w:spacing w:line="360" w:lineRule="auto"/>
        <w:rPr>
          <w:rFonts w:ascii="宋体"/>
          <w:sz w:val="22"/>
          <w:szCs w:val="22"/>
        </w:rPr>
      </w:pPr>
      <w:r>
        <w:rPr>
          <w:rFonts w:hint="eastAsia" w:ascii="宋体" w:hAnsi="宋体" w:cs="宋体"/>
          <w:sz w:val="22"/>
          <w:szCs w:val="22"/>
        </w:rPr>
        <w:t>评委会将对投标人的商业、技术秘密予以保密。</w:t>
      </w:r>
    </w:p>
    <w:p w14:paraId="478D3005">
      <w:pPr>
        <w:numPr>
          <w:ilvl w:val="1"/>
          <w:numId w:val="3"/>
        </w:numPr>
        <w:spacing w:line="360" w:lineRule="auto"/>
        <w:rPr>
          <w:rFonts w:ascii="宋体"/>
          <w:sz w:val="22"/>
          <w:szCs w:val="22"/>
        </w:rPr>
      </w:pPr>
      <w:r>
        <w:rPr>
          <w:rFonts w:hint="eastAsia" w:ascii="宋体" w:hAnsi="宋体" w:cs="宋体"/>
          <w:sz w:val="22"/>
          <w:szCs w:val="22"/>
        </w:rPr>
        <w:t>评标时，评标委员会各成员应当独立对每个投标人的投标文件进行评价，并汇总每个投标人的得分。</w:t>
      </w:r>
    </w:p>
    <w:p w14:paraId="6C0B4942">
      <w:pPr>
        <w:numPr>
          <w:ilvl w:val="1"/>
          <w:numId w:val="3"/>
        </w:numPr>
        <w:spacing w:line="360" w:lineRule="auto"/>
        <w:rPr>
          <w:rFonts w:ascii="宋体"/>
          <w:sz w:val="22"/>
          <w:szCs w:val="22"/>
        </w:rPr>
      </w:pPr>
      <w:r>
        <w:rPr>
          <w:rFonts w:hint="eastAsia" w:ascii="宋体" w:hAnsi="宋体" w:cs="宋体"/>
          <w:sz w:val="22"/>
          <w:szCs w:val="22"/>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37AE652">
      <w:pPr>
        <w:numPr>
          <w:ilvl w:val="1"/>
          <w:numId w:val="3"/>
        </w:numPr>
        <w:spacing w:line="360" w:lineRule="auto"/>
        <w:rPr>
          <w:rFonts w:ascii="宋体"/>
          <w:sz w:val="22"/>
          <w:szCs w:val="22"/>
        </w:rPr>
      </w:pPr>
      <w:r>
        <w:rPr>
          <w:rFonts w:hint="eastAsia" w:ascii="宋体" w:hAnsi="宋体" w:cs="宋体"/>
          <w:sz w:val="22"/>
          <w:szCs w:val="22"/>
        </w:rPr>
        <w:t>评标结果汇总完成后，除下列情形外，任何人不得修改评标结果：</w:t>
      </w:r>
      <w:r>
        <w:rPr>
          <w:rFonts w:ascii="宋体" w:hAnsi="宋体" w:cs="宋体"/>
          <w:sz w:val="22"/>
          <w:szCs w:val="22"/>
        </w:rPr>
        <w:t xml:space="preserve"> </w:t>
      </w:r>
    </w:p>
    <w:p w14:paraId="15B9A144">
      <w:pPr>
        <w:numPr>
          <w:ilvl w:val="0"/>
          <w:numId w:val="5"/>
        </w:numPr>
        <w:tabs>
          <w:tab w:val="left" w:pos="567"/>
        </w:tabs>
        <w:spacing w:line="360" w:lineRule="auto"/>
        <w:rPr>
          <w:rFonts w:ascii="宋体"/>
          <w:sz w:val="22"/>
          <w:szCs w:val="22"/>
        </w:rPr>
      </w:pPr>
      <w:r>
        <w:rPr>
          <w:rFonts w:hint="eastAsia" w:ascii="宋体" w:hAnsi="宋体" w:cs="宋体"/>
          <w:sz w:val="22"/>
          <w:szCs w:val="22"/>
        </w:rPr>
        <w:t>分值汇总计算错误的；</w:t>
      </w:r>
    </w:p>
    <w:p w14:paraId="40B2BDDB">
      <w:pPr>
        <w:numPr>
          <w:ilvl w:val="0"/>
          <w:numId w:val="5"/>
        </w:numPr>
        <w:tabs>
          <w:tab w:val="left" w:pos="567"/>
        </w:tabs>
        <w:spacing w:line="360" w:lineRule="auto"/>
        <w:rPr>
          <w:rFonts w:ascii="宋体"/>
          <w:sz w:val="22"/>
          <w:szCs w:val="22"/>
        </w:rPr>
      </w:pPr>
      <w:r>
        <w:rPr>
          <w:rFonts w:hint="eastAsia" w:ascii="宋体" w:hAnsi="宋体" w:cs="宋体"/>
          <w:sz w:val="22"/>
          <w:szCs w:val="22"/>
        </w:rPr>
        <w:t>分项评分超出评分标准范围的；</w:t>
      </w:r>
    </w:p>
    <w:p w14:paraId="27585D27">
      <w:pPr>
        <w:numPr>
          <w:ilvl w:val="0"/>
          <w:numId w:val="5"/>
        </w:numPr>
        <w:tabs>
          <w:tab w:val="left" w:pos="567"/>
        </w:tabs>
        <w:spacing w:line="360" w:lineRule="auto"/>
        <w:rPr>
          <w:rFonts w:ascii="宋体"/>
          <w:sz w:val="22"/>
          <w:szCs w:val="22"/>
        </w:rPr>
      </w:pPr>
      <w:r>
        <w:rPr>
          <w:rFonts w:hint="eastAsia" w:ascii="宋体" w:hAnsi="宋体" w:cs="宋体"/>
          <w:sz w:val="22"/>
          <w:szCs w:val="22"/>
        </w:rPr>
        <w:t>评标委员会成员对客观评审因素评分不一致的；</w:t>
      </w:r>
    </w:p>
    <w:p w14:paraId="455C62DE">
      <w:pPr>
        <w:numPr>
          <w:ilvl w:val="0"/>
          <w:numId w:val="5"/>
        </w:numPr>
        <w:tabs>
          <w:tab w:val="left" w:pos="567"/>
        </w:tabs>
        <w:spacing w:line="360" w:lineRule="auto"/>
        <w:rPr>
          <w:rFonts w:ascii="宋体"/>
          <w:sz w:val="22"/>
          <w:szCs w:val="22"/>
        </w:rPr>
      </w:pPr>
      <w:r>
        <w:rPr>
          <w:rFonts w:hint="eastAsia" w:ascii="宋体" w:hAnsi="宋体" w:cs="宋体"/>
          <w:sz w:val="22"/>
          <w:szCs w:val="22"/>
        </w:rPr>
        <w:t>经评标委员会认定评分畸高、畸低的。</w:t>
      </w:r>
    </w:p>
    <w:p w14:paraId="6B868BB5">
      <w:pPr>
        <w:tabs>
          <w:tab w:val="left" w:pos="567"/>
        </w:tabs>
        <w:spacing w:line="360" w:lineRule="auto"/>
        <w:ind w:left="630"/>
        <w:rPr>
          <w:rFonts w:ascii="宋体"/>
          <w:sz w:val="22"/>
          <w:szCs w:val="22"/>
        </w:rPr>
      </w:pPr>
      <w:r>
        <w:rPr>
          <w:rFonts w:hint="eastAsia" w:ascii="宋体" w:hAnsi="宋体" w:cs="宋体"/>
          <w:sz w:val="22"/>
          <w:szCs w:val="22"/>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222D2F40">
      <w:pPr>
        <w:tabs>
          <w:tab w:val="left" w:pos="567"/>
        </w:tabs>
        <w:spacing w:line="360" w:lineRule="auto"/>
        <w:ind w:left="630"/>
        <w:rPr>
          <w:rFonts w:ascii="宋体"/>
          <w:sz w:val="22"/>
          <w:szCs w:val="22"/>
        </w:rPr>
      </w:pPr>
      <w:r>
        <w:rPr>
          <w:rFonts w:hint="eastAsia" w:ascii="宋体" w:hAnsi="宋体" w:cs="宋体"/>
          <w:sz w:val="22"/>
          <w:szCs w:val="22"/>
        </w:rPr>
        <w:t>投标人对本条第一款情形提出质疑的，采购人或者采购代理机构可以组织原评标委员会进行重新评审，重新评审改变评标结果的，应当书面报告本级财政部门。</w:t>
      </w:r>
      <w:r>
        <w:rPr>
          <w:rFonts w:ascii="宋体" w:hAnsi="宋体" w:cs="宋体"/>
          <w:sz w:val="22"/>
          <w:szCs w:val="22"/>
        </w:rPr>
        <w:t xml:space="preserve"> </w:t>
      </w:r>
    </w:p>
    <w:p w14:paraId="1BBE5504">
      <w:pPr>
        <w:numPr>
          <w:ilvl w:val="0"/>
          <w:numId w:val="3"/>
        </w:numPr>
        <w:tabs>
          <w:tab w:val="left" w:pos="567"/>
          <w:tab w:val="clear" w:pos="425"/>
        </w:tabs>
        <w:spacing w:line="360" w:lineRule="auto"/>
        <w:rPr>
          <w:rFonts w:ascii="宋体"/>
          <w:b/>
          <w:bCs/>
          <w:sz w:val="24"/>
          <w:szCs w:val="24"/>
        </w:rPr>
      </w:pPr>
      <w:r>
        <w:rPr>
          <w:rFonts w:hint="eastAsia" w:ascii="宋体" w:hAnsi="宋体" w:cs="宋体"/>
          <w:b/>
          <w:bCs/>
          <w:sz w:val="24"/>
          <w:szCs w:val="24"/>
        </w:rPr>
        <w:t>评标过程的保密与公正</w:t>
      </w:r>
    </w:p>
    <w:p w14:paraId="6778189D">
      <w:pPr>
        <w:numPr>
          <w:ilvl w:val="1"/>
          <w:numId w:val="3"/>
        </w:numPr>
        <w:spacing w:line="360" w:lineRule="auto"/>
        <w:rPr>
          <w:rFonts w:ascii="宋体"/>
          <w:sz w:val="22"/>
          <w:szCs w:val="22"/>
        </w:rPr>
      </w:pPr>
      <w:r>
        <w:rPr>
          <w:rFonts w:hint="eastAsia" w:ascii="宋体" w:hAnsi="宋体" w:cs="宋体"/>
          <w:sz w:val="22"/>
          <w:szCs w:val="22"/>
        </w:rPr>
        <w:t>公开开标后，直至向中标的投标人授予合同时止，凡是与审查、澄清、评价和比较投标的有关资料以及授标建议等，均不得向投标或与评标无关的其他人员透露。</w:t>
      </w:r>
    </w:p>
    <w:p w14:paraId="02645214">
      <w:pPr>
        <w:numPr>
          <w:ilvl w:val="1"/>
          <w:numId w:val="3"/>
        </w:numPr>
        <w:spacing w:line="360" w:lineRule="auto"/>
        <w:rPr>
          <w:rFonts w:ascii="宋体"/>
          <w:sz w:val="22"/>
          <w:szCs w:val="22"/>
        </w:rPr>
      </w:pPr>
      <w:r>
        <w:rPr>
          <w:rFonts w:hint="eastAsia" w:ascii="宋体" w:hAnsi="宋体" w:cs="宋体"/>
          <w:sz w:val="22"/>
          <w:szCs w:val="22"/>
        </w:rPr>
        <w:t>评标委员会成员名单在评标结果公告前应当保密。</w:t>
      </w:r>
    </w:p>
    <w:p w14:paraId="59987362">
      <w:pPr>
        <w:numPr>
          <w:ilvl w:val="1"/>
          <w:numId w:val="3"/>
        </w:numPr>
        <w:spacing w:line="360" w:lineRule="auto"/>
        <w:rPr>
          <w:rFonts w:ascii="宋体"/>
          <w:sz w:val="22"/>
          <w:szCs w:val="22"/>
        </w:rPr>
      </w:pPr>
      <w:r>
        <w:rPr>
          <w:rFonts w:hint="eastAsia" w:ascii="宋体" w:hAnsi="宋体" w:cs="宋体"/>
          <w:sz w:val="22"/>
          <w:szCs w:val="22"/>
        </w:rPr>
        <w:t>陇南市公共资源交易中心保证评标在严格保密的情况下进行。除采购人代表、评标现场组织人员外，采购人的其他工作人员以及与评标工作无关的人员不得进入评标现场。</w:t>
      </w:r>
    </w:p>
    <w:p w14:paraId="4B95D614">
      <w:pPr>
        <w:numPr>
          <w:ilvl w:val="0"/>
          <w:numId w:val="3"/>
        </w:numPr>
        <w:tabs>
          <w:tab w:val="left" w:pos="567"/>
          <w:tab w:val="clear" w:pos="425"/>
        </w:tabs>
        <w:spacing w:line="360" w:lineRule="auto"/>
        <w:rPr>
          <w:rFonts w:ascii="宋体"/>
          <w:b/>
          <w:bCs/>
          <w:sz w:val="24"/>
          <w:szCs w:val="24"/>
        </w:rPr>
      </w:pPr>
      <w:r>
        <w:rPr>
          <w:rFonts w:hint="eastAsia" w:ascii="宋体" w:hAnsi="宋体" w:cs="宋体"/>
          <w:b/>
          <w:bCs/>
          <w:sz w:val="24"/>
          <w:szCs w:val="24"/>
        </w:rPr>
        <w:t>投标文件的澄清</w:t>
      </w:r>
    </w:p>
    <w:p w14:paraId="4527EDD1">
      <w:pPr>
        <w:numPr>
          <w:ilvl w:val="1"/>
          <w:numId w:val="3"/>
        </w:numPr>
        <w:spacing w:line="360" w:lineRule="auto"/>
        <w:rPr>
          <w:rFonts w:ascii="宋体"/>
          <w:sz w:val="22"/>
          <w:szCs w:val="22"/>
        </w:rPr>
      </w:pPr>
      <w:r>
        <w:rPr>
          <w:rFonts w:hint="eastAsia" w:ascii="宋体" w:hAnsi="宋体" w:cs="宋体"/>
          <w:sz w:val="22"/>
          <w:szCs w:val="22"/>
        </w:rPr>
        <w:t>对于投标文件中含义不明确、同类问题表述不一致或者有明显文字和计算错误的内容，评标委员会应当以书面形式要求投标人作出必要的澄清、说明或者补正。</w:t>
      </w:r>
      <w:r>
        <w:rPr>
          <w:rFonts w:ascii="宋体" w:hAnsi="宋体" w:cs="宋体"/>
          <w:sz w:val="22"/>
          <w:szCs w:val="22"/>
        </w:rPr>
        <w:t xml:space="preserve"> </w:t>
      </w:r>
    </w:p>
    <w:p w14:paraId="390602CC">
      <w:pPr>
        <w:numPr>
          <w:ilvl w:val="1"/>
          <w:numId w:val="3"/>
        </w:numPr>
        <w:spacing w:line="360" w:lineRule="auto"/>
        <w:rPr>
          <w:rFonts w:ascii="宋体"/>
          <w:b/>
          <w:bCs/>
          <w:sz w:val="22"/>
          <w:szCs w:val="22"/>
        </w:rPr>
      </w:pPr>
      <w:r>
        <w:rPr>
          <w:rFonts w:hint="eastAsia" w:ascii="宋体" w:hAnsi="宋体" w:cs="宋体"/>
          <w:sz w:val="22"/>
          <w:szCs w:val="22"/>
        </w:rPr>
        <w:t>投标人的澄清、说明或者补正应当采用书面形式，并加盖公章，或者由法定代表人或其授权的代表签字。投标人的澄清、说明或者补正不得超出投标文件的范围或者改变投标文件的实质性内容。</w:t>
      </w:r>
      <w:r>
        <w:rPr>
          <w:rFonts w:ascii="宋体" w:hAnsi="宋体" w:cs="宋体"/>
          <w:b/>
          <w:bCs/>
          <w:sz w:val="22"/>
          <w:szCs w:val="22"/>
        </w:rPr>
        <w:t xml:space="preserve"> </w:t>
      </w:r>
    </w:p>
    <w:p w14:paraId="46745A69">
      <w:pPr>
        <w:numPr>
          <w:ilvl w:val="1"/>
          <w:numId w:val="3"/>
        </w:numPr>
        <w:spacing w:line="360" w:lineRule="auto"/>
        <w:rPr>
          <w:rFonts w:ascii="宋体"/>
          <w:sz w:val="22"/>
          <w:szCs w:val="22"/>
        </w:rPr>
      </w:pPr>
      <w:r>
        <w:rPr>
          <w:rFonts w:hint="eastAsia" w:ascii="宋体" w:hAnsi="宋体" w:cs="宋体"/>
          <w:sz w:val="22"/>
          <w:szCs w:val="22"/>
        </w:rPr>
        <w:t>接到评委会澄清要求的投标人应派人按评委会通知的时间和地点做出书面澄清，书面澄清的内容须由投标法定代表人或授权代表签署，并作为投标文件的补充部分，但投标的价格和实质性的内容不得做任何更改。</w:t>
      </w:r>
    </w:p>
    <w:p w14:paraId="1A2C4E7F">
      <w:pPr>
        <w:numPr>
          <w:ilvl w:val="1"/>
          <w:numId w:val="3"/>
        </w:numPr>
        <w:spacing w:line="360" w:lineRule="auto"/>
        <w:rPr>
          <w:rFonts w:ascii="宋体"/>
          <w:sz w:val="22"/>
          <w:szCs w:val="22"/>
        </w:rPr>
      </w:pPr>
      <w:r>
        <w:rPr>
          <w:rFonts w:hint="eastAsia" w:ascii="宋体" w:hAnsi="宋体" w:cs="宋体"/>
          <w:sz w:val="22"/>
          <w:szCs w:val="22"/>
        </w:rPr>
        <w:t>接到评委会澄清要求的投标人如未按规定做出澄清，视为自动放弃，由投标人自行承担相关责任。</w:t>
      </w:r>
    </w:p>
    <w:p w14:paraId="459D9B24">
      <w:pPr>
        <w:numPr>
          <w:ilvl w:val="0"/>
          <w:numId w:val="3"/>
        </w:numPr>
        <w:tabs>
          <w:tab w:val="left" w:pos="567"/>
          <w:tab w:val="clear" w:pos="425"/>
        </w:tabs>
        <w:spacing w:line="360" w:lineRule="auto"/>
        <w:rPr>
          <w:rFonts w:ascii="宋体"/>
          <w:sz w:val="22"/>
          <w:szCs w:val="22"/>
        </w:rPr>
      </w:pPr>
      <w:r>
        <w:rPr>
          <w:rFonts w:hint="eastAsia" w:ascii="宋体" w:hAnsi="宋体" w:cs="宋体"/>
          <w:b/>
          <w:bCs/>
          <w:sz w:val="24"/>
          <w:szCs w:val="24"/>
        </w:rPr>
        <w:t>对投标文件的初审</w:t>
      </w:r>
    </w:p>
    <w:p w14:paraId="7F629379">
      <w:pPr>
        <w:numPr>
          <w:ilvl w:val="1"/>
          <w:numId w:val="3"/>
        </w:numPr>
        <w:spacing w:line="360" w:lineRule="auto"/>
        <w:rPr>
          <w:rFonts w:ascii="宋体"/>
          <w:sz w:val="22"/>
          <w:szCs w:val="22"/>
        </w:rPr>
      </w:pPr>
      <w:r>
        <w:rPr>
          <w:rFonts w:hint="eastAsia" w:ascii="宋体" w:hAnsi="宋体" w:cs="宋体"/>
          <w:sz w:val="22"/>
          <w:szCs w:val="22"/>
        </w:rPr>
        <w:t>投标文件初审分为资格性检查和符合性检查。</w:t>
      </w:r>
    </w:p>
    <w:p w14:paraId="7F3F81D6">
      <w:pPr>
        <w:numPr>
          <w:ilvl w:val="1"/>
          <w:numId w:val="3"/>
        </w:numPr>
        <w:spacing w:line="360" w:lineRule="auto"/>
        <w:rPr>
          <w:rFonts w:ascii="宋体"/>
          <w:sz w:val="22"/>
          <w:szCs w:val="22"/>
        </w:rPr>
      </w:pPr>
      <w:r>
        <w:rPr>
          <w:rFonts w:hint="eastAsia" w:ascii="宋体" w:hAnsi="宋体" w:cs="宋体"/>
          <w:sz w:val="22"/>
          <w:szCs w:val="22"/>
        </w:rPr>
        <w:t>资格性检查：依据法律法规和招标文件的规定，</w:t>
      </w:r>
      <w:r>
        <w:rPr>
          <w:rFonts w:hint="eastAsia" w:ascii="宋体" w:hAnsi="宋体" w:cs="宋体"/>
          <w:sz w:val="22"/>
          <w:szCs w:val="22"/>
          <w:lang w:val="zh-CN"/>
        </w:rPr>
        <w:t>在开标结束后，受采购人委托由评标委员会对投标人的</w:t>
      </w:r>
      <w:r>
        <w:rPr>
          <w:rFonts w:hint="eastAsia" w:ascii="宋体" w:hAnsi="宋体" w:cs="宋体"/>
          <w:sz w:val="22"/>
          <w:szCs w:val="22"/>
        </w:rPr>
        <w:t>资格条件</w:t>
      </w:r>
      <w:r>
        <w:rPr>
          <w:rFonts w:hint="eastAsia" w:ascii="宋体" w:hAnsi="宋体" w:cs="宋体"/>
          <w:sz w:val="22"/>
          <w:szCs w:val="22"/>
          <w:lang w:val="zh-CN"/>
        </w:rPr>
        <w:t>进行审查。供应商按招标文件的规定和要求提供所有的资格证明文件，并在必要时提供原件备查（通过钉钉视频会议的形式）</w:t>
      </w:r>
      <w:r>
        <w:rPr>
          <w:rFonts w:hint="eastAsia" w:ascii="宋体" w:hAnsi="宋体" w:cs="宋体"/>
          <w:sz w:val="22"/>
          <w:szCs w:val="22"/>
        </w:rPr>
        <w:t>，以确定投标供应商是否具备投标资格。</w:t>
      </w:r>
      <w:r>
        <w:rPr>
          <w:rFonts w:hint="eastAsia" w:ascii="宋体" w:hAnsi="宋体" w:cs="宋体"/>
          <w:sz w:val="22"/>
          <w:szCs w:val="22"/>
          <w:lang w:val="zh-CN"/>
        </w:rPr>
        <w:t>若提供的资格证明文件不全或不实，将导致其投标或中标资格被取消。</w:t>
      </w:r>
    </w:p>
    <w:p w14:paraId="351130FC">
      <w:pPr>
        <w:numPr>
          <w:ilvl w:val="1"/>
          <w:numId w:val="3"/>
        </w:numPr>
        <w:spacing w:line="360" w:lineRule="auto"/>
        <w:rPr>
          <w:rFonts w:ascii="宋体"/>
          <w:sz w:val="22"/>
          <w:szCs w:val="22"/>
        </w:rPr>
      </w:pPr>
      <w:r>
        <w:rPr>
          <w:rFonts w:hint="eastAsia" w:ascii="宋体" w:hAnsi="宋体" w:cs="宋体"/>
          <w:sz w:val="22"/>
          <w:szCs w:val="22"/>
        </w:rPr>
        <w:t>符合性检查：依据招标文件的规定，从投标文件的有效性、完整性和对招标文件的响应程度进行审查。</w:t>
      </w:r>
    </w:p>
    <w:p w14:paraId="65C76BFE">
      <w:pPr>
        <w:numPr>
          <w:ilvl w:val="1"/>
          <w:numId w:val="3"/>
        </w:numPr>
        <w:spacing w:line="360" w:lineRule="auto"/>
        <w:rPr>
          <w:rFonts w:ascii="宋体"/>
          <w:sz w:val="22"/>
          <w:szCs w:val="22"/>
        </w:rPr>
      </w:pPr>
      <w:r>
        <w:rPr>
          <w:rFonts w:hint="eastAsia" w:ascii="宋体" w:hAnsi="宋体" w:cs="宋体"/>
          <w:sz w:val="22"/>
          <w:szCs w:val="22"/>
        </w:rPr>
        <w:t>所谓重大偏离或保留是指与招标文件规定的实质性要求存在负偏离，这些偏离或保留将会对其他实质性响应要求的投标人的竞争地位产生不公正的影响。重大偏离的认定需经过评委会三分之二及以上成员的认定。评委决定投标文件的响应性只根据投标文件本身的内容，而不寻求外部的证据。</w:t>
      </w:r>
    </w:p>
    <w:p w14:paraId="35031276">
      <w:pPr>
        <w:numPr>
          <w:ilvl w:val="1"/>
          <w:numId w:val="3"/>
        </w:numPr>
        <w:spacing w:line="360" w:lineRule="auto"/>
        <w:rPr>
          <w:rFonts w:ascii="宋体"/>
          <w:sz w:val="22"/>
          <w:szCs w:val="22"/>
        </w:rPr>
      </w:pPr>
      <w:r>
        <w:rPr>
          <w:rFonts w:hint="eastAsia" w:ascii="宋体" w:hAnsi="宋体" w:cs="宋体"/>
          <w:sz w:val="22"/>
          <w:szCs w:val="22"/>
        </w:rPr>
        <w:t>如果投标文件实质上没有响应招标文件的要求，评委会将予以拒绝，投标人不得通过修改或撤销不合要求的偏离或保留而使其投标成为实质性响应的投标。</w:t>
      </w:r>
    </w:p>
    <w:p w14:paraId="70A09F2C">
      <w:pPr>
        <w:numPr>
          <w:ilvl w:val="1"/>
          <w:numId w:val="3"/>
        </w:numPr>
        <w:spacing w:line="360" w:lineRule="auto"/>
        <w:rPr>
          <w:rFonts w:ascii="宋体"/>
          <w:sz w:val="22"/>
          <w:szCs w:val="22"/>
        </w:rPr>
      </w:pPr>
      <w:r>
        <w:rPr>
          <w:rFonts w:hint="eastAsia" w:ascii="宋体" w:hAnsi="宋体" w:cs="宋体"/>
          <w:sz w:val="22"/>
          <w:szCs w:val="22"/>
        </w:rPr>
        <w:t>评标时，当投标文件中开标一览表内容与分项明细报价表内容不一致时，以开标一览表为准。评委会有权要求投标人对分项报价作出修正，调整后的价格应对投标人具有约束力。如果投标人不接受修正后的价格，则其投标将被拒绝。</w:t>
      </w:r>
    </w:p>
    <w:p w14:paraId="56D62F51">
      <w:pPr>
        <w:numPr>
          <w:ilvl w:val="1"/>
          <w:numId w:val="3"/>
        </w:numPr>
        <w:spacing w:line="360" w:lineRule="auto"/>
        <w:rPr>
          <w:rFonts w:ascii="宋体"/>
          <w:b/>
          <w:bCs/>
          <w:sz w:val="22"/>
          <w:szCs w:val="22"/>
        </w:rPr>
      </w:pPr>
      <w:r>
        <w:rPr>
          <w:rFonts w:hint="eastAsia" w:ascii="宋体" w:hAnsi="宋体" w:cs="宋体"/>
          <w:sz w:val="22"/>
          <w:szCs w:val="22"/>
        </w:rPr>
        <w:t>评委会将允许修正投标文件中不构成重大偏离的、微小的、非正规的、不一致的或不规则的地方，但这些修改不能影响任何投标人相应的名次排列。</w:t>
      </w:r>
    </w:p>
    <w:p w14:paraId="3C78BE12">
      <w:pPr>
        <w:numPr>
          <w:ilvl w:val="0"/>
          <w:numId w:val="3"/>
        </w:numPr>
        <w:spacing w:line="360" w:lineRule="auto"/>
        <w:rPr>
          <w:rFonts w:ascii="宋体"/>
          <w:b/>
          <w:bCs/>
          <w:color w:val="000000"/>
          <w:sz w:val="22"/>
          <w:szCs w:val="22"/>
        </w:rPr>
      </w:pPr>
      <w:r>
        <w:rPr>
          <w:rFonts w:hint="eastAsia" w:ascii="宋体" w:hAnsi="宋体" w:cs="宋体"/>
          <w:b/>
          <w:bCs/>
          <w:color w:val="000000"/>
          <w:sz w:val="22"/>
          <w:szCs w:val="22"/>
        </w:rPr>
        <w:t>定标</w:t>
      </w:r>
    </w:p>
    <w:p w14:paraId="1DCB1344">
      <w:pPr>
        <w:numPr>
          <w:ilvl w:val="1"/>
          <w:numId w:val="3"/>
        </w:numPr>
        <w:spacing w:line="360" w:lineRule="auto"/>
        <w:rPr>
          <w:rFonts w:ascii="宋体"/>
          <w:sz w:val="22"/>
          <w:szCs w:val="22"/>
        </w:rPr>
      </w:pPr>
      <w:r>
        <w:rPr>
          <w:rFonts w:hint="eastAsia" w:ascii="宋体" w:hAnsi="宋体" w:cs="宋体"/>
          <w:color w:val="000000"/>
          <w:sz w:val="22"/>
          <w:szCs w:val="22"/>
        </w:rPr>
        <w:t>评标委员会根据本招标文件评审方法及评分标准，提出书面评标报告，向采购单位推荐中标候选人。</w:t>
      </w:r>
    </w:p>
    <w:p w14:paraId="4512814E">
      <w:pPr>
        <w:numPr>
          <w:ilvl w:val="1"/>
          <w:numId w:val="3"/>
        </w:numPr>
        <w:spacing w:line="360" w:lineRule="auto"/>
        <w:rPr>
          <w:rFonts w:ascii="宋体"/>
          <w:color w:val="000000"/>
          <w:sz w:val="22"/>
          <w:szCs w:val="22"/>
        </w:rPr>
      </w:pPr>
      <w:r>
        <w:rPr>
          <w:rFonts w:hint="eastAsia" w:ascii="宋体" w:hAnsi="宋体" w:cs="宋体"/>
          <w:sz w:val="22"/>
          <w:szCs w:val="22"/>
        </w:rPr>
        <w:t>采购人确认</w:t>
      </w:r>
      <w:r>
        <w:rPr>
          <w:rFonts w:hint="eastAsia" w:ascii="宋体" w:hAnsi="宋体" w:cs="宋体"/>
          <w:color w:val="000000"/>
          <w:sz w:val="22"/>
          <w:szCs w:val="22"/>
        </w:rPr>
        <w:t>中标单位。</w:t>
      </w:r>
    </w:p>
    <w:p w14:paraId="551AE4FE">
      <w:pPr>
        <w:numPr>
          <w:ilvl w:val="1"/>
          <w:numId w:val="3"/>
        </w:numPr>
        <w:spacing w:line="360" w:lineRule="auto"/>
        <w:rPr>
          <w:rFonts w:ascii="宋体"/>
          <w:sz w:val="22"/>
          <w:szCs w:val="22"/>
        </w:rPr>
      </w:pPr>
      <w:r>
        <w:rPr>
          <w:rFonts w:hint="eastAsia" w:ascii="宋体" w:hAnsi="宋体" w:cs="宋体"/>
          <w:sz w:val="22"/>
          <w:szCs w:val="22"/>
        </w:rPr>
        <w:t>采购人应当自收到评标报告之日起５个工作日内，在评标报告确定的中标候选人名单中按顺序确定中标人。</w:t>
      </w:r>
    </w:p>
    <w:p w14:paraId="10ED5C8A">
      <w:pPr>
        <w:numPr>
          <w:ilvl w:val="1"/>
          <w:numId w:val="3"/>
        </w:numPr>
        <w:spacing w:line="360" w:lineRule="auto"/>
        <w:rPr>
          <w:rFonts w:ascii="宋体"/>
          <w:sz w:val="22"/>
          <w:szCs w:val="22"/>
        </w:rPr>
      </w:pPr>
      <w:r>
        <w:rPr>
          <w:rFonts w:hint="eastAsia" w:ascii="宋体" w:hAnsi="宋体" w:cs="宋体"/>
          <w:sz w:val="22"/>
          <w:szCs w:val="22"/>
        </w:rPr>
        <w:t>采购人在收到评标报告</w:t>
      </w:r>
      <w:r>
        <w:rPr>
          <w:rFonts w:ascii="宋体" w:hAnsi="宋体" w:cs="宋体"/>
          <w:sz w:val="22"/>
          <w:szCs w:val="22"/>
        </w:rPr>
        <w:t>5</w:t>
      </w:r>
      <w:r>
        <w:rPr>
          <w:rFonts w:hint="eastAsia" w:ascii="宋体" w:hAnsi="宋体" w:cs="宋体"/>
          <w:sz w:val="22"/>
          <w:szCs w:val="22"/>
        </w:rPr>
        <w:t>个工作日内未按评标报告推荐的中标候选人顺序确定中标人，又不能说明合法理由的，视同按评标报告推荐的顺序确定排名第一的中标候选人为中标人。</w:t>
      </w:r>
    </w:p>
    <w:p w14:paraId="23A6029B">
      <w:pPr>
        <w:numPr>
          <w:ilvl w:val="1"/>
          <w:numId w:val="3"/>
        </w:numPr>
        <w:spacing w:line="360" w:lineRule="auto"/>
        <w:rPr>
          <w:rFonts w:ascii="宋体"/>
          <w:sz w:val="22"/>
          <w:szCs w:val="22"/>
        </w:rPr>
      </w:pPr>
      <w:r>
        <w:rPr>
          <w:rFonts w:hint="eastAsia" w:ascii="宋体" w:hAnsi="宋体" w:cs="宋体"/>
          <w:sz w:val="22"/>
          <w:szCs w:val="22"/>
        </w:rPr>
        <w:t>由采购人和代理机构按要求将中标结果在公告发布媒体甘肃政府采购网、陇南市公共资源交易网上公告。</w:t>
      </w:r>
      <w:r>
        <w:rPr>
          <w:rFonts w:ascii="宋体" w:hAnsi="宋体" w:cs="宋体"/>
          <w:sz w:val="22"/>
          <w:szCs w:val="22"/>
        </w:rPr>
        <w:t xml:space="preserve"> </w:t>
      </w:r>
    </w:p>
    <w:p w14:paraId="395A20AF">
      <w:pPr>
        <w:pStyle w:val="5"/>
        <w:adjustRightInd/>
        <w:spacing w:before="0" w:after="0" w:line="360" w:lineRule="auto"/>
        <w:jc w:val="center"/>
        <w:textAlignment w:val="auto"/>
        <w:rPr>
          <w:rFonts w:ascii="宋体"/>
          <w:b w:val="0"/>
          <w:bCs w:val="0"/>
          <w:kern w:val="2"/>
          <w:sz w:val="32"/>
          <w:szCs w:val="32"/>
        </w:rPr>
      </w:pPr>
      <w:bookmarkStart w:id="39" w:name="_Toc24924"/>
      <w:r>
        <w:rPr>
          <w:rFonts w:hint="eastAsia" w:ascii="宋体" w:hAnsi="宋体" w:cs="宋体"/>
          <w:b w:val="0"/>
          <w:bCs w:val="0"/>
          <w:kern w:val="2"/>
          <w:sz w:val="32"/>
          <w:szCs w:val="32"/>
        </w:rPr>
        <w:t>六、澄清和质疑</w:t>
      </w:r>
      <w:bookmarkEnd w:id="39"/>
    </w:p>
    <w:p w14:paraId="4B2C9A24">
      <w:pPr>
        <w:numPr>
          <w:ilvl w:val="0"/>
          <w:numId w:val="3"/>
        </w:numPr>
        <w:adjustRightInd w:val="0"/>
        <w:snapToGrid w:val="0"/>
        <w:spacing w:beforeLines="50" w:line="360" w:lineRule="auto"/>
        <w:jc w:val="left"/>
        <w:rPr>
          <w:rFonts w:ascii="宋体"/>
          <w:sz w:val="22"/>
          <w:szCs w:val="22"/>
        </w:rPr>
      </w:pPr>
      <w:r>
        <w:rPr>
          <w:rFonts w:hint="eastAsia" w:ascii="宋体" w:hAnsi="宋体" w:cs="宋体"/>
          <w:b/>
          <w:bCs/>
          <w:sz w:val="22"/>
          <w:szCs w:val="22"/>
        </w:rPr>
        <w:t>综合说明</w:t>
      </w:r>
    </w:p>
    <w:p w14:paraId="0B0E1006">
      <w:pPr>
        <w:adjustRightInd w:val="0"/>
        <w:snapToGrid w:val="0"/>
        <w:spacing w:beforeLines="50" w:line="360" w:lineRule="auto"/>
        <w:jc w:val="left"/>
        <w:rPr>
          <w:rFonts w:ascii="宋体"/>
          <w:sz w:val="22"/>
          <w:szCs w:val="22"/>
        </w:rPr>
      </w:pPr>
      <w:r>
        <w:rPr>
          <w:rFonts w:ascii="宋体" w:hAnsi="宋体" w:cs="宋体"/>
          <w:b/>
          <w:bCs/>
          <w:sz w:val="22"/>
          <w:szCs w:val="22"/>
        </w:rPr>
        <w:t xml:space="preserve">   </w:t>
      </w:r>
      <w:r>
        <w:rPr>
          <w:rFonts w:ascii="宋体" w:hAnsi="宋体" w:cs="宋体"/>
          <w:sz w:val="22"/>
          <w:szCs w:val="22"/>
        </w:rPr>
        <w:t xml:space="preserve"> </w:t>
      </w:r>
      <w:r>
        <w:rPr>
          <w:rFonts w:hint="eastAsia" w:ascii="宋体" w:hAnsi="宋体" w:cs="宋体"/>
          <w:sz w:val="22"/>
          <w:szCs w:val="22"/>
        </w:rPr>
        <w:t>投标人对政府采购活动事项有疑问的，可以向被质疑人提出询问，被质疑人应当及时予以答复，但答复的内容不得涉及商业秘密。投标人询问和质疑实行实名制。投标人询问和质疑应当有事实根据，不得进行虚假、恶意询问或质疑，干扰政府采购正常的工作秩序。投标人提起质疑应当符合下列条件：必须是参与被质疑项目的投标人；必须在规定的质疑有效期内提起质疑。质疑人提出质疑时，应当提交书面质疑书，质疑书的递交应当采取当面递交或邮寄的形式。</w:t>
      </w:r>
      <w:bookmarkStart w:id="40" w:name="_Toc21048"/>
      <w:bookmarkStart w:id="41" w:name="_Toc2122"/>
      <w:bookmarkStart w:id="42" w:name="_Toc26337"/>
      <w:bookmarkStart w:id="43" w:name="_Toc239047320"/>
      <w:r>
        <w:rPr>
          <w:rFonts w:hint="eastAsia" w:ascii="宋体" w:hAnsi="宋体" w:cs="宋体"/>
          <w:sz w:val="22"/>
          <w:szCs w:val="22"/>
        </w:rPr>
        <w:t>递交质疑的投标人和其他有关投标人在被告知、收到质疑答复或答疑书后，应立即向招标机构回函确认，未确认情况应当视为对质疑答复的知晓，也将视为对质疑答复内容接受的默认。若质疑事项影响投标人编制投标文件的，</w:t>
      </w:r>
      <w:r>
        <w:rPr>
          <w:rFonts w:hint="eastAsia" w:ascii="宋体" w:hAnsi="宋体" w:cs="宋体"/>
          <w:sz w:val="22"/>
          <w:szCs w:val="22"/>
          <w:lang w:eastAsia="zh-CN"/>
        </w:rPr>
        <w:t>采购代理机构</w:t>
      </w:r>
      <w:r>
        <w:rPr>
          <w:rFonts w:hint="eastAsia" w:ascii="宋体" w:hAnsi="宋体" w:cs="宋体"/>
          <w:sz w:val="22"/>
          <w:szCs w:val="22"/>
        </w:rPr>
        <w:t>将在甘肃政府采购网和陇南市公共资源交易网发布变更公告的形式告知参与本项目的投标供应商，根据相关规定可以酌情延长投标截止时间。</w:t>
      </w:r>
    </w:p>
    <w:bookmarkEnd w:id="40"/>
    <w:bookmarkEnd w:id="41"/>
    <w:bookmarkEnd w:id="42"/>
    <w:bookmarkEnd w:id="43"/>
    <w:p w14:paraId="265A1D85">
      <w:pPr>
        <w:numPr>
          <w:ilvl w:val="0"/>
          <w:numId w:val="3"/>
        </w:numPr>
        <w:adjustRightInd w:val="0"/>
        <w:snapToGrid w:val="0"/>
        <w:spacing w:beforeLines="50" w:line="360" w:lineRule="auto"/>
        <w:jc w:val="left"/>
        <w:rPr>
          <w:rFonts w:ascii="宋体"/>
          <w:sz w:val="22"/>
          <w:szCs w:val="22"/>
        </w:rPr>
      </w:pPr>
      <w:r>
        <w:rPr>
          <w:rFonts w:hint="eastAsia" w:ascii="宋体" w:hAnsi="宋体" w:cs="宋体"/>
          <w:b/>
          <w:bCs/>
          <w:spacing w:val="-3"/>
          <w:sz w:val="22"/>
          <w:szCs w:val="22"/>
        </w:rPr>
        <w:t>投标人质疑</w:t>
      </w:r>
    </w:p>
    <w:p w14:paraId="531159C4">
      <w:pPr>
        <w:spacing w:before="199" w:line="360" w:lineRule="auto"/>
        <w:ind w:right="11" w:firstLine="424" w:firstLineChars="200"/>
        <w:rPr>
          <w:rFonts w:ascii="宋体"/>
          <w:sz w:val="22"/>
          <w:szCs w:val="22"/>
        </w:rPr>
      </w:pPr>
      <w:r>
        <w:rPr>
          <w:rFonts w:ascii="宋体" w:hAnsi="宋体" w:cs="宋体"/>
          <w:spacing w:val="-4"/>
          <w:sz w:val="22"/>
          <w:szCs w:val="22"/>
        </w:rPr>
        <w:t>28</w:t>
      </w:r>
      <w:r>
        <w:rPr>
          <w:rFonts w:ascii="宋体" w:cs="宋体"/>
          <w:spacing w:val="-4"/>
          <w:sz w:val="22"/>
          <w:szCs w:val="22"/>
        </w:rPr>
        <w:t>.</w:t>
      </w:r>
      <w:r>
        <w:rPr>
          <w:rFonts w:ascii="宋体" w:hAnsi="宋体" w:cs="宋体"/>
          <w:spacing w:val="-4"/>
          <w:sz w:val="22"/>
          <w:szCs w:val="22"/>
        </w:rPr>
        <w:t>1</w:t>
      </w:r>
      <w:r>
        <w:rPr>
          <w:rFonts w:hint="eastAsia" w:ascii="宋体" w:hAnsi="宋体" w:cs="宋体"/>
          <w:sz w:val="22"/>
          <w:szCs w:val="22"/>
        </w:rPr>
        <w:t>投标人对政府采购活动事项有疑问的，可以向采购人或采购代理机构提出询问。采购人或采购代理机构将在</w:t>
      </w:r>
      <w:r>
        <w:rPr>
          <w:rFonts w:ascii="宋体" w:hAnsi="宋体" w:cs="宋体"/>
          <w:sz w:val="22"/>
          <w:szCs w:val="22"/>
        </w:rPr>
        <w:t>7</w:t>
      </w:r>
      <w:r>
        <w:rPr>
          <w:rFonts w:hint="eastAsia" w:ascii="宋体" w:hAnsi="宋体" w:cs="宋体"/>
          <w:sz w:val="22"/>
          <w:szCs w:val="22"/>
        </w:rPr>
        <w:t>个工作日内作出答复。</w:t>
      </w:r>
    </w:p>
    <w:p w14:paraId="02E0088D">
      <w:pPr>
        <w:spacing w:before="2" w:line="360" w:lineRule="auto"/>
        <w:ind w:right="11" w:firstLine="424" w:firstLineChars="200"/>
        <w:rPr>
          <w:rFonts w:ascii="宋体"/>
          <w:sz w:val="22"/>
          <w:szCs w:val="22"/>
        </w:rPr>
      </w:pPr>
      <w:r>
        <w:rPr>
          <w:rFonts w:ascii="宋体" w:hAnsi="宋体" w:cs="宋体"/>
          <w:spacing w:val="-4"/>
          <w:sz w:val="22"/>
          <w:szCs w:val="22"/>
        </w:rPr>
        <w:t>28.2</w:t>
      </w:r>
      <w:r>
        <w:rPr>
          <w:rFonts w:hint="eastAsia" w:ascii="宋体" w:hAnsi="宋体" w:cs="宋体"/>
          <w:spacing w:val="-4"/>
          <w:sz w:val="22"/>
          <w:szCs w:val="22"/>
        </w:rPr>
        <w:t>投标人若认为招标文件、采购过程和中标或成交结果使自己的权益受到损害，应当</w:t>
      </w:r>
      <w:r>
        <w:rPr>
          <w:rFonts w:hint="eastAsia" w:ascii="宋体" w:hAnsi="宋体" w:cs="宋体"/>
          <w:spacing w:val="-3"/>
          <w:sz w:val="22"/>
          <w:szCs w:val="22"/>
        </w:rPr>
        <w:t>在下列时间内以书面形式向采购人、采购代理机构提出。投标人在下列规定的质疑期内须一次性提出针对同一采购程序环节的质疑，采购人、采购代理机构不接收同一采购程序环节的</w:t>
      </w:r>
      <w:r>
        <w:rPr>
          <w:rFonts w:hint="eastAsia" w:ascii="宋体" w:hAnsi="宋体" w:cs="宋体"/>
          <w:spacing w:val="-2"/>
          <w:sz w:val="22"/>
          <w:szCs w:val="22"/>
        </w:rPr>
        <w:t>二次质疑：</w:t>
      </w:r>
    </w:p>
    <w:p w14:paraId="68490B4D">
      <w:pPr>
        <w:spacing w:before="199"/>
        <w:ind w:right="11" w:firstLine="440" w:firstLineChars="200"/>
        <w:rPr>
          <w:rFonts w:ascii="宋体"/>
          <w:sz w:val="22"/>
          <w:szCs w:val="22"/>
        </w:rPr>
      </w:pPr>
      <w:r>
        <w:rPr>
          <w:rFonts w:hint="eastAsia" w:ascii="宋体" w:hAnsi="宋体" w:cs="宋体"/>
          <w:sz w:val="22"/>
          <w:szCs w:val="22"/>
        </w:rPr>
        <w:t>（</w:t>
      </w:r>
      <w:r>
        <w:rPr>
          <w:rFonts w:ascii="宋体" w:hAnsi="宋体" w:cs="宋体"/>
          <w:sz w:val="22"/>
          <w:szCs w:val="22"/>
        </w:rPr>
        <w:t>1</w:t>
      </w:r>
      <w:r>
        <w:rPr>
          <w:rFonts w:hint="eastAsia" w:ascii="宋体" w:hAnsi="宋体" w:cs="宋体"/>
          <w:sz w:val="22"/>
          <w:szCs w:val="22"/>
        </w:rPr>
        <w:t>）</w:t>
      </w:r>
      <w:r>
        <w:rPr>
          <w:rFonts w:ascii="宋体" w:hAnsi="宋体" w:cs="宋体"/>
          <w:sz w:val="22"/>
          <w:szCs w:val="22"/>
        </w:rPr>
        <w:t xml:space="preserve"> </w:t>
      </w:r>
      <w:r>
        <w:rPr>
          <w:rFonts w:hint="eastAsia" w:ascii="宋体" w:hAnsi="宋体" w:cs="宋体"/>
          <w:sz w:val="22"/>
          <w:szCs w:val="22"/>
        </w:rPr>
        <w:t>关于招标文件的质疑，应从招标文件发出之日起七个工作日内提出。</w:t>
      </w:r>
    </w:p>
    <w:p w14:paraId="2D66C08E">
      <w:pPr>
        <w:spacing w:before="199"/>
        <w:ind w:right="11" w:firstLine="440" w:firstLineChars="200"/>
        <w:rPr>
          <w:rFonts w:ascii="宋体"/>
          <w:sz w:val="22"/>
          <w:szCs w:val="22"/>
        </w:rPr>
      </w:pPr>
      <w:r>
        <w:rPr>
          <w:rFonts w:hint="eastAsia" w:ascii="宋体" w:hAnsi="宋体" w:cs="宋体"/>
          <w:sz w:val="22"/>
          <w:szCs w:val="22"/>
        </w:rPr>
        <w:t>（</w:t>
      </w:r>
      <w:r>
        <w:rPr>
          <w:rFonts w:ascii="宋体" w:hAnsi="宋体" w:cs="宋体"/>
          <w:sz w:val="22"/>
          <w:szCs w:val="22"/>
        </w:rPr>
        <w:t>2</w:t>
      </w:r>
      <w:r>
        <w:rPr>
          <w:rFonts w:hint="eastAsia" w:ascii="宋体" w:hAnsi="宋体" w:cs="宋体"/>
          <w:sz w:val="22"/>
          <w:szCs w:val="22"/>
        </w:rPr>
        <w:t>）</w:t>
      </w:r>
      <w:r>
        <w:rPr>
          <w:rFonts w:ascii="宋体" w:hAnsi="宋体" w:cs="宋体"/>
          <w:sz w:val="22"/>
          <w:szCs w:val="22"/>
        </w:rPr>
        <w:t xml:space="preserve"> </w:t>
      </w:r>
      <w:r>
        <w:rPr>
          <w:rFonts w:hint="eastAsia" w:ascii="宋体" w:hAnsi="宋体" w:cs="宋体"/>
          <w:sz w:val="22"/>
          <w:szCs w:val="22"/>
        </w:rPr>
        <w:t>关于采购过程的质疑，应在采购程序环节结束之日起七个工作日内提出。</w:t>
      </w:r>
    </w:p>
    <w:p w14:paraId="71296216">
      <w:pPr>
        <w:spacing w:before="199"/>
        <w:ind w:right="11" w:firstLine="440" w:firstLineChars="200"/>
        <w:rPr>
          <w:rFonts w:ascii="宋体"/>
          <w:sz w:val="22"/>
          <w:szCs w:val="22"/>
        </w:rPr>
      </w:pPr>
      <w:r>
        <w:rPr>
          <w:rFonts w:hint="eastAsia" w:ascii="宋体" w:hAnsi="宋体" w:cs="宋体"/>
          <w:sz w:val="22"/>
          <w:szCs w:val="22"/>
        </w:rPr>
        <w:t>（</w:t>
      </w:r>
      <w:r>
        <w:rPr>
          <w:rFonts w:ascii="宋体" w:hAnsi="宋体" w:cs="宋体"/>
          <w:sz w:val="22"/>
          <w:szCs w:val="22"/>
        </w:rPr>
        <w:t>3</w:t>
      </w:r>
      <w:r>
        <w:rPr>
          <w:rFonts w:hint="eastAsia" w:ascii="宋体" w:hAnsi="宋体" w:cs="宋体"/>
          <w:sz w:val="22"/>
          <w:szCs w:val="22"/>
        </w:rPr>
        <w:t>）</w:t>
      </w:r>
      <w:r>
        <w:rPr>
          <w:rFonts w:ascii="宋体" w:hAnsi="宋体" w:cs="宋体"/>
          <w:sz w:val="22"/>
          <w:szCs w:val="22"/>
        </w:rPr>
        <w:t xml:space="preserve"> </w:t>
      </w:r>
      <w:r>
        <w:rPr>
          <w:rFonts w:hint="eastAsia" w:ascii="宋体" w:hAnsi="宋体" w:cs="宋体"/>
          <w:sz w:val="22"/>
          <w:szCs w:val="22"/>
        </w:rPr>
        <w:t>关于中标结果的质疑，应在中标结果信息发布后七个工作日内提出。</w:t>
      </w:r>
    </w:p>
    <w:p w14:paraId="3163125C">
      <w:pPr>
        <w:spacing w:before="199"/>
        <w:ind w:right="11" w:firstLine="440" w:firstLineChars="200"/>
        <w:rPr>
          <w:rFonts w:ascii="宋体"/>
          <w:sz w:val="22"/>
          <w:szCs w:val="22"/>
        </w:rPr>
      </w:pPr>
      <w:r>
        <w:rPr>
          <w:rFonts w:ascii="宋体" w:hAnsi="宋体" w:cs="宋体"/>
          <w:sz w:val="22"/>
          <w:szCs w:val="22"/>
        </w:rPr>
        <w:t>28.3</w:t>
      </w:r>
      <w:r>
        <w:rPr>
          <w:rFonts w:hint="eastAsia" w:ascii="宋体" w:hAnsi="宋体" w:cs="宋体"/>
          <w:sz w:val="22"/>
          <w:szCs w:val="22"/>
        </w:rPr>
        <w:t>投标人提出质疑的，应提供质疑书和必要的证明材料原件。</w:t>
      </w:r>
      <w:r>
        <w:rPr>
          <w:rFonts w:ascii="宋体" w:hAnsi="宋体" w:cs="宋体"/>
          <w:sz w:val="22"/>
          <w:szCs w:val="22"/>
        </w:rPr>
        <w:t xml:space="preserve">         </w:t>
      </w:r>
    </w:p>
    <w:p w14:paraId="612EB6B4">
      <w:pPr>
        <w:spacing w:before="199"/>
        <w:ind w:right="11" w:firstLine="440" w:firstLineChars="200"/>
        <w:rPr>
          <w:rFonts w:ascii="宋体"/>
          <w:sz w:val="22"/>
          <w:szCs w:val="22"/>
        </w:rPr>
      </w:pPr>
      <w:r>
        <w:rPr>
          <w:rFonts w:ascii="宋体" w:hAnsi="宋体" w:cs="宋体"/>
          <w:sz w:val="22"/>
          <w:szCs w:val="22"/>
        </w:rPr>
        <w:t>28.4</w:t>
      </w:r>
      <w:r>
        <w:rPr>
          <w:rFonts w:hint="eastAsia" w:ascii="宋体" w:hAnsi="宋体" w:cs="宋体"/>
          <w:sz w:val="22"/>
          <w:szCs w:val="22"/>
        </w:rPr>
        <w:t>质疑书应当包括下列内容：</w:t>
      </w:r>
    </w:p>
    <w:p w14:paraId="3625296E">
      <w:pPr>
        <w:spacing w:before="199"/>
        <w:ind w:right="11" w:firstLine="440" w:firstLineChars="200"/>
        <w:rPr>
          <w:rFonts w:ascii="宋体"/>
          <w:sz w:val="22"/>
          <w:szCs w:val="22"/>
        </w:rPr>
      </w:pPr>
      <w:r>
        <w:rPr>
          <w:rFonts w:hint="eastAsia" w:ascii="宋体" w:hAnsi="宋体" w:cs="宋体"/>
          <w:sz w:val="22"/>
          <w:szCs w:val="22"/>
        </w:rPr>
        <w:t>（</w:t>
      </w:r>
      <w:r>
        <w:rPr>
          <w:rFonts w:ascii="宋体" w:hAnsi="宋体" w:cs="宋体"/>
          <w:sz w:val="22"/>
          <w:szCs w:val="22"/>
        </w:rPr>
        <w:t>1</w:t>
      </w:r>
      <w:r>
        <w:rPr>
          <w:rFonts w:hint="eastAsia" w:ascii="宋体" w:hAnsi="宋体" w:cs="宋体"/>
          <w:sz w:val="22"/>
          <w:szCs w:val="22"/>
        </w:rPr>
        <w:t>）</w:t>
      </w:r>
      <w:r>
        <w:rPr>
          <w:rFonts w:ascii="宋体" w:hAnsi="宋体" w:cs="宋体"/>
          <w:sz w:val="22"/>
          <w:szCs w:val="22"/>
        </w:rPr>
        <w:t xml:space="preserve"> </w:t>
      </w:r>
      <w:r>
        <w:rPr>
          <w:rFonts w:hint="eastAsia" w:ascii="宋体" w:hAnsi="宋体" w:cs="宋体"/>
          <w:sz w:val="22"/>
          <w:szCs w:val="22"/>
        </w:rPr>
        <w:t>质疑供应商的姓名或名称、地址、邮编、联系人及有效联系电话；</w:t>
      </w:r>
    </w:p>
    <w:p w14:paraId="4A4A3199">
      <w:pPr>
        <w:spacing w:before="199"/>
        <w:ind w:right="11" w:firstLine="440" w:firstLineChars="200"/>
        <w:rPr>
          <w:rFonts w:ascii="宋体"/>
          <w:sz w:val="22"/>
          <w:szCs w:val="22"/>
        </w:rPr>
      </w:pPr>
      <w:r>
        <w:rPr>
          <w:rFonts w:hint="eastAsia" w:ascii="宋体" w:hAnsi="宋体" w:cs="宋体"/>
          <w:sz w:val="22"/>
          <w:szCs w:val="22"/>
        </w:rPr>
        <w:t>（</w:t>
      </w:r>
      <w:r>
        <w:rPr>
          <w:rFonts w:ascii="宋体" w:hAnsi="宋体" w:cs="宋体"/>
          <w:sz w:val="22"/>
          <w:szCs w:val="22"/>
        </w:rPr>
        <w:t>2</w:t>
      </w:r>
      <w:r>
        <w:rPr>
          <w:rFonts w:hint="eastAsia" w:ascii="宋体" w:hAnsi="宋体" w:cs="宋体"/>
          <w:sz w:val="22"/>
          <w:szCs w:val="22"/>
        </w:rPr>
        <w:t>）</w:t>
      </w:r>
      <w:r>
        <w:rPr>
          <w:rFonts w:ascii="宋体" w:hAnsi="宋体" w:cs="宋体"/>
          <w:sz w:val="22"/>
          <w:szCs w:val="22"/>
        </w:rPr>
        <w:t xml:space="preserve"> </w:t>
      </w:r>
      <w:r>
        <w:rPr>
          <w:rFonts w:hint="eastAsia" w:ascii="宋体" w:hAnsi="宋体" w:cs="宋体"/>
          <w:sz w:val="22"/>
          <w:szCs w:val="22"/>
        </w:rPr>
        <w:t>质疑项目的名称、编号；</w:t>
      </w:r>
    </w:p>
    <w:p w14:paraId="5BBEACE4">
      <w:pPr>
        <w:spacing w:before="199"/>
        <w:ind w:right="11" w:firstLine="440" w:firstLineChars="200"/>
        <w:rPr>
          <w:rFonts w:ascii="宋体"/>
          <w:sz w:val="22"/>
          <w:szCs w:val="22"/>
        </w:rPr>
      </w:pPr>
      <w:r>
        <w:rPr>
          <w:rFonts w:hint="eastAsia" w:ascii="宋体" w:hAnsi="宋体" w:cs="宋体"/>
          <w:sz w:val="22"/>
          <w:szCs w:val="22"/>
        </w:rPr>
        <w:t>（</w:t>
      </w:r>
      <w:r>
        <w:rPr>
          <w:rFonts w:ascii="宋体" w:hAnsi="宋体" w:cs="宋体"/>
          <w:sz w:val="22"/>
          <w:szCs w:val="22"/>
        </w:rPr>
        <w:t>3</w:t>
      </w:r>
      <w:r>
        <w:rPr>
          <w:rFonts w:hint="eastAsia" w:ascii="宋体" w:hAnsi="宋体" w:cs="宋体"/>
          <w:sz w:val="22"/>
          <w:szCs w:val="22"/>
        </w:rPr>
        <w:t>）</w:t>
      </w:r>
      <w:r>
        <w:rPr>
          <w:rFonts w:ascii="宋体" w:hAnsi="宋体" w:cs="宋体"/>
          <w:sz w:val="22"/>
          <w:szCs w:val="22"/>
        </w:rPr>
        <w:t xml:space="preserve"> </w:t>
      </w:r>
      <w:r>
        <w:rPr>
          <w:rFonts w:hint="eastAsia" w:ascii="宋体" w:hAnsi="宋体" w:cs="宋体"/>
          <w:sz w:val="22"/>
          <w:szCs w:val="22"/>
        </w:rPr>
        <w:t>具体、明确的质疑事项和与质疑事项相关的请求；</w:t>
      </w:r>
    </w:p>
    <w:p w14:paraId="64CCB5DF">
      <w:pPr>
        <w:spacing w:before="199"/>
        <w:ind w:right="11" w:firstLine="440" w:firstLineChars="200"/>
        <w:rPr>
          <w:rFonts w:ascii="宋体"/>
          <w:sz w:val="22"/>
          <w:szCs w:val="22"/>
        </w:rPr>
      </w:pPr>
      <w:r>
        <w:rPr>
          <w:rFonts w:hint="eastAsia" w:ascii="宋体" w:hAnsi="宋体" w:cs="宋体"/>
          <w:sz w:val="22"/>
          <w:szCs w:val="22"/>
        </w:rPr>
        <w:t>（</w:t>
      </w:r>
      <w:r>
        <w:rPr>
          <w:rFonts w:ascii="宋体" w:hAnsi="宋体" w:cs="宋体"/>
          <w:sz w:val="22"/>
          <w:szCs w:val="22"/>
        </w:rPr>
        <w:t>4</w:t>
      </w:r>
      <w:r>
        <w:rPr>
          <w:rFonts w:hint="eastAsia" w:ascii="宋体" w:hAnsi="宋体" w:cs="宋体"/>
          <w:sz w:val="22"/>
          <w:szCs w:val="22"/>
        </w:rPr>
        <w:t>）</w:t>
      </w:r>
      <w:r>
        <w:rPr>
          <w:rFonts w:ascii="宋体" w:hAnsi="宋体" w:cs="宋体"/>
          <w:sz w:val="22"/>
          <w:szCs w:val="22"/>
        </w:rPr>
        <w:t xml:space="preserve"> </w:t>
      </w:r>
      <w:r>
        <w:rPr>
          <w:rFonts w:hint="eastAsia" w:ascii="宋体" w:hAnsi="宋体" w:cs="宋体"/>
          <w:sz w:val="22"/>
          <w:szCs w:val="22"/>
        </w:rPr>
        <w:t>事实依据；</w:t>
      </w:r>
    </w:p>
    <w:p w14:paraId="62607B64">
      <w:pPr>
        <w:spacing w:before="199"/>
        <w:ind w:right="11" w:firstLine="440" w:firstLineChars="200"/>
        <w:rPr>
          <w:rFonts w:ascii="宋体"/>
          <w:sz w:val="22"/>
          <w:szCs w:val="22"/>
        </w:rPr>
      </w:pPr>
      <w:r>
        <w:rPr>
          <w:rFonts w:hint="eastAsia" w:ascii="宋体" w:hAnsi="宋体" w:cs="宋体"/>
          <w:sz w:val="22"/>
          <w:szCs w:val="22"/>
        </w:rPr>
        <w:t>（</w:t>
      </w:r>
      <w:r>
        <w:rPr>
          <w:rFonts w:ascii="宋体" w:hAnsi="宋体" w:cs="宋体"/>
          <w:sz w:val="22"/>
          <w:szCs w:val="22"/>
        </w:rPr>
        <w:t>5</w:t>
      </w:r>
      <w:r>
        <w:rPr>
          <w:rFonts w:hint="eastAsia" w:ascii="宋体" w:hAnsi="宋体" w:cs="宋体"/>
          <w:sz w:val="22"/>
          <w:szCs w:val="22"/>
        </w:rPr>
        <w:t>）</w:t>
      </w:r>
      <w:r>
        <w:rPr>
          <w:rFonts w:ascii="宋体" w:hAnsi="宋体" w:cs="宋体"/>
          <w:sz w:val="22"/>
          <w:szCs w:val="22"/>
        </w:rPr>
        <w:t xml:space="preserve"> </w:t>
      </w:r>
      <w:r>
        <w:rPr>
          <w:rFonts w:hint="eastAsia" w:ascii="宋体" w:hAnsi="宋体" w:cs="宋体"/>
          <w:sz w:val="22"/>
          <w:szCs w:val="22"/>
        </w:rPr>
        <w:t>必要的法律依据；</w:t>
      </w:r>
    </w:p>
    <w:p w14:paraId="660B502D">
      <w:pPr>
        <w:spacing w:before="199"/>
        <w:ind w:right="11" w:firstLine="440" w:firstLineChars="200"/>
        <w:rPr>
          <w:rFonts w:ascii="宋体"/>
          <w:sz w:val="22"/>
          <w:szCs w:val="22"/>
        </w:rPr>
      </w:pPr>
      <w:r>
        <w:rPr>
          <w:rFonts w:hint="eastAsia" w:ascii="宋体" w:hAnsi="宋体" w:cs="宋体"/>
          <w:sz w:val="22"/>
          <w:szCs w:val="22"/>
        </w:rPr>
        <w:t>（</w:t>
      </w:r>
      <w:r>
        <w:rPr>
          <w:rFonts w:ascii="宋体" w:hAnsi="宋体" w:cs="宋体"/>
          <w:sz w:val="22"/>
          <w:szCs w:val="22"/>
        </w:rPr>
        <w:t>6</w:t>
      </w:r>
      <w:r>
        <w:rPr>
          <w:rFonts w:hint="eastAsia" w:ascii="宋体" w:hAnsi="宋体" w:cs="宋体"/>
          <w:sz w:val="22"/>
          <w:szCs w:val="22"/>
        </w:rPr>
        <w:t>）提出质疑的日期。</w:t>
      </w:r>
      <w:r>
        <w:rPr>
          <w:rFonts w:ascii="宋体" w:hAnsi="宋体" w:cs="宋体"/>
          <w:sz w:val="22"/>
          <w:szCs w:val="22"/>
        </w:rPr>
        <w:t xml:space="preserve">                                                      </w:t>
      </w:r>
    </w:p>
    <w:p w14:paraId="56C723DE">
      <w:pPr>
        <w:spacing w:before="199" w:line="360" w:lineRule="auto"/>
        <w:ind w:right="24" w:firstLine="436" w:firstLineChars="200"/>
        <w:rPr>
          <w:rFonts w:ascii="宋体" w:hAnsi="宋体" w:cs="宋体"/>
          <w:spacing w:val="-1"/>
          <w:sz w:val="22"/>
          <w:szCs w:val="22"/>
        </w:rPr>
      </w:pPr>
      <w:r>
        <w:rPr>
          <w:rFonts w:ascii="宋体" w:hAnsi="宋体" w:cs="宋体"/>
          <w:spacing w:val="-1"/>
          <w:sz w:val="22"/>
          <w:szCs w:val="22"/>
        </w:rPr>
        <w:t>28.5</w:t>
      </w:r>
      <w:r>
        <w:rPr>
          <w:rFonts w:hint="eastAsia" w:ascii="宋体" w:hAnsi="宋体" w:eastAsia="宋体" w:cs="宋体"/>
          <w:b/>
          <w:bCs/>
          <w:color w:val="auto"/>
          <w:kern w:val="0"/>
          <w:sz w:val="28"/>
          <w:szCs w:val="28"/>
          <w:highlight w:val="none"/>
          <w:shd w:val="clear" w:color="auto" w:fill="auto"/>
          <w:lang w:val="en-US" w:eastAsia="zh-CN" w:bidi="ar-SA"/>
        </w:rPr>
        <w:t>对采购需求、评分标准的质疑，供应商直接向采购人提出，由采购人负责答复。</w:t>
      </w:r>
      <w:r>
        <w:rPr>
          <w:rFonts w:ascii="宋体" w:hAnsi="宋体" w:cs="宋体"/>
          <w:sz w:val="22"/>
          <w:szCs w:val="22"/>
        </w:rPr>
        <w:t xml:space="preserve">  </w:t>
      </w:r>
    </w:p>
    <w:p w14:paraId="00FE68C4">
      <w:pPr>
        <w:spacing w:before="199" w:line="360" w:lineRule="auto"/>
        <w:ind w:right="24" w:firstLine="436" w:firstLineChars="200"/>
        <w:rPr>
          <w:rFonts w:ascii="宋体"/>
          <w:sz w:val="22"/>
          <w:szCs w:val="22"/>
        </w:rPr>
      </w:pPr>
      <w:r>
        <w:rPr>
          <w:rFonts w:hint="eastAsia" w:ascii="宋体" w:hAnsi="宋体" w:cs="宋体"/>
          <w:spacing w:val="-1"/>
          <w:sz w:val="22"/>
          <w:szCs w:val="22"/>
          <w:lang w:val="en-US" w:eastAsia="zh-CN"/>
        </w:rPr>
        <w:t>28.6</w:t>
      </w:r>
      <w:r>
        <w:rPr>
          <w:rFonts w:hint="eastAsia" w:ascii="宋体" w:hAnsi="宋体" w:cs="宋体"/>
          <w:spacing w:val="-1"/>
          <w:sz w:val="22"/>
          <w:szCs w:val="22"/>
        </w:rPr>
        <w:t>质疑供应商可以委托进行质疑和投诉。其授权委托书应当载明代理人的姓名或名</w:t>
      </w:r>
      <w:r>
        <w:rPr>
          <w:rFonts w:hint="eastAsia" w:ascii="宋体" w:hAnsi="宋体" w:cs="宋体"/>
          <w:spacing w:val="-3"/>
          <w:sz w:val="22"/>
          <w:szCs w:val="22"/>
        </w:rPr>
        <w:t>称、代理事项、具体权限、期限和相关事项，并提交供应商签署的授权委托书。供应商为自</w:t>
      </w:r>
      <w:r>
        <w:rPr>
          <w:rFonts w:hint="eastAsia" w:ascii="宋体" w:hAnsi="宋体" w:cs="宋体"/>
          <w:spacing w:val="-6"/>
          <w:sz w:val="22"/>
          <w:szCs w:val="22"/>
        </w:rPr>
        <w:t>然人的，应当由本人签字；供应商为法人或其他组织的，应当由法定代表人、主要负责人签</w:t>
      </w:r>
      <w:r>
        <w:rPr>
          <w:rFonts w:ascii="宋体" w:hAnsi="宋体" w:cs="宋体"/>
          <w:sz w:val="22"/>
          <w:szCs w:val="22"/>
        </w:rPr>
        <w:t xml:space="preserve"> </w:t>
      </w:r>
      <w:r>
        <w:rPr>
          <w:rFonts w:hint="eastAsia" w:ascii="宋体" w:hAnsi="宋体" w:cs="宋体"/>
          <w:spacing w:val="-1"/>
          <w:sz w:val="22"/>
          <w:szCs w:val="22"/>
        </w:rPr>
        <w:t>字或盖章，并加盖公章。</w:t>
      </w:r>
    </w:p>
    <w:p w14:paraId="2B404948">
      <w:pPr>
        <w:spacing w:before="199" w:line="360" w:lineRule="auto"/>
        <w:ind w:firstLine="436" w:firstLineChars="200"/>
        <w:rPr>
          <w:rFonts w:ascii="宋体"/>
          <w:sz w:val="22"/>
          <w:szCs w:val="22"/>
        </w:rPr>
      </w:pPr>
      <w:r>
        <w:rPr>
          <w:rFonts w:ascii="宋体" w:hAnsi="宋体" w:cs="宋体"/>
          <w:spacing w:val="-1"/>
          <w:sz w:val="22"/>
          <w:szCs w:val="22"/>
        </w:rPr>
        <w:t>28.</w:t>
      </w:r>
      <w:r>
        <w:rPr>
          <w:rFonts w:hint="eastAsia" w:ascii="宋体" w:hAnsi="宋体" w:cs="宋体"/>
          <w:spacing w:val="-1"/>
          <w:sz w:val="22"/>
          <w:szCs w:val="22"/>
          <w:lang w:val="en-US" w:eastAsia="zh-CN"/>
        </w:rPr>
        <w:t>7</w:t>
      </w:r>
      <w:r>
        <w:rPr>
          <w:rFonts w:hint="eastAsia" w:ascii="宋体" w:hAnsi="宋体" w:cs="宋体"/>
          <w:spacing w:val="-1"/>
          <w:sz w:val="22"/>
          <w:szCs w:val="22"/>
        </w:rPr>
        <w:t>采购人或采购代理机构将在收到质疑函后七个工作日内作出答复，并以书面形式通知质疑供应商和其他有关的供应商。</w:t>
      </w:r>
    </w:p>
    <w:p w14:paraId="7A7C8CB0">
      <w:pPr>
        <w:spacing w:before="198" w:line="360" w:lineRule="auto"/>
        <w:ind w:firstLine="424" w:firstLineChars="200"/>
        <w:rPr>
          <w:rFonts w:ascii="宋体"/>
          <w:sz w:val="22"/>
          <w:szCs w:val="22"/>
        </w:rPr>
      </w:pPr>
      <w:r>
        <w:rPr>
          <w:rFonts w:ascii="宋体" w:hAnsi="宋体" w:cs="宋体"/>
          <w:spacing w:val="-4"/>
          <w:sz w:val="22"/>
          <w:szCs w:val="22"/>
        </w:rPr>
        <w:t>28.</w:t>
      </w:r>
      <w:r>
        <w:rPr>
          <w:rFonts w:hint="eastAsia" w:ascii="宋体" w:hAnsi="宋体" w:cs="宋体"/>
          <w:spacing w:val="-4"/>
          <w:sz w:val="22"/>
          <w:szCs w:val="22"/>
          <w:lang w:val="en-US" w:eastAsia="zh-CN"/>
        </w:rPr>
        <w:t>8</w:t>
      </w:r>
      <w:r>
        <w:rPr>
          <w:rFonts w:hint="eastAsia" w:ascii="宋体" w:hAnsi="宋体" w:cs="宋体"/>
          <w:spacing w:val="-4"/>
          <w:sz w:val="22"/>
          <w:szCs w:val="22"/>
        </w:rPr>
        <w:t>采购人、采购代理机构接收质疑函的联系人、联系电话及地址等信息同招标公告信</w:t>
      </w:r>
      <w:r>
        <w:rPr>
          <w:rFonts w:hint="eastAsia" w:ascii="宋体" w:hAnsi="宋体" w:cs="宋体"/>
          <w:spacing w:val="-5"/>
          <w:sz w:val="22"/>
          <w:szCs w:val="22"/>
        </w:rPr>
        <w:t>息一致。</w:t>
      </w:r>
    </w:p>
    <w:p w14:paraId="42291C79">
      <w:pPr>
        <w:spacing w:line="360" w:lineRule="auto"/>
        <w:rPr>
          <w:rFonts w:ascii="宋体"/>
          <w:b/>
          <w:bCs/>
          <w:sz w:val="22"/>
          <w:szCs w:val="22"/>
        </w:rPr>
      </w:pPr>
      <w:bookmarkStart w:id="44" w:name="_Toc239047321"/>
      <w:bookmarkStart w:id="45" w:name="_Toc10940"/>
      <w:bookmarkStart w:id="46" w:name="_Toc17975"/>
      <w:bookmarkStart w:id="47" w:name="_Toc2504"/>
      <w:r>
        <w:rPr>
          <w:rFonts w:ascii="宋体" w:hAnsi="宋体" w:cs="宋体"/>
          <w:b/>
          <w:bCs/>
          <w:sz w:val="22"/>
          <w:szCs w:val="22"/>
        </w:rPr>
        <w:t>31.</w:t>
      </w:r>
      <w:r>
        <w:rPr>
          <w:rFonts w:hint="eastAsia" w:ascii="宋体" w:hAnsi="宋体" w:cs="宋体"/>
          <w:b/>
          <w:bCs/>
          <w:sz w:val="22"/>
          <w:szCs w:val="22"/>
        </w:rPr>
        <w:t>澄清或质疑不予受理的情况</w:t>
      </w:r>
      <w:bookmarkEnd w:id="44"/>
      <w:bookmarkEnd w:id="45"/>
      <w:bookmarkEnd w:id="46"/>
      <w:bookmarkEnd w:id="47"/>
    </w:p>
    <w:p w14:paraId="48CF8A4D">
      <w:pPr>
        <w:spacing w:line="360" w:lineRule="auto"/>
        <w:rPr>
          <w:rFonts w:ascii="宋体"/>
          <w:sz w:val="22"/>
          <w:szCs w:val="22"/>
        </w:rPr>
      </w:pPr>
      <w:r>
        <w:rPr>
          <w:rFonts w:hint="eastAsia" w:ascii="宋体" w:hAnsi="宋体" w:cs="宋体"/>
          <w:sz w:val="22"/>
          <w:szCs w:val="22"/>
        </w:rPr>
        <w:t>有下列情形之一的，属于无效质疑，被质疑人不予受理，由此产生的影响由投标人自行承担：</w:t>
      </w:r>
    </w:p>
    <w:p w14:paraId="62B583E6">
      <w:pPr>
        <w:spacing w:line="360" w:lineRule="auto"/>
        <w:ind w:firstLine="440" w:firstLineChars="200"/>
        <w:rPr>
          <w:rFonts w:ascii="宋体"/>
          <w:sz w:val="22"/>
          <w:szCs w:val="22"/>
        </w:rPr>
      </w:pPr>
      <w:r>
        <w:rPr>
          <w:rFonts w:ascii="宋体" w:hAnsi="宋体" w:cs="宋体"/>
          <w:sz w:val="22"/>
          <w:szCs w:val="22"/>
        </w:rPr>
        <w:t>(</w:t>
      </w:r>
      <w:r>
        <w:rPr>
          <w:rFonts w:hint="eastAsia" w:ascii="宋体" w:hAnsi="宋体" w:cs="宋体"/>
          <w:sz w:val="22"/>
          <w:szCs w:val="22"/>
        </w:rPr>
        <w:t>一</w:t>
      </w:r>
      <w:r>
        <w:rPr>
          <w:rFonts w:ascii="宋体" w:hAnsi="宋体" w:cs="宋体"/>
          <w:sz w:val="22"/>
          <w:szCs w:val="22"/>
        </w:rPr>
        <w:t>)</w:t>
      </w:r>
      <w:r>
        <w:rPr>
          <w:rFonts w:hint="eastAsia" w:ascii="宋体" w:hAnsi="宋体" w:cs="宋体"/>
          <w:sz w:val="22"/>
          <w:szCs w:val="22"/>
        </w:rPr>
        <w:t>不是参与该政府采购项目活动供应商的；</w:t>
      </w:r>
    </w:p>
    <w:p w14:paraId="6A592B18">
      <w:pPr>
        <w:spacing w:line="360" w:lineRule="auto"/>
        <w:ind w:firstLine="440" w:firstLineChars="200"/>
        <w:rPr>
          <w:rFonts w:ascii="宋体"/>
          <w:sz w:val="22"/>
          <w:szCs w:val="22"/>
        </w:rPr>
      </w:pPr>
      <w:r>
        <w:rPr>
          <w:rFonts w:ascii="宋体" w:hAnsi="宋体" w:cs="宋体"/>
          <w:sz w:val="22"/>
          <w:szCs w:val="22"/>
        </w:rPr>
        <w:t>(</w:t>
      </w:r>
      <w:r>
        <w:rPr>
          <w:rFonts w:hint="eastAsia" w:ascii="宋体" w:hAnsi="宋体" w:cs="宋体"/>
          <w:sz w:val="22"/>
          <w:szCs w:val="22"/>
        </w:rPr>
        <w:t>二</w:t>
      </w:r>
      <w:r>
        <w:rPr>
          <w:rFonts w:ascii="宋体" w:hAnsi="宋体" w:cs="宋体"/>
          <w:sz w:val="22"/>
          <w:szCs w:val="22"/>
        </w:rPr>
        <w:t>)</w:t>
      </w:r>
      <w:r>
        <w:rPr>
          <w:rFonts w:hint="eastAsia" w:ascii="宋体" w:hAnsi="宋体" w:cs="宋体"/>
          <w:sz w:val="22"/>
          <w:szCs w:val="22"/>
        </w:rPr>
        <w:t>被质疑人为采购人或政府采购代理机构之外的；</w:t>
      </w:r>
    </w:p>
    <w:p w14:paraId="1CEEBE5A">
      <w:pPr>
        <w:spacing w:line="360" w:lineRule="auto"/>
        <w:ind w:firstLine="440" w:firstLineChars="200"/>
        <w:rPr>
          <w:rFonts w:ascii="宋体"/>
          <w:sz w:val="22"/>
          <w:szCs w:val="22"/>
        </w:rPr>
      </w:pPr>
      <w:r>
        <w:rPr>
          <w:rFonts w:ascii="宋体" w:hAnsi="宋体" w:cs="宋体"/>
          <w:sz w:val="22"/>
          <w:szCs w:val="22"/>
        </w:rPr>
        <w:t>(</w:t>
      </w:r>
      <w:r>
        <w:rPr>
          <w:rFonts w:hint="eastAsia" w:ascii="宋体" w:hAnsi="宋体" w:cs="宋体"/>
          <w:sz w:val="22"/>
          <w:szCs w:val="22"/>
        </w:rPr>
        <w:t>三</w:t>
      </w:r>
      <w:r>
        <w:rPr>
          <w:rFonts w:ascii="宋体" w:hAnsi="宋体" w:cs="宋体"/>
          <w:sz w:val="22"/>
          <w:szCs w:val="22"/>
        </w:rPr>
        <w:t>)</w:t>
      </w:r>
      <w:r>
        <w:rPr>
          <w:rFonts w:hint="eastAsia" w:ascii="宋体" w:hAnsi="宋体" w:cs="宋体"/>
          <w:sz w:val="22"/>
          <w:szCs w:val="22"/>
        </w:rPr>
        <w:t>所有质疑事项超过质疑有效期的；</w:t>
      </w:r>
    </w:p>
    <w:p w14:paraId="7298DC14">
      <w:pPr>
        <w:spacing w:line="360" w:lineRule="auto"/>
        <w:ind w:firstLine="440" w:firstLineChars="200"/>
        <w:rPr>
          <w:rFonts w:ascii="宋体"/>
          <w:sz w:val="22"/>
          <w:szCs w:val="22"/>
        </w:rPr>
      </w:pPr>
      <w:r>
        <w:rPr>
          <w:rFonts w:ascii="宋体" w:hAnsi="宋体" w:cs="宋体"/>
          <w:sz w:val="22"/>
          <w:szCs w:val="22"/>
        </w:rPr>
        <w:t>(</w:t>
      </w:r>
      <w:r>
        <w:rPr>
          <w:rFonts w:hint="eastAsia" w:ascii="宋体" w:hAnsi="宋体" w:cs="宋体"/>
          <w:sz w:val="22"/>
          <w:szCs w:val="22"/>
        </w:rPr>
        <w:t>四</w:t>
      </w:r>
      <w:r>
        <w:rPr>
          <w:rFonts w:ascii="宋体" w:hAnsi="宋体" w:cs="宋体"/>
          <w:sz w:val="22"/>
          <w:szCs w:val="22"/>
        </w:rPr>
        <w:t>)</w:t>
      </w:r>
      <w:r>
        <w:rPr>
          <w:rFonts w:hint="eastAsia" w:ascii="宋体" w:hAnsi="宋体" w:cs="宋体"/>
          <w:sz w:val="22"/>
          <w:szCs w:val="22"/>
        </w:rPr>
        <w:t>以具有法律效力的文书送达之外方式提出的；</w:t>
      </w:r>
    </w:p>
    <w:p w14:paraId="1BF63123">
      <w:pPr>
        <w:spacing w:line="360" w:lineRule="auto"/>
        <w:ind w:firstLine="440" w:firstLineChars="200"/>
        <w:rPr>
          <w:rFonts w:ascii="宋体"/>
          <w:sz w:val="22"/>
          <w:szCs w:val="22"/>
        </w:rPr>
      </w:pPr>
      <w:r>
        <w:rPr>
          <w:rFonts w:ascii="宋体" w:hAnsi="宋体" w:cs="宋体"/>
          <w:sz w:val="22"/>
          <w:szCs w:val="22"/>
        </w:rPr>
        <w:t>(</w:t>
      </w:r>
      <w:r>
        <w:rPr>
          <w:rFonts w:hint="eastAsia" w:ascii="宋体" w:hAnsi="宋体" w:cs="宋体"/>
          <w:sz w:val="22"/>
          <w:szCs w:val="22"/>
        </w:rPr>
        <w:t>五</w:t>
      </w:r>
      <w:r>
        <w:rPr>
          <w:rFonts w:ascii="宋体" w:hAnsi="宋体" w:cs="宋体"/>
          <w:sz w:val="22"/>
          <w:szCs w:val="22"/>
        </w:rPr>
        <w:t>)</w:t>
      </w:r>
      <w:r>
        <w:rPr>
          <w:rFonts w:hint="eastAsia" w:ascii="宋体" w:hAnsi="宋体" w:cs="宋体"/>
          <w:sz w:val="22"/>
          <w:szCs w:val="22"/>
        </w:rPr>
        <w:t>未按上述规定递交澄清或质疑函的；</w:t>
      </w:r>
    </w:p>
    <w:p w14:paraId="12FCB1CC">
      <w:pPr>
        <w:spacing w:line="360" w:lineRule="auto"/>
        <w:rPr>
          <w:rFonts w:hint="eastAsia" w:ascii="宋体" w:hAnsi="宋体" w:cs="宋体"/>
          <w:b/>
          <w:bCs/>
          <w:sz w:val="22"/>
          <w:szCs w:val="22"/>
        </w:rPr>
      </w:pPr>
      <w:r>
        <w:rPr>
          <w:rFonts w:ascii="宋体" w:hAnsi="宋体" w:cs="宋体"/>
          <w:b/>
          <w:bCs/>
          <w:sz w:val="22"/>
          <w:szCs w:val="22"/>
        </w:rPr>
        <w:t>32.</w:t>
      </w:r>
      <w:r>
        <w:rPr>
          <w:rFonts w:hint="eastAsia" w:ascii="宋体" w:hAnsi="宋体" w:cs="宋体"/>
          <w:b/>
          <w:bCs/>
          <w:sz w:val="22"/>
          <w:szCs w:val="22"/>
        </w:rPr>
        <w:t>澄清递交地点：</w:t>
      </w:r>
    </w:p>
    <w:p w14:paraId="12E23679">
      <w:pPr>
        <w:spacing w:line="360" w:lineRule="auto"/>
        <w:rPr>
          <w:rFonts w:hint="default" w:ascii="宋体" w:eastAsia="宋体"/>
          <w:sz w:val="22"/>
          <w:szCs w:val="22"/>
          <w:lang w:val="en-US" w:eastAsia="zh-CN"/>
        </w:rPr>
      </w:pPr>
      <w:r>
        <w:rPr>
          <w:rFonts w:hint="eastAsia" w:ascii="宋体" w:hAnsi="宋体" w:cs="宋体"/>
          <w:sz w:val="22"/>
          <w:szCs w:val="22"/>
          <w:lang w:val="en-US" w:eastAsia="zh-CN"/>
        </w:rPr>
        <w:t xml:space="preserve">    </w:t>
      </w:r>
      <w:r>
        <w:rPr>
          <w:rFonts w:ascii="宋体" w:hAnsi="宋体" w:eastAsia="宋体" w:cs="宋体"/>
          <w:b/>
          <w:bCs/>
          <w:color w:val="000000"/>
          <w:sz w:val="24"/>
          <w:szCs w:val="24"/>
        </w:rPr>
        <w:t>同</w:t>
      </w:r>
      <w:r>
        <w:rPr>
          <w:rFonts w:hint="eastAsia" w:ascii="宋体" w:hAnsi="宋体" w:eastAsia="宋体" w:cs="宋体"/>
          <w:b/>
          <w:bCs/>
          <w:color w:val="000000"/>
          <w:sz w:val="24"/>
          <w:szCs w:val="24"/>
          <w:lang w:val="en-US" w:eastAsia="zh-CN"/>
        </w:rPr>
        <w:t>前附表</w:t>
      </w:r>
      <w:r>
        <w:rPr>
          <w:rFonts w:ascii="宋体" w:hAnsi="宋体" w:eastAsia="宋体" w:cs="宋体"/>
          <w:b/>
          <w:bCs/>
          <w:color w:val="000000"/>
          <w:sz w:val="24"/>
          <w:szCs w:val="24"/>
        </w:rPr>
        <w:t>中的项目联系部门、联系人、联系电话、 通讯地址。</w:t>
      </w:r>
    </w:p>
    <w:p w14:paraId="608FECA9">
      <w:pPr>
        <w:numPr>
          <w:ilvl w:val="0"/>
          <w:numId w:val="6"/>
        </w:numPr>
        <w:spacing w:line="360" w:lineRule="auto"/>
        <w:rPr>
          <w:rFonts w:ascii="宋体"/>
          <w:sz w:val="22"/>
          <w:szCs w:val="22"/>
        </w:rPr>
      </w:pPr>
      <w:r>
        <w:rPr>
          <w:rFonts w:hint="eastAsia" w:ascii="宋体" w:hAnsi="宋体" w:cs="宋体"/>
          <w:sz w:val="22"/>
          <w:szCs w:val="22"/>
          <w:lang w:eastAsia="zh-CN"/>
        </w:rPr>
        <w:t>质疑函递交采购单位和代理机构受理，</w:t>
      </w:r>
      <w:r>
        <w:rPr>
          <w:rFonts w:hint="eastAsia" w:ascii="宋体" w:hAnsi="宋体" w:cs="宋体"/>
          <w:sz w:val="22"/>
          <w:szCs w:val="22"/>
        </w:rPr>
        <w:t>投标人对采购人或采购代理机构的答复不满意，或采购人或采购代理机构未在规定的期限作出答复的，可在答复期满后十五个工作日内，按政府采购相关法律法规规章的规定及程序，向同级财政部门提出投诉。</w:t>
      </w:r>
    </w:p>
    <w:p w14:paraId="19F67B53">
      <w:pPr>
        <w:numPr>
          <w:ilvl w:val="0"/>
          <w:numId w:val="6"/>
        </w:numPr>
        <w:spacing w:line="360" w:lineRule="auto"/>
        <w:rPr>
          <w:rFonts w:ascii="宋体"/>
          <w:sz w:val="22"/>
          <w:szCs w:val="22"/>
        </w:rPr>
      </w:pPr>
      <w:r>
        <w:rPr>
          <w:rFonts w:hint="eastAsia" w:ascii="宋体" w:hAnsi="宋体" w:cs="宋体"/>
          <w:sz w:val="22"/>
          <w:szCs w:val="22"/>
        </w:rPr>
        <w:t>中标通知书</w:t>
      </w:r>
    </w:p>
    <w:p w14:paraId="03E3011D">
      <w:pPr>
        <w:numPr>
          <w:ilvl w:val="1"/>
          <w:numId w:val="6"/>
        </w:numPr>
        <w:spacing w:line="360" w:lineRule="auto"/>
        <w:rPr>
          <w:rFonts w:hint="eastAsia" w:ascii="宋体" w:hAnsi="宋体" w:cs="宋体"/>
          <w:sz w:val="22"/>
          <w:szCs w:val="22"/>
        </w:rPr>
      </w:pPr>
      <w:r>
        <w:rPr>
          <w:rFonts w:hint="eastAsia" w:ascii="宋体" w:hAnsi="宋体" w:cs="宋体"/>
          <w:sz w:val="22"/>
          <w:szCs w:val="22"/>
        </w:rPr>
        <w:t>根据财库[2015]135号文件精神中标、成交结果应当自中标、成交供应商确定之日起２个工作日内公告，公告期限为１个工作日。公告期限届满后向中标人发出中标通知书。</w:t>
      </w:r>
    </w:p>
    <w:p w14:paraId="2FDDA7DF">
      <w:pPr>
        <w:numPr>
          <w:ilvl w:val="1"/>
          <w:numId w:val="6"/>
        </w:numPr>
        <w:spacing w:line="360" w:lineRule="auto"/>
        <w:rPr>
          <w:rFonts w:ascii="宋体"/>
          <w:sz w:val="22"/>
          <w:szCs w:val="22"/>
        </w:rPr>
      </w:pPr>
      <w:r>
        <w:rPr>
          <w:rFonts w:hint="eastAsia" w:ascii="宋体" w:hAnsi="宋体" w:cs="宋体"/>
          <w:sz w:val="22"/>
          <w:szCs w:val="22"/>
        </w:rPr>
        <w:t>中</w:t>
      </w:r>
      <w:r>
        <w:rPr>
          <w:rFonts w:hint="eastAsia" w:ascii="宋体" w:hAnsi="宋体" w:cs="宋体"/>
          <w:color w:val="000000"/>
          <w:sz w:val="22"/>
          <w:szCs w:val="22"/>
        </w:rPr>
        <w:t>标通知书将是合同的一个组成部分。对业主和中标人均具有法律效力。</w:t>
      </w:r>
      <w:r>
        <w:rPr>
          <w:rFonts w:hint="eastAsia" w:ascii="宋体" w:hAnsi="宋体" w:cs="宋体"/>
          <w:sz w:val="22"/>
          <w:szCs w:val="22"/>
        </w:rPr>
        <w:t>中标通知书发出后，采购单位私自改变中标结果的，或者中标人放弃中标项目的，应当依法承担法律责任。</w:t>
      </w:r>
    </w:p>
    <w:p w14:paraId="67C7FF26">
      <w:pPr>
        <w:widowControl w:val="0"/>
        <w:numPr>
          <w:ilvl w:val="0"/>
          <w:numId w:val="6"/>
        </w:numPr>
        <w:ind w:left="425" w:leftChars="0" w:hanging="425" w:firstLineChars="0"/>
        <w:jc w:val="left"/>
        <w:rPr>
          <w:rFonts w:hint="eastAsia" w:ascii="宋体" w:hAnsi="宋体" w:eastAsia="宋体" w:cs="宋体"/>
          <w:b/>
          <w:bCs/>
          <w:smallCaps w:val="0"/>
          <w:spacing w:val="-20"/>
          <w:kern w:val="2"/>
          <w:sz w:val="20"/>
          <w:szCs w:val="20"/>
          <w:lang w:val="en-US" w:eastAsia="zh-CN" w:bidi="ar-SA"/>
        </w:rPr>
      </w:pPr>
      <w:r>
        <w:rPr>
          <w:rFonts w:hint="eastAsia" w:asciiTheme="minorEastAsia" w:hAnsiTheme="minorEastAsia" w:eastAsiaTheme="minorEastAsia" w:cstheme="minorEastAsia"/>
          <w:b/>
          <w:bCs/>
          <w:spacing w:val="-20"/>
          <w:kern w:val="2"/>
          <w:sz w:val="24"/>
          <w:szCs w:val="24"/>
          <w:lang w:val="en-US" w:eastAsia="zh-CN" w:bidi="ar-SA"/>
        </w:rPr>
        <w:t>投标人向集采机构咨询 的 有 关 项 目 事 项 ，一 切 以法律法规的规 定和 集采机 构书 面答复为 准 ，其他一切形式均 为个人意见 ， 不代表本单位的意见。</w:t>
      </w:r>
    </w:p>
    <w:p w14:paraId="51896DFC">
      <w:pPr>
        <w:numPr>
          <w:ilvl w:val="0"/>
          <w:numId w:val="0"/>
        </w:numPr>
        <w:spacing w:line="360" w:lineRule="auto"/>
        <w:ind w:leftChars="0"/>
        <w:rPr>
          <w:rFonts w:ascii="宋体"/>
          <w:sz w:val="22"/>
          <w:szCs w:val="22"/>
        </w:rPr>
      </w:pPr>
    </w:p>
    <w:p w14:paraId="26CA7723">
      <w:pPr>
        <w:pStyle w:val="5"/>
        <w:adjustRightInd/>
        <w:spacing w:before="0" w:after="0" w:line="360" w:lineRule="auto"/>
        <w:jc w:val="center"/>
        <w:textAlignment w:val="auto"/>
        <w:rPr>
          <w:rFonts w:ascii="宋体"/>
          <w:b w:val="0"/>
          <w:bCs w:val="0"/>
          <w:kern w:val="2"/>
          <w:sz w:val="32"/>
          <w:szCs w:val="32"/>
        </w:rPr>
      </w:pPr>
      <w:bookmarkStart w:id="48" w:name="_Toc24932"/>
      <w:r>
        <w:rPr>
          <w:rFonts w:hint="eastAsia" w:ascii="宋体" w:hAnsi="宋体" w:cs="宋体"/>
          <w:b w:val="0"/>
          <w:bCs w:val="0"/>
          <w:kern w:val="2"/>
          <w:sz w:val="32"/>
          <w:szCs w:val="32"/>
        </w:rPr>
        <w:t>七、签订合同</w:t>
      </w:r>
      <w:bookmarkEnd w:id="48"/>
    </w:p>
    <w:p w14:paraId="3D97132B">
      <w:pPr>
        <w:spacing w:line="360" w:lineRule="auto"/>
        <w:rPr>
          <w:rFonts w:ascii="宋体"/>
          <w:sz w:val="22"/>
          <w:szCs w:val="22"/>
        </w:rPr>
      </w:pPr>
    </w:p>
    <w:p w14:paraId="557C6789">
      <w:pPr>
        <w:numPr>
          <w:ilvl w:val="0"/>
          <w:numId w:val="7"/>
        </w:numPr>
        <w:spacing w:line="360" w:lineRule="auto"/>
        <w:rPr>
          <w:rFonts w:ascii="宋体"/>
          <w:color w:val="000000"/>
          <w:sz w:val="22"/>
          <w:szCs w:val="22"/>
        </w:rPr>
      </w:pPr>
      <w:r>
        <w:rPr>
          <w:rFonts w:hint="eastAsia" w:ascii="宋体" w:hAnsi="宋体" w:cs="宋体"/>
          <w:b/>
          <w:bCs/>
          <w:sz w:val="22"/>
          <w:szCs w:val="22"/>
        </w:rPr>
        <w:t>签订合同</w:t>
      </w:r>
    </w:p>
    <w:p w14:paraId="57674AFB">
      <w:pPr>
        <w:numPr>
          <w:ilvl w:val="1"/>
          <w:numId w:val="7"/>
        </w:numPr>
        <w:spacing w:line="360" w:lineRule="auto"/>
        <w:rPr>
          <w:rFonts w:ascii="宋体"/>
          <w:color w:val="FF0000"/>
          <w:sz w:val="22"/>
          <w:szCs w:val="22"/>
        </w:rPr>
      </w:pPr>
      <w:r>
        <w:rPr>
          <w:rFonts w:hint="eastAsia" w:ascii="宋体" w:hAnsi="宋体" w:cs="宋体"/>
          <w:color w:val="000000"/>
          <w:sz w:val="22"/>
          <w:szCs w:val="22"/>
        </w:rPr>
        <w:t>采购人应当自中标通知书发出之日起十日内，按照招标文件和中标供应商投标文件的约定，与中标供应商签订书面合同，逾期责任自负。所签订的合同不得对招标文件和中标供应商投标文件作实质性修改。</w:t>
      </w:r>
      <w:r>
        <w:rPr>
          <w:rFonts w:ascii="宋体" w:hAnsi="宋体" w:cs="宋体"/>
          <w:color w:val="FF0000"/>
          <w:sz w:val="22"/>
          <w:szCs w:val="22"/>
        </w:rPr>
        <w:t xml:space="preserve"> </w:t>
      </w:r>
    </w:p>
    <w:p w14:paraId="1400F3F4">
      <w:pPr>
        <w:numPr>
          <w:ilvl w:val="1"/>
          <w:numId w:val="7"/>
        </w:numPr>
        <w:spacing w:line="360" w:lineRule="auto"/>
        <w:rPr>
          <w:rFonts w:ascii="宋体"/>
          <w:color w:val="000000"/>
          <w:sz w:val="22"/>
          <w:szCs w:val="22"/>
        </w:rPr>
      </w:pPr>
      <w:r>
        <w:rPr>
          <w:rFonts w:hint="eastAsia" w:ascii="宋体" w:hAnsi="宋体" w:cs="宋体"/>
          <w:color w:val="000000"/>
          <w:sz w:val="22"/>
          <w:szCs w:val="22"/>
        </w:rPr>
        <w:t>招标文件、中标人的投标文件及招标过程中有关澄清、承诺文件均应作为合同附件。</w:t>
      </w:r>
    </w:p>
    <w:p w14:paraId="472C2192">
      <w:pPr>
        <w:numPr>
          <w:ilvl w:val="1"/>
          <w:numId w:val="7"/>
        </w:numPr>
        <w:spacing w:line="360" w:lineRule="auto"/>
        <w:rPr>
          <w:rFonts w:ascii="宋体"/>
          <w:b/>
          <w:bCs/>
          <w:color w:val="000000"/>
          <w:sz w:val="22"/>
          <w:szCs w:val="22"/>
        </w:rPr>
      </w:pPr>
      <w:r>
        <w:rPr>
          <w:rFonts w:hint="eastAsia" w:ascii="宋体" w:hAnsi="宋体" w:cs="宋体"/>
          <w:color w:val="000000"/>
          <w:sz w:val="22"/>
          <w:szCs w:val="22"/>
        </w:rPr>
        <w:t>签订合同后，中标人应根据合同条款及时进场实施项目建设，中标人不得将货物及其他相关服务随意进行转包或分包，否则采购人有权终止合同，中标人的履约保证金将不予退还，造成采购人损失的，中标人应承担相应赔偿责任。</w:t>
      </w:r>
    </w:p>
    <w:p w14:paraId="1A80435D">
      <w:pPr>
        <w:numPr>
          <w:ilvl w:val="1"/>
          <w:numId w:val="7"/>
        </w:numPr>
        <w:spacing w:line="360" w:lineRule="auto"/>
        <w:rPr>
          <w:rFonts w:ascii="宋体"/>
          <w:color w:val="000000"/>
          <w:sz w:val="22"/>
          <w:szCs w:val="22"/>
        </w:rPr>
      </w:pPr>
      <w:r>
        <w:rPr>
          <w:rFonts w:hint="eastAsia" w:ascii="宋体" w:hAnsi="宋体" w:cs="宋体"/>
          <w:color w:val="000000"/>
          <w:sz w:val="22"/>
          <w:szCs w:val="22"/>
        </w:rPr>
        <w:t>采购人不得向中标供应商提出任何不合理的要求，作为签订合同的条件，不得与中标供应商私下订立背离合同实质性内容的协议。要将中标通知书作为合同的关键组成部分一起装订入合同。</w:t>
      </w:r>
    </w:p>
    <w:p w14:paraId="65DC7957">
      <w:pPr>
        <w:numPr>
          <w:ilvl w:val="1"/>
          <w:numId w:val="7"/>
        </w:numPr>
        <w:spacing w:line="360" w:lineRule="auto"/>
        <w:rPr>
          <w:rFonts w:hint="eastAsia" w:ascii="宋体" w:hAnsi="宋体" w:cs="宋体"/>
          <w:b/>
          <w:bCs/>
          <w:color w:val="000000"/>
          <w:sz w:val="22"/>
          <w:szCs w:val="22"/>
        </w:rPr>
      </w:pPr>
      <w:r>
        <w:rPr>
          <w:rFonts w:hint="eastAsia" w:ascii="宋体" w:hAnsi="宋体" w:cs="宋体"/>
          <w:b/>
          <w:bCs/>
          <w:color w:val="000000"/>
          <w:sz w:val="22"/>
          <w:szCs w:val="22"/>
        </w:rPr>
        <w:t>采购人当自采购合同签订之日起</w:t>
      </w:r>
      <w:r>
        <w:rPr>
          <w:rFonts w:hint="eastAsia" w:ascii="宋体" w:hAnsi="宋体" w:cs="宋体"/>
          <w:b/>
          <w:bCs/>
          <w:color w:val="000000"/>
          <w:sz w:val="22"/>
          <w:szCs w:val="22"/>
          <w:lang w:eastAsia="zh-CN"/>
        </w:rPr>
        <w:t>二</w:t>
      </w:r>
      <w:r>
        <w:rPr>
          <w:rFonts w:hint="eastAsia" w:ascii="宋体" w:hAnsi="宋体" w:cs="宋体"/>
          <w:b/>
          <w:bCs/>
          <w:color w:val="000000"/>
          <w:sz w:val="22"/>
          <w:szCs w:val="22"/>
        </w:rPr>
        <w:t>个工作日内，按照有关规定将备案后的采购合同（含商业机密部分除外）扫描成PTF格式上传到甘肃政府采购网合同专区。</w:t>
      </w:r>
    </w:p>
    <w:p w14:paraId="3EF0FE4F">
      <w:pPr>
        <w:numPr>
          <w:ilvl w:val="0"/>
          <w:numId w:val="7"/>
        </w:numPr>
        <w:spacing w:line="360" w:lineRule="auto"/>
        <w:rPr>
          <w:rFonts w:ascii="宋体"/>
          <w:b/>
          <w:bCs/>
          <w:color w:val="000000"/>
          <w:sz w:val="22"/>
          <w:szCs w:val="22"/>
        </w:rPr>
      </w:pPr>
      <w:r>
        <w:rPr>
          <w:rFonts w:hint="eastAsia" w:ascii="宋体" w:hAnsi="宋体" w:cs="宋体"/>
          <w:b/>
          <w:bCs/>
          <w:color w:val="000000"/>
          <w:sz w:val="22"/>
          <w:szCs w:val="22"/>
        </w:rPr>
        <w:t>分包履行合同</w:t>
      </w:r>
    </w:p>
    <w:p w14:paraId="26A5AA53">
      <w:pPr>
        <w:numPr>
          <w:ilvl w:val="1"/>
          <w:numId w:val="7"/>
        </w:numPr>
        <w:spacing w:line="360" w:lineRule="auto"/>
        <w:rPr>
          <w:rFonts w:ascii="宋体"/>
          <w:b/>
          <w:bCs/>
          <w:sz w:val="22"/>
          <w:szCs w:val="22"/>
        </w:rPr>
      </w:pPr>
      <w:r>
        <w:rPr>
          <w:rFonts w:hint="eastAsia" w:ascii="宋体" w:hAnsi="宋体" w:cs="宋体"/>
          <w:sz w:val="22"/>
          <w:szCs w:val="22"/>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6220D55B">
      <w:pPr>
        <w:numPr>
          <w:ilvl w:val="1"/>
          <w:numId w:val="7"/>
        </w:numPr>
        <w:spacing w:line="360" w:lineRule="auto"/>
        <w:rPr>
          <w:rFonts w:ascii="宋体"/>
          <w:b/>
          <w:bCs/>
          <w:color w:val="000000"/>
          <w:sz w:val="22"/>
          <w:szCs w:val="22"/>
        </w:rPr>
      </w:pPr>
      <w:r>
        <w:rPr>
          <w:rFonts w:hint="eastAsia" w:ascii="宋体" w:hAnsi="宋体" w:cs="宋体"/>
          <w:sz w:val="22"/>
          <w:szCs w:val="22"/>
        </w:rPr>
        <w:t>政府采购合同分包履行的，中标、成交供应商就采购项目和分包项目向采购人负责，分包供应商就分包项目承担责任。</w:t>
      </w:r>
    </w:p>
    <w:p w14:paraId="2822E7DD">
      <w:pPr>
        <w:numPr>
          <w:ilvl w:val="0"/>
          <w:numId w:val="7"/>
        </w:numPr>
        <w:spacing w:line="360" w:lineRule="auto"/>
        <w:rPr>
          <w:rFonts w:ascii="宋体"/>
          <w:sz w:val="22"/>
          <w:szCs w:val="22"/>
        </w:rPr>
      </w:pPr>
      <w:r>
        <w:rPr>
          <w:rFonts w:hint="eastAsia" w:ascii="宋体" w:hAnsi="宋体" w:cs="宋体"/>
          <w:b/>
          <w:bCs/>
          <w:color w:val="000000"/>
          <w:sz w:val="22"/>
          <w:szCs w:val="22"/>
        </w:rPr>
        <w:t>政府采购合同履行中合同标的的追加</w:t>
      </w:r>
    </w:p>
    <w:p w14:paraId="7BB10B34">
      <w:pPr>
        <w:numPr>
          <w:ilvl w:val="1"/>
          <w:numId w:val="7"/>
        </w:numPr>
        <w:spacing w:line="360" w:lineRule="auto"/>
        <w:rPr>
          <w:rFonts w:ascii="宋体"/>
          <w:sz w:val="36"/>
          <w:szCs w:val="36"/>
        </w:rPr>
      </w:pPr>
      <w:r>
        <w:rPr>
          <w:rFonts w:hint="eastAsia" w:ascii="宋体" w:hAnsi="宋体" w:cs="宋体"/>
          <w:sz w:val="22"/>
          <w:szCs w:val="22"/>
        </w:rPr>
        <w:t>政府采购合同履行中，采购人需追加与合同标的相同的货物、工程或者服务的，在不改变合同其他条款的前提下，可以与供应商协商签订补充合同，但所有补充合同的采购金额不得超过原合同采购金额的百分之十。</w:t>
      </w:r>
    </w:p>
    <w:bookmarkEnd w:id="33"/>
    <w:bookmarkEnd w:id="34"/>
    <w:p w14:paraId="39183758">
      <w:pPr>
        <w:pageBreakBefore/>
        <w:numPr>
          <w:ilvl w:val="0"/>
          <w:numId w:val="8"/>
        </w:numPr>
        <w:spacing w:line="360" w:lineRule="auto"/>
        <w:jc w:val="center"/>
        <w:outlineLvl w:val="0"/>
        <w:rPr>
          <w:rFonts w:ascii="宋体"/>
          <w:b/>
          <w:bCs/>
          <w:kern w:val="0"/>
          <w:sz w:val="36"/>
          <w:szCs w:val="36"/>
        </w:rPr>
      </w:pPr>
      <w:bookmarkStart w:id="49" w:name="_Toc28982"/>
      <w:bookmarkStart w:id="50" w:name="_Toc274816735"/>
      <w:r>
        <w:rPr>
          <w:rFonts w:ascii="宋体" w:hAnsi="宋体" w:cs="宋体"/>
          <w:b/>
          <w:bCs/>
          <w:kern w:val="0"/>
          <w:sz w:val="36"/>
          <w:szCs w:val="36"/>
        </w:rPr>
        <w:t xml:space="preserve"> </w:t>
      </w:r>
      <w:bookmarkStart w:id="51" w:name="_Toc29974"/>
      <w:bookmarkStart w:id="52" w:name="_Toc4756"/>
      <w:bookmarkStart w:id="53" w:name="_Toc6186"/>
      <w:bookmarkStart w:id="54" w:name="_Toc3611"/>
      <w:bookmarkStart w:id="55" w:name="_Toc12216"/>
      <w:r>
        <w:rPr>
          <w:rFonts w:hint="eastAsia" w:ascii="宋体" w:hAnsi="宋体" w:cs="宋体"/>
          <w:b/>
          <w:bCs/>
          <w:kern w:val="0"/>
          <w:sz w:val="36"/>
          <w:szCs w:val="36"/>
        </w:rPr>
        <w:t>采购</w:t>
      </w:r>
      <w:r>
        <w:rPr>
          <w:rFonts w:hint="eastAsia" w:ascii="宋体" w:hAnsi="宋体" w:cs="宋体"/>
          <w:b/>
          <w:bCs/>
          <w:kern w:val="0"/>
          <w:sz w:val="36"/>
          <w:szCs w:val="36"/>
          <w:lang w:val="en-US" w:eastAsia="zh-CN"/>
        </w:rPr>
        <w:t>项目</w:t>
      </w:r>
      <w:r>
        <w:rPr>
          <w:rFonts w:hint="eastAsia" w:ascii="宋体" w:hAnsi="宋体" w:cs="宋体"/>
          <w:b/>
          <w:bCs/>
          <w:kern w:val="0"/>
          <w:sz w:val="36"/>
          <w:szCs w:val="36"/>
        </w:rPr>
        <w:t>需求及要求</w:t>
      </w:r>
      <w:bookmarkEnd w:id="49"/>
      <w:bookmarkEnd w:id="51"/>
      <w:bookmarkEnd w:id="52"/>
      <w:bookmarkEnd w:id="53"/>
      <w:bookmarkEnd w:id="54"/>
      <w:bookmarkEnd w:id="55"/>
    </w:p>
    <w:bookmarkEnd w:id="50"/>
    <w:p w14:paraId="7AED2DAA">
      <w:pPr>
        <w:spacing w:line="360" w:lineRule="auto"/>
        <w:jc w:val="center"/>
        <w:outlineLvl w:val="1"/>
        <w:rPr>
          <w:rFonts w:ascii="Times New Roman"/>
          <w:color w:val="auto"/>
          <w:sz w:val="32"/>
          <w:szCs w:val="32"/>
          <w:highlight w:val="none"/>
        </w:rPr>
      </w:pPr>
      <w:bookmarkStart w:id="56" w:name="_Toc32293"/>
      <w:bookmarkStart w:id="57" w:name="_Toc9692"/>
      <w:bookmarkStart w:id="58" w:name="_Toc16655"/>
      <w:bookmarkStart w:id="59" w:name="_Toc22989"/>
      <w:bookmarkStart w:id="60" w:name="_Toc24881"/>
      <w:bookmarkStart w:id="61" w:name="_Toc423078602"/>
      <w:bookmarkStart w:id="62" w:name="_Toc373314705"/>
      <w:r>
        <w:rPr>
          <w:rFonts w:ascii="Times New Roman"/>
          <w:color w:val="auto"/>
          <w:sz w:val="32"/>
          <w:szCs w:val="32"/>
          <w:highlight w:val="none"/>
        </w:rPr>
        <w:t>第</w:t>
      </w:r>
      <w:r>
        <w:rPr>
          <w:rFonts w:hint="eastAsia" w:ascii="Times New Roman"/>
          <w:color w:val="auto"/>
          <w:sz w:val="32"/>
          <w:szCs w:val="32"/>
          <w:highlight w:val="none"/>
        </w:rPr>
        <w:t>一</w:t>
      </w:r>
      <w:r>
        <w:rPr>
          <w:rFonts w:ascii="Times New Roman"/>
          <w:color w:val="auto"/>
          <w:sz w:val="32"/>
          <w:szCs w:val="32"/>
          <w:highlight w:val="none"/>
        </w:rPr>
        <w:t xml:space="preserve">部分 </w:t>
      </w:r>
      <w:r>
        <w:rPr>
          <w:rFonts w:hint="eastAsia" w:ascii="Times New Roman"/>
          <w:color w:val="auto"/>
          <w:sz w:val="32"/>
          <w:szCs w:val="32"/>
          <w:highlight w:val="none"/>
        </w:rPr>
        <w:t>商务要求</w:t>
      </w:r>
      <w:bookmarkEnd w:id="56"/>
    </w:p>
    <w:p w14:paraId="1FC24727">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kern w:val="0"/>
          <w:sz w:val="24"/>
          <w:szCs w:val="24"/>
          <w:highlight w:val="none"/>
        </w:rPr>
        <w:t>一</w:t>
      </w:r>
      <w:r>
        <w:rPr>
          <w:rFonts w:hint="eastAsia" w:asciiTheme="minorEastAsia" w:hAnsiTheme="minorEastAsia" w:eastAsiaTheme="minorEastAsia" w:cstheme="minorEastAsia"/>
          <w:b/>
          <w:bCs/>
          <w:color w:val="auto"/>
          <w:kern w:val="0"/>
          <w:sz w:val="24"/>
          <w:szCs w:val="24"/>
          <w:highlight w:val="none"/>
          <w:lang w:eastAsia="zh-CN"/>
        </w:rPr>
        <w:t>、</w:t>
      </w:r>
      <w:r>
        <w:rPr>
          <w:rFonts w:hint="eastAsia" w:asciiTheme="minorEastAsia" w:hAnsiTheme="minorEastAsia" w:eastAsiaTheme="minorEastAsia" w:cstheme="minorEastAsia"/>
          <w:b/>
          <w:bCs/>
          <w:color w:val="auto"/>
          <w:sz w:val="24"/>
          <w:highlight w:val="none"/>
        </w:rPr>
        <w:t>报价要求</w:t>
      </w:r>
    </w:p>
    <w:p w14:paraId="3752348C">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color w:val="auto"/>
          <w:sz w:val="24"/>
          <w:highlight w:val="none"/>
        </w:rPr>
      </w:pPr>
      <w:r>
        <w:rPr>
          <w:rFonts w:hint="eastAsia"/>
          <w:color w:val="auto"/>
          <w:sz w:val="24"/>
          <w:highlight w:val="none"/>
        </w:rPr>
        <w:t>1. 投标报价以人民币填列。</w:t>
      </w:r>
    </w:p>
    <w:p w14:paraId="72A831DB">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color w:val="auto"/>
          <w:sz w:val="24"/>
          <w:highlight w:val="none"/>
        </w:rPr>
      </w:pPr>
      <w:r>
        <w:rPr>
          <w:rFonts w:hint="eastAsia"/>
          <w:color w:val="auto"/>
          <w:sz w:val="24"/>
          <w:highlight w:val="none"/>
        </w:rPr>
        <w:t>2. 投标人的报价应包括：设备主机及附件货款、运输费、运输保险费、装卸费、安装调试费及其他应有的费用。投标人所报价格为货到现场安装调试完成的最终优惠价格。</w:t>
      </w:r>
    </w:p>
    <w:p w14:paraId="715D02CC">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color w:val="auto"/>
          <w:sz w:val="24"/>
          <w:highlight w:val="none"/>
        </w:rPr>
      </w:pPr>
      <w:r>
        <w:rPr>
          <w:rFonts w:hint="eastAsia"/>
          <w:color w:val="auto"/>
          <w:sz w:val="24"/>
          <w:highlight w:val="none"/>
        </w:rPr>
        <w:t>3. 验收及相关费用由投标人负责。</w:t>
      </w:r>
    </w:p>
    <w:p w14:paraId="0DA45A81">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b/>
          <w:bCs/>
          <w:color w:val="auto"/>
          <w:sz w:val="24"/>
          <w:highlight w:val="none"/>
        </w:rPr>
      </w:pPr>
      <w:r>
        <w:rPr>
          <w:rFonts w:hint="eastAsia"/>
          <w:b/>
          <w:bCs/>
          <w:color w:val="auto"/>
          <w:sz w:val="24"/>
          <w:highlight w:val="none"/>
        </w:rPr>
        <w:t>二</w:t>
      </w:r>
      <w:r>
        <w:rPr>
          <w:rFonts w:hint="eastAsia"/>
          <w:b/>
          <w:bCs/>
          <w:color w:val="auto"/>
          <w:sz w:val="24"/>
          <w:highlight w:val="none"/>
          <w:lang w:eastAsia="zh-CN"/>
        </w:rPr>
        <w:t>、</w:t>
      </w:r>
      <w:r>
        <w:rPr>
          <w:rFonts w:hint="eastAsia"/>
          <w:b/>
          <w:bCs/>
          <w:color w:val="auto"/>
          <w:sz w:val="24"/>
          <w:highlight w:val="none"/>
        </w:rPr>
        <w:t>服务要求</w:t>
      </w:r>
    </w:p>
    <w:p w14:paraId="0AE972EA">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color w:val="auto"/>
          <w:sz w:val="24"/>
          <w:highlight w:val="none"/>
        </w:rPr>
      </w:pPr>
      <w:r>
        <w:rPr>
          <w:rFonts w:hint="eastAsia"/>
          <w:color w:val="auto"/>
          <w:sz w:val="24"/>
          <w:highlight w:val="none"/>
        </w:rPr>
        <w:t>提供所投产品1年的免费上门保修。保修期内免费更换零配件，在接到正式通知后2小时内响应，48小时内到达现场进行检修，解决问题时间不超过72小时。保修期自验收合格之日起计算。</w:t>
      </w:r>
    </w:p>
    <w:p w14:paraId="30F9CD98">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b/>
          <w:bCs/>
          <w:color w:val="auto"/>
          <w:sz w:val="24"/>
          <w:highlight w:val="none"/>
        </w:rPr>
      </w:pPr>
      <w:r>
        <w:rPr>
          <w:rFonts w:hint="eastAsia"/>
          <w:b/>
          <w:bCs/>
          <w:color w:val="auto"/>
          <w:sz w:val="24"/>
          <w:highlight w:val="none"/>
        </w:rPr>
        <w:t>三</w:t>
      </w:r>
      <w:r>
        <w:rPr>
          <w:rFonts w:hint="eastAsia"/>
          <w:b/>
          <w:bCs/>
          <w:color w:val="auto"/>
          <w:sz w:val="24"/>
          <w:highlight w:val="none"/>
          <w:lang w:eastAsia="zh-CN"/>
        </w:rPr>
        <w:t>、</w:t>
      </w:r>
      <w:r>
        <w:rPr>
          <w:rFonts w:hint="eastAsia"/>
          <w:b/>
          <w:bCs/>
          <w:color w:val="auto"/>
          <w:sz w:val="24"/>
          <w:highlight w:val="none"/>
        </w:rPr>
        <w:t>交货要求</w:t>
      </w:r>
    </w:p>
    <w:p w14:paraId="3ECFDCE1">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eastAsia="宋体"/>
          <w:strike w:val="0"/>
          <w:dstrike/>
          <w:color w:val="auto"/>
          <w:sz w:val="24"/>
          <w:highlight w:val="none"/>
          <w:u w:val="none"/>
          <w:lang w:val="en-US" w:eastAsia="zh-CN"/>
        </w:rPr>
      </w:pPr>
      <w:r>
        <w:rPr>
          <w:rFonts w:hint="eastAsia"/>
          <w:color w:val="auto"/>
          <w:sz w:val="24"/>
          <w:highlight w:val="none"/>
        </w:rPr>
        <w:t>1. 货到时间：</w:t>
      </w:r>
      <w:r>
        <w:rPr>
          <w:rFonts w:hint="eastAsia"/>
          <w:color w:val="auto"/>
          <w:sz w:val="24"/>
          <w:highlight w:val="none"/>
          <w:lang w:val="en-US" w:eastAsia="zh-CN"/>
        </w:rPr>
        <w:t>合同签订后</w:t>
      </w:r>
      <w:r>
        <w:rPr>
          <w:rFonts w:hint="eastAsia"/>
          <w:color w:val="auto"/>
          <w:sz w:val="24"/>
          <w:highlight w:val="none"/>
          <w:u w:val="single"/>
          <w:lang w:val="en-US" w:eastAsia="zh-CN"/>
        </w:rPr>
        <w:t xml:space="preserve"> 15 </w:t>
      </w:r>
      <w:r>
        <w:rPr>
          <w:rFonts w:hint="eastAsia"/>
          <w:color w:val="auto"/>
          <w:sz w:val="24"/>
          <w:highlight w:val="none"/>
          <w:u w:val="none"/>
          <w:lang w:val="en-US" w:eastAsia="zh-CN"/>
        </w:rPr>
        <w:t>天。</w:t>
      </w:r>
    </w:p>
    <w:p w14:paraId="22E6E725">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color w:val="auto"/>
          <w:sz w:val="24"/>
          <w:highlight w:val="none"/>
          <w:lang w:val="en-US" w:eastAsia="zh-CN"/>
        </w:rPr>
      </w:pPr>
      <w:r>
        <w:rPr>
          <w:rFonts w:hint="eastAsia"/>
          <w:color w:val="auto"/>
          <w:sz w:val="24"/>
          <w:highlight w:val="none"/>
        </w:rPr>
        <w:t>2. 交货地点：</w:t>
      </w:r>
      <w:r>
        <w:rPr>
          <w:rFonts w:hint="eastAsia"/>
          <w:color w:val="auto"/>
          <w:sz w:val="24"/>
          <w:highlight w:val="none"/>
          <w:lang w:val="en-US" w:eastAsia="zh-CN"/>
        </w:rPr>
        <w:t>采购单位指定地点。</w:t>
      </w:r>
    </w:p>
    <w:p w14:paraId="0DCB4702">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color w:val="auto"/>
          <w:sz w:val="24"/>
          <w:highlight w:val="none"/>
        </w:rPr>
      </w:pPr>
      <w:r>
        <w:rPr>
          <w:rFonts w:hint="eastAsia"/>
          <w:color w:val="auto"/>
          <w:sz w:val="24"/>
          <w:highlight w:val="none"/>
          <w:lang w:val="en-US" w:eastAsia="zh-CN"/>
        </w:rPr>
        <w:t>3.</w:t>
      </w:r>
      <w:r>
        <w:rPr>
          <w:rFonts w:hint="eastAsia"/>
          <w:color w:val="auto"/>
          <w:sz w:val="24"/>
          <w:highlight w:val="none"/>
        </w:rPr>
        <w:t>交货时要求投标人就所投产品提供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制造商的责任。</w:t>
      </w:r>
    </w:p>
    <w:p w14:paraId="609D0A12">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b/>
          <w:bCs/>
          <w:color w:val="auto"/>
          <w:sz w:val="24"/>
          <w:highlight w:val="none"/>
        </w:rPr>
      </w:pPr>
      <w:r>
        <w:rPr>
          <w:rFonts w:hint="eastAsia"/>
          <w:b/>
          <w:bCs/>
          <w:color w:val="auto"/>
          <w:sz w:val="24"/>
          <w:highlight w:val="none"/>
          <w:lang w:val="en-US" w:eastAsia="zh-CN"/>
        </w:rPr>
        <w:t>四</w:t>
      </w:r>
      <w:r>
        <w:rPr>
          <w:rFonts w:hint="eastAsia"/>
          <w:b/>
          <w:bCs/>
          <w:color w:val="auto"/>
          <w:sz w:val="24"/>
          <w:highlight w:val="none"/>
          <w:lang w:eastAsia="zh-CN"/>
        </w:rPr>
        <w:t>、</w:t>
      </w:r>
      <w:r>
        <w:rPr>
          <w:rFonts w:hint="eastAsia"/>
          <w:b/>
          <w:bCs/>
          <w:color w:val="auto"/>
          <w:sz w:val="24"/>
          <w:highlight w:val="none"/>
        </w:rPr>
        <w:t>验收方法及标准</w:t>
      </w:r>
    </w:p>
    <w:p w14:paraId="615D720F">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color w:val="auto"/>
          <w:sz w:val="24"/>
          <w:highlight w:val="none"/>
        </w:rPr>
      </w:pPr>
      <w:r>
        <w:rPr>
          <w:rFonts w:hint="eastAsia"/>
          <w:color w:val="auto"/>
          <w:sz w:val="24"/>
          <w:highlight w:val="none"/>
          <w:lang w:val="en-US" w:eastAsia="zh-CN"/>
        </w:rPr>
        <w:t xml:space="preserve"> </w:t>
      </w:r>
      <w:r>
        <w:rPr>
          <w:rFonts w:hint="eastAsia"/>
          <w:color w:val="auto"/>
          <w:sz w:val="24"/>
          <w:highlight w:val="none"/>
        </w:rPr>
        <w:t>按照采购合同的约定和现行国家标准、行业标准以及企业标准对每一项技术、服务、安全标准的履约情况进行确认。采购人有权根据需要设置出厂检验、到货检验、安装调试检验、配套服务检验等多重验收环节。必要时，采购人有权邀请参加本项目的其他投标人或者第三方机构参与验收。参与验收的投标人或者第三方机构的意见作为验收书的参考资料一并存档。验收结束后，应当出具验收书，列明各项标准的验收情况及项目总体评价，由验收双方共同签署。</w:t>
      </w:r>
    </w:p>
    <w:p w14:paraId="4FD1485D">
      <w:pPr>
        <w:pStyle w:val="170"/>
      </w:pPr>
    </w:p>
    <w:p w14:paraId="5FB9C553">
      <w:pPr>
        <w:numPr>
          <w:ilvl w:val="0"/>
          <w:numId w:val="9"/>
        </w:numPr>
        <w:spacing w:line="240" w:lineRule="auto"/>
        <w:jc w:val="center"/>
        <w:outlineLvl w:val="1"/>
        <w:rPr>
          <w:rFonts w:hint="eastAsia" w:ascii="Times New Roman"/>
          <w:color w:val="auto"/>
          <w:sz w:val="32"/>
          <w:szCs w:val="32"/>
          <w:highlight w:val="none"/>
        </w:rPr>
      </w:pPr>
      <w:bookmarkStart w:id="63" w:name="_Toc26753"/>
      <w:r>
        <w:rPr>
          <w:rFonts w:hint="eastAsia" w:ascii="Times New Roman"/>
          <w:color w:val="auto"/>
          <w:sz w:val="32"/>
          <w:szCs w:val="32"/>
          <w:highlight w:val="none"/>
        </w:rPr>
        <w:t>项目需求书</w:t>
      </w:r>
      <w:bookmarkEnd w:id="63"/>
    </w:p>
    <w:p w14:paraId="4210D871">
      <w:pPr>
        <w:bidi w:val="0"/>
        <w:rPr>
          <w:rFonts w:hint="eastAsia" w:ascii="Times New Roman" w:hAnsi="Times New Roman" w:eastAsia="宋体" w:cs="Times New Roman"/>
          <w:kern w:val="2"/>
          <w:sz w:val="21"/>
          <w:szCs w:val="21"/>
          <w:lang w:val="en-US" w:eastAsia="zh-CN" w:bidi="ar-SA"/>
        </w:rPr>
      </w:pPr>
    </w:p>
    <w:p w14:paraId="602566B8">
      <w:pPr>
        <w:numPr>
          <w:ilvl w:val="0"/>
          <w:numId w:val="10"/>
        </w:numPr>
        <w:spacing w:line="360" w:lineRule="auto"/>
        <w:outlineLvl w:val="9"/>
        <w:rPr>
          <w:rFonts w:hint="default" w:ascii="仿宋_GB2312" w:hAnsi="仿宋_GB2312" w:eastAsia="仿宋_GB2312" w:cs="仿宋_GB2312"/>
          <w:color w:val="auto"/>
          <w:kern w:val="2"/>
          <w:sz w:val="28"/>
          <w:szCs w:val="28"/>
          <w:highlight w:val="none"/>
          <w:shd w:val="clear" w:color="auto" w:fill="auto"/>
          <w:lang w:val="en-US" w:eastAsia="zh-CN" w:bidi="ar-SA"/>
        </w:rPr>
      </w:pPr>
      <w:bookmarkStart w:id="64" w:name="_Toc23568"/>
      <w:bookmarkStart w:id="65" w:name="_Toc1602"/>
      <w:r>
        <w:rPr>
          <w:rFonts w:hint="eastAsia" w:ascii="宋体" w:hAnsi="宋体" w:eastAsia="宋体" w:cs="宋体"/>
          <w:b/>
          <w:sz w:val="28"/>
          <w:szCs w:val="28"/>
        </w:rPr>
        <w:t>分包情况</w:t>
      </w:r>
      <w:bookmarkEnd w:id="64"/>
      <w:bookmarkEnd w:id="65"/>
    </w:p>
    <w:p w14:paraId="70B96454">
      <w:pPr>
        <w:numPr>
          <w:ilvl w:val="0"/>
          <w:numId w:val="0"/>
        </w:numPr>
        <w:spacing w:line="360" w:lineRule="auto"/>
        <w:ind w:firstLine="560" w:firstLineChars="200"/>
        <w:outlineLvl w:val="9"/>
        <w:rPr>
          <w:rFonts w:hint="eastAsia" w:asciiTheme="minorEastAsia" w:hAnsiTheme="minorEastAsia" w:eastAsiaTheme="minorEastAsia" w:cstheme="minorEastAsia"/>
          <w:color w:val="auto"/>
          <w:kern w:val="2"/>
          <w:sz w:val="28"/>
          <w:szCs w:val="28"/>
          <w:highlight w:val="none"/>
          <w:shd w:val="clear" w:color="auto" w:fill="auto"/>
          <w:lang w:val="en-US" w:eastAsia="zh-CN" w:bidi="ar-SA"/>
        </w:rPr>
      </w:pPr>
      <w:r>
        <w:rPr>
          <w:rFonts w:hint="eastAsia" w:asciiTheme="minorEastAsia" w:hAnsiTheme="minorEastAsia" w:eastAsiaTheme="minorEastAsia" w:cstheme="minorEastAsia"/>
          <w:color w:val="auto"/>
          <w:sz w:val="28"/>
          <w:szCs w:val="28"/>
          <w:highlight w:val="none"/>
          <w:shd w:val="clear" w:color="auto" w:fill="auto"/>
          <w:lang w:val="en-US" w:eastAsia="en-US" w:bidi="ar-SA"/>
        </w:rPr>
        <w:t>本项目采购预算</w:t>
      </w:r>
      <w:r>
        <w:rPr>
          <w:rFonts w:hint="eastAsia" w:asciiTheme="minorEastAsia" w:hAnsiTheme="minorEastAsia" w:eastAsiaTheme="minorEastAsia" w:cstheme="minorEastAsia"/>
          <w:color w:val="auto"/>
          <w:sz w:val="28"/>
          <w:szCs w:val="28"/>
          <w:highlight w:val="none"/>
          <w:u w:val="single"/>
          <w:shd w:val="clear" w:color="auto" w:fill="auto"/>
          <w:lang w:val="en-US" w:eastAsia="zh-CN" w:bidi="ar-SA"/>
        </w:rPr>
        <w:t xml:space="preserve"> </w:t>
      </w:r>
      <w:r>
        <w:rPr>
          <w:rFonts w:hint="eastAsia" w:asciiTheme="minorEastAsia" w:hAnsiTheme="minorEastAsia" w:eastAsiaTheme="minorEastAsia" w:cstheme="minorEastAsia"/>
          <w:b/>
          <w:bCs/>
          <w:color w:val="auto"/>
          <w:sz w:val="28"/>
          <w:szCs w:val="28"/>
          <w:highlight w:val="none"/>
          <w:u w:val="single"/>
          <w:shd w:val="clear" w:color="auto" w:fill="auto"/>
          <w:lang w:val="en-US" w:eastAsia="zh-CN" w:bidi="ar-SA"/>
        </w:rPr>
        <w:t>50</w:t>
      </w:r>
      <w:r>
        <w:rPr>
          <w:rFonts w:hint="eastAsia" w:asciiTheme="minorEastAsia" w:hAnsiTheme="minorEastAsia" w:eastAsiaTheme="minorEastAsia" w:cstheme="minorEastAsia"/>
          <w:color w:val="auto"/>
          <w:sz w:val="28"/>
          <w:szCs w:val="28"/>
          <w:highlight w:val="none"/>
          <w:u w:val="single"/>
          <w:shd w:val="clear" w:color="auto" w:fill="auto"/>
          <w:lang w:val="en-US" w:eastAsia="zh-CN" w:bidi="ar-SA"/>
        </w:rPr>
        <w:t xml:space="preserve"> </w:t>
      </w:r>
      <w:r>
        <w:rPr>
          <w:rFonts w:hint="eastAsia" w:asciiTheme="minorEastAsia" w:hAnsiTheme="minorEastAsia" w:eastAsiaTheme="minorEastAsia" w:cstheme="minorEastAsia"/>
          <w:color w:val="auto"/>
          <w:sz w:val="28"/>
          <w:szCs w:val="28"/>
          <w:highlight w:val="none"/>
          <w:u w:val="none"/>
          <w:shd w:val="clear" w:color="auto" w:fill="auto"/>
          <w:lang w:val="en-US" w:eastAsia="en-US" w:bidi="ar-SA"/>
        </w:rPr>
        <w:t>万元，</w:t>
      </w:r>
      <w:r>
        <w:rPr>
          <w:rFonts w:hint="eastAsia" w:asciiTheme="minorEastAsia" w:hAnsiTheme="minorEastAsia" w:eastAsiaTheme="minorEastAsia" w:cstheme="minorEastAsia"/>
          <w:color w:val="auto"/>
          <w:sz w:val="28"/>
          <w:szCs w:val="28"/>
          <w:highlight w:val="none"/>
          <w:u w:val="none"/>
          <w:shd w:val="clear" w:color="auto" w:fill="auto"/>
          <w:lang w:val="en-US" w:eastAsia="zh-CN" w:bidi="ar-SA"/>
        </w:rPr>
        <w:t>最高限价</w:t>
      </w:r>
      <w:r>
        <w:rPr>
          <w:rFonts w:hint="eastAsia" w:asciiTheme="minorEastAsia" w:hAnsiTheme="minorEastAsia" w:eastAsiaTheme="minorEastAsia" w:cstheme="minorEastAsia"/>
          <w:color w:val="auto"/>
          <w:sz w:val="28"/>
          <w:szCs w:val="28"/>
          <w:highlight w:val="none"/>
          <w:u w:val="single"/>
          <w:shd w:val="clear" w:color="auto" w:fill="auto"/>
          <w:lang w:val="en-US" w:eastAsia="zh-CN" w:bidi="ar-SA"/>
        </w:rPr>
        <w:t xml:space="preserve"> </w:t>
      </w:r>
      <w:r>
        <w:rPr>
          <w:rFonts w:hint="eastAsia" w:asciiTheme="minorEastAsia" w:hAnsiTheme="minorEastAsia" w:eastAsiaTheme="minorEastAsia" w:cstheme="minorEastAsia"/>
          <w:b/>
          <w:bCs/>
          <w:color w:val="auto"/>
          <w:sz w:val="28"/>
          <w:szCs w:val="28"/>
          <w:highlight w:val="none"/>
          <w:u w:val="single"/>
          <w:shd w:val="clear" w:color="auto" w:fill="auto"/>
          <w:lang w:val="en-US" w:eastAsia="zh-CN" w:bidi="ar-SA"/>
        </w:rPr>
        <w:t>50</w:t>
      </w:r>
      <w:r>
        <w:rPr>
          <w:rFonts w:hint="eastAsia" w:asciiTheme="minorEastAsia" w:hAnsiTheme="minorEastAsia" w:eastAsiaTheme="minorEastAsia" w:cstheme="minorEastAsia"/>
          <w:color w:val="auto"/>
          <w:sz w:val="28"/>
          <w:szCs w:val="28"/>
          <w:highlight w:val="none"/>
          <w:u w:val="single"/>
          <w:shd w:val="clear" w:color="auto" w:fill="auto"/>
          <w:lang w:val="en-US" w:eastAsia="zh-CN" w:bidi="ar-SA"/>
        </w:rPr>
        <w:t xml:space="preserve"> </w:t>
      </w:r>
      <w:r>
        <w:rPr>
          <w:rFonts w:hint="eastAsia" w:asciiTheme="minorEastAsia" w:hAnsiTheme="minorEastAsia" w:eastAsiaTheme="minorEastAsia" w:cstheme="minorEastAsia"/>
          <w:color w:val="auto"/>
          <w:sz w:val="28"/>
          <w:szCs w:val="28"/>
          <w:highlight w:val="none"/>
          <w:u w:val="none"/>
          <w:shd w:val="clear" w:color="auto" w:fill="auto"/>
          <w:lang w:val="en-US" w:eastAsia="zh-CN" w:bidi="ar-SA"/>
        </w:rPr>
        <w:t>万元，</w:t>
      </w:r>
      <w:r>
        <w:rPr>
          <w:rFonts w:hint="eastAsia" w:asciiTheme="minorEastAsia" w:hAnsiTheme="minorEastAsia" w:eastAsiaTheme="minorEastAsia" w:cstheme="minorEastAsia"/>
          <w:color w:val="auto"/>
          <w:sz w:val="28"/>
          <w:szCs w:val="28"/>
          <w:highlight w:val="none"/>
          <w:u w:val="none"/>
          <w:shd w:val="clear" w:color="auto" w:fill="auto"/>
          <w:lang w:val="en-US" w:eastAsia="en-US" w:bidi="ar-SA"/>
        </w:rPr>
        <w:t>本项目共分为</w:t>
      </w:r>
      <w:r>
        <w:rPr>
          <w:rFonts w:hint="eastAsia" w:asciiTheme="minorEastAsia" w:hAnsiTheme="minorEastAsia" w:eastAsiaTheme="minorEastAsia" w:cstheme="minorEastAsia"/>
          <w:b/>
          <w:bCs/>
          <w:color w:val="auto"/>
          <w:sz w:val="28"/>
          <w:szCs w:val="28"/>
          <w:highlight w:val="none"/>
          <w:u w:val="none"/>
          <w:shd w:val="clear" w:color="auto" w:fill="auto"/>
          <w:lang w:val="en-US" w:eastAsia="zh-CN" w:bidi="ar-SA"/>
        </w:rPr>
        <w:t>1</w:t>
      </w:r>
      <w:r>
        <w:rPr>
          <w:rFonts w:hint="eastAsia" w:asciiTheme="minorEastAsia" w:hAnsiTheme="minorEastAsia" w:eastAsiaTheme="minorEastAsia" w:cstheme="minorEastAsia"/>
          <w:color w:val="auto"/>
          <w:sz w:val="28"/>
          <w:szCs w:val="28"/>
          <w:highlight w:val="none"/>
          <w:u w:val="none"/>
          <w:shd w:val="clear" w:color="auto" w:fill="auto"/>
          <w:lang w:val="en-US" w:eastAsia="en-US" w:bidi="ar-SA"/>
        </w:rPr>
        <w:t>个包</w:t>
      </w:r>
      <w:r>
        <w:rPr>
          <w:rFonts w:hint="eastAsia" w:asciiTheme="minorEastAsia" w:hAnsiTheme="minorEastAsia" w:eastAsiaTheme="minorEastAsia" w:cstheme="minorEastAsia"/>
          <w:color w:val="auto"/>
          <w:sz w:val="28"/>
          <w:szCs w:val="28"/>
          <w:highlight w:val="none"/>
          <w:u w:val="none"/>
          <w:shd w:val="clear" w:color="auto" w:fill="auto"/>
          <w:lang w:val="en-US" w:eastAsia="zh-CN" w:bidi="ar-SA"/>
        </w:rPr>
        <w:t>。</w:t>
      </w:r>
      <w:bookmarkStart w:id="66" w:name="_Toc17259"/>
      <w:r>
        <w:rPr>
          <w:rFonts w:hint="eastAsia" w:asciiTheme="minorEastAsia" w:hAnsiTheme="minorEastAsia" w:eastAsiaTheme="minorEastAsia" w:cstheme="minorEastAsia"/>
          <w:color w:val="auto"/>
          <w:sz w:val="28"/>
          <w:szCs w:val="28"/>
          <w:highlight w:val="none"/>
          <w:shd w:val="clear" w:color="auto" w:fill="auto"/>
          <w:lang w:val="en-US" w:eastAsia="zh-CN" w:bidi="ar-SA"/>
        </w:rPr>
        <w:t>采购</w:t>
      </w:r>
      <w:r>
        <w:rPr>
          <w:rFonts w:hint="eastAsia" w:asciiTheme="minorEastAsia" w:hAnsiTheme="minorEastAsia" w:eastAsiaTheme="minorEastAsia" w:cstheme="minorEastAsia"/>
          <w:color w:val="auto"/>
          <w:sz w:val="28"/>
          <w:szCs w:val="28"/>
          <w:highlight w:val="none"/>
          <w:u w:val="single"/>
          <w:shd w:val="clear" w:color="auto" w:fill="auto"/>
          <w:lang w:val="en-US" w:eastAsia="zh-CN" w:bidi="ar-SA"/>
        </w:rPr>
        <w:t xml:space="preserve"> </w:t>
      </w:r>
      <w:r>
        <w:rPr>
          <w:rFonts w:hint="eastAsia" w:asciiTheme="minorEastAsia" w:hAnsiTheme="minorEastAsia" w:eastAsiaTheme="minorEastAsia" w:cstheme="minorEastAsia"/>
          <w:b/>
          <w:bCs/>
          <w:color w:val="auto"/>
          <w:sz w:val="28"/>
          <w:szCs w:val="28"/>
          <w:highlight w:val="none"/>
          <w:u w:val="single"/>
          <w:shd w:val="clear" w:color="auto" w:fill="auto"/>
          <w:lang w:val="en-US" w:eastAsia="zh-CN" w:bidi="ar-SA"/>
        </w:rPr>
        <w:t>日常生活用品</w:t>
      </w:r>
      <w:r>
        <w:rPr>
          <w:rFonts w:hint="eastAsia" w:asciiTheme="minorEastAsia" w:hAnsiTheme="minorEastAsia" w:eastAsiaTheme="minorEastAsia" w:cstheme="minorEastAsia"/>
          <w:color w:val="auto"/>
          <w:sz w:val="28"/>
          <w:szCs w:val="28"/>
          <w:highlight w:val="none"/>
          <w:u w:val="single"/>
          <w:shd w:val="clear" w:color="auto" w:fill="auto"/>
          <w:lang w:val="en-US" w:eastAsia="zh-CN" w:bidi="ar-SA"/>
        </w:rPr>
        <w:t xml:space="preserve"> </w:t>
      </w:r>
      <w:r>
        <w:rPr>
          <w:rFonts w:hint="eastAsia" w:asciiTheme="minorEastAsia" w:hAnsiTheme="minorEastAsia" w:eastAsiaTheme="minorEastAsia" w:cstheme="minorEastAsia"/>
          <w:color w:val="auto"/>
          <w:sz w:val="28"/>
          <w:szCs w:val="28"/>
          <w:highlight w:val="none"/>
          <w:shd w:val="clear" w:color="auto" w:fill="auto"/>
          <w:lang w:val="en-US" w:eastAsia="zh-CN" w:bidi="ar-SA"/>
        </w:rPr>
        <w:t>。</w:t>
      </w:r>
    </w:p>
    <w:p w14:paraId="6CFB24F1">
      <w:pPr>
        <w:numPr>
          <w:ilvl w:val="0"/>
          <w:numId w:val="10"/>
        </w:numPr>
        <w:spacing w:line="360" w:lineRule="auto"/>
        <w:outlineLvl w:val="9"/>
        <w:rPr>
          <w:rFonts w:hint="default" w:ascii="仿宋_GB2312" w:hAnsi="仿宋_GB2312" w:eastAsia="仿宋_GB2312" w:cs="仿宋_GB2312"/>
          <w:color w:val="auto"/>
          <w:kern w:val="2"/>
          <w:sz w:val="28"/>
          <w:szCs w:val="28"/>
          <w:highlight w:val="none"/>
          <w:shd w:val="clear" w:color="auto" w:fill="auto"/>
          <w:lang w:val="en-US" w:eastAsia="zh-CN" w:bidi="ar-SA"/>
        </w:rPr>
      </w:pPr>
      <w:r>
        <w:rPr>
          <w:rFonts w:hint="eastAsia" w:ascii="宋体" w:hAnsi="宋体" w:eastAsia="宋体" w:cs="宋体"/>
          <w:b/>
          <w:sz w:val="28"/>
          <w:szCs w:val="28"/>
        </w:rPr>
        <w:t>采购</w:t>
      </w:r>
      <w:r>
        <w:rPr>
          <w:rFonts w:hint="eastAsia" w:ascii="宋体" w:hAnsi="宋体" w:eastAsia="宋体" w:cs="宋体"/>
          <w:b/>
          <w:sz w:val="28"/>
          <w:szCs w:val="28"/>
          <w:lang w:val="en-US" w:eastAsia="zh-CN"/>
        </w:rPr>
        <w:t>需求</w:t>
      </w:r>
      <w:bookmarkEnd w:id="66"/>
      <w:r>
        <w:rPr>
          <w:rFonts w:hint="eastAsia" w:ascii="宋体" w:hAnsi="宋体" w:eastAsia="宋体" w:cs="宋体"/>
          <w:b/>
          <w:sz w:val="28"/>
          <w:szCs w:val="28"/>
          <w:lang w:val="en-US" w:eastAsia="zh-CN"/>
        </w:rPr>
        <w:t>及要求</w:t>
      </w:r>
    </w:p>
    <w:p w14:paraId="6656652D">
      <w:pPr>
        <w:widowControl w:val="0"/>
        <w:ind w:left="210"/>
        <w:jc w:val="center"/>
        <w:rPr>
          <w:rFonts w:hint="default" w:ascii="Calibri" w:hAnsi="Calibri" w:eastAsia="宋体" w:cs="Calibri"/>
          <w:smallCaps/>
          <w:kern w:val="2"/>
          <w:sz w:val="20"/>
          <w:szCs w:val="20"/>
          <w:lang w:val="en-US" w:eastAsia="zh-CN" w:bidi="ar-SA"/>
        </w:rPr>
      </w:pPr>
      <w:r>
        <w:rPr>
          <w:rFonts w:hint="eastAsia" w:ascii="Times New Roman" w:hAnsi="Calibri" w:eastAsia="宋体" w:cs="Calibri"/>
          <w:b/>
          <w:bCs/>
          <w:smallCaps/>
          <w:kern w:val="2"/>
          <w:sz w:val="24"/>
          <w:szCs w:val="24"/>
          <w:u w:val="none"/>
          <w:lang w:val="en-US" w:eastAsia="zh-CN" w:bidi="ar-SA"/>
        </w:rPr>
        <w:t>陇南市妇女联合会“巾帼家美积分超市”奖补货品</w:t>
      </w:r>
      <w:r>
        <w:rPr>
          <w:rFonts w:hint="eastAsia" w:ascii="Times New Roman" w:hAnsi="Calibri" w:eastAsia="宋体" w:cs="Calibri"/>
          <w:b/>
          <w:bCs/>
          <w:smallCaps/>
          <w:kern w:val="2"/>
          <w:sz w:val="24"/>
          <w:szCs w:val="24"/>
          <w:lang w:val="en-US" w:eastAsia="zh-CN" w:bidi="ar-SA"/>
        </w:rPr>
        <w:t>项目设备清单及参数</w:t>
      </w:r>
    </w:p>
    <w:tbl>
      <w:tblPr>
        <w:tblStyle w:val="46"/>
        <w:tblW w:w="86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4"/>
        <w:gridCol w:w="112"/>
        <w:gridCol w:w="406"/>
        <w:gridCol w:w="123"/>
        <w:gridCol w:w="801"/>
        <w:gridCol w:w="54"/>
        <w:gridCol w:w="416"/>
        <w:gridCol w:w="582"/>
        <w:gridCol w:w="735"/>
        <w:gridCol w:w="1263"/>
        <w:gridCol w:w="835"/>
        <w:gridCol w:w="1194"/>
        <w:gridCol w:w="465"/>
        <w:gridCol w:w="256"/>
        <w:gridCol w:w="880"/>
        <w:gridCol w:w="59"/>
      </w:tblGrid>
      <w:tr w14:paraId="48F90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8665"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17D83">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陇南市2024年“巾帼家美积分超市”奖补货品清单</w:t>
            </w:r>
          </w:p>
        </w:tc>
      </w:tr>
      <w:tr w14:paraId="023D2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B48F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EDE85">
            <w:pPr>
              <w:jc w:val="center"/>
              <w:rPr>
                <w:rFonts w:hint="eastAsia" w:ascii="宋体" w:hAnsi="宋体" w:eastAsia="宋体" w:cs="宋体"/>
                <w:i w:val="0"/>
                <w:color w:val="000000"/>
                <w:sz w:val="22"/>
                <w:szCs w:val="22"/>
                <w:u w:val="none"/>
              </w:rPr>
            </w:pPr>
          </w:p>
        </w:tc>
        <w:tc>
          <w:tcPr>
            <w:tcW w:w="9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7A07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名称</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E21F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26CE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地方  数量</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CB2A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总数量</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66F2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规格</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6B6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保质期</w:t>
            </w:r>
          </w:p>
        </w:tc>
        <w:tc>
          <w:tcPr>
            <w:tcW w:w="16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679F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质量标准</w:t>
            </w:r>
          </w:p>
        </w:tc>
        <w:tc>
          <w:tcPr>
            <w:tcW w:w="11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CBD4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14:paraId="56FF9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CEE6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2FCA6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清洁用品</w:t>
            </w:r>
          </w:p>
        </w:tc>
        <w:tc>
          <w:tcPr>
            <w:tcW w:w="9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302A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洗洁精</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C2EB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桶</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3D4E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A7E9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B4EC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1L</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838B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1080天</w:t>
            </w:r>
          </w:p>
        </w:tc>
        <w:tc>
          <w:tcPr>
            <w:tcW w:w="16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EC1C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GB/T9985</w:t>
            </w:r>
          </w:p>
        </w:tc>
        <w:tc>
          <w:tcPr>
            <w:tcW w:w="11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3F49A">
            <w:pPr>
              <w:jc w:val="center"/>
              <w:rPr>
                <w:rFonts w:hint="eastAsia" w:ascii="宋体" w:hAnsi="宋体" w:eastAsia="宋体" w:cs="宋体"/>
                <w:i w:val="0"/>
                <w:color w:val="000000"/>
                <w:sz w:val="22"/>
                <w:szCs w:val="22"/>
                <w:u w:val="none"/>
              </w:rPr>
            </w:pPr>
          </w:p>
        </w:tc>
      </w:tr>
      <w:tr w14:paraId="10674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33B8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027D8C">
            <w:pPr>
              <w:jc w:val="center"/>
              <w:rPr>
                <w:rFonts w:hint="eastAsia" w:ascii="宋体" w:hAnsi="宋体" w:eastAsia="宋体" w:cs="宋体"/>
                <w:i w:val="0"/>
                <w:color w:val="000000"/>
                <w:sz w:val="22"/>
                <w:szCs w:val="22"/>
                <w:u w:val="none"/>
              </w:rPr>
            </w:pPr>
          </w:p>
        </w:tc>
        <w:tc>
          <w:tcPr>
            <w:tcW w:w="9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F829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洗衣液</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B45C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袋</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E349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3925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8D58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1.8kg</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6E21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1080天</w:t>
            </w:r>
          </w:p>
        </w:tc>
        <w:tc>
          <w:tcPr>
            <w:tcW w:w="16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BF40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q/hbqm001</w:t>
            </w:r>
          </w:p>
        </w:tc>
        <w:tc>
          <w:tcPr>
            <w:tcW w:w="11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8FF67">
            <w:pPr>
              <w:jc w:val="center"/>
              <w:rPr>
                <w:rFonts w:hint="eastAsia" w:ascii="宋体" w:hAnsi="宋体" w:eastAsia="宋体" w:cs="宋体"/>
                <w:i w:val="0"/>
                <w:color w:val="000000"/>
                <w:sz w:val="22"/>
                <w:szCs w:val="22"/>
                <w:u w:val="none"/>
              </w:rPr>
            </w:pPr>
          </w:p>
        </w:tc>
      </w:tr>
      <w:tr w14:paraId="24CE7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CACD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4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0CE54E">
            <w:pPr>
              <w:jc w:val="center"/>
              <w:rPr>
                <w:rFonts w:hint="eastAsia" w:ascii="宋体" w:hAnsi="宋体" w:eastAsia="宋体" w:cs="宋体"/>
                <w:i w:val="0"/>
                <w:color w:val="000000"/>
                <w:sz w:val="22"/>
                <w:szCs w:val="22"/>
                <w:u w:val="none"/>
              </w:rPr>
            </w:pPr>
          </w:p>
        </w:tc>
        <w:tc>
          <w:tcPr>
            <w:tcW w:w="9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4813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牙膏</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2F67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4D8D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7BC4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5535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200g</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4DBB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1080天</w:t>
            </w:r>
          </w:p>
        </w:tc>
        <w:tc>
          <w:tcPr>
            <w:tcW w:w="16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3925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gb/t8372-2018</w:t>
            </w:r>
          </w:p>
        </w:tc>
        <w:tc>
          <w:tcPr>
            <w:tcW w:w="11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F75CE">
            <w:pPr>
              <w:jc w:val="center"/>
              <w:rPr>
                <w:rFonts w:hint="eastAsia" w:ascii="宋体" w:hAnsi="宋体" w:eastAsia="宋体" w:cs="宋体"/>
                <w:i w:val="0"/>
                <w:color w:val="000000"/>
                <w:sz w:val="22"/>
                <w:szCs w:val="22"/>
                <w:u w:val="none"/>
              </w:rPr>
            </w:pPr>
          </w:p>
        </w:tc>
      </w:tr>
      <w:tr w14:paraId="5CE1A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E69D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4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DAC606">
            <w:pPr>
              <w:jc w:val="center"/>
              <w:rPr>
                <w:rFonts w:hint="eastAsia" w:ascii="宋体" w:hAnsi="宋体" w:eastAsia="宋体" w:cs="宋体"/>
                <w:i w:val="0"/>
                <w:color w:val="000000"/>
                <w:sz w:val="22"/>
                <w:szCs w:val="22"/>
                <w:u w:val="none"/>
              </w:rPr>
            </w:pPr>
          </w:p>
        </w:tc>
        <w:tc>
          <w:tcPr>
            <w:tcW w:w="9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2DB8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香皂</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14B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块</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31FF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54EC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509F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115g</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9D85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1080天</w:t>
            </w:r>
          </w:p>
        </w:tc>
        <w:tc>
          <w:tcPr>
            <w:tcW w:w="16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5B2C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Q/GZBJ8II型</w:t>
            </w:r>
          </w:p>
        </w:tc>
        <w:tc>
          <w:tcPr>
            <w:tcW w:w="11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D788C">
            <w:pPr>
              <w:jc w:val="center"/>
              <w:rPr>
                <w:rFonts w:hint="eastAsia" w:ascii="宋体" w:hAnsi="宋体" w:eastAsia="宋体" w:cs="宋体"/>
                <w:i w:val="0"/>
                <w:color w:val="000000"/>
                <w:sz w:val="22"/>
                <w:szCs w:val="22"/>
                <w:u w:val="none"/>
              </w:rPr>
            </w:pPr>
          </w:p>
        </w:tc>
      </w:tr>
      <w:tr w14:paraId="6D7FB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8" w:hRule="atLeast"/>
        </w:trPr>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576F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FE4B6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生活用品</w:t>
            </w:r>
          </w:p>
        </w:tc>
        <w:tc>
          <w:tcPr>
            <w:tcW w:w="9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88D4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水桶</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A4B6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32FB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1F84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FDC7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10L</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9DD1C">
            <w:pPr>
              <w:jc w:val="left"/>
              <w:rPr>
                <w:rFonts w:hint="eastAsia" w:ascii="宋体" w:hAnsi="宋体" w:eastAsia="宋体" w:cs="宋体"/>
                <w:i w:val="0"/>
                <w:color w:val="000000"/>
                <w:sz w:val="22"/>
                <w:szCs w:val="22"/>
                <w:u w:val="none"/>
              </w:rPr>
            </w:pPr>
          </w:p>
        </w:tc>
        <w:tc>
          <w:tcPr>
            <w:tcW w:w="16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0673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DB44/T503-2008</w:t>
            </w:r>
          </w:p>
        </w:tc>
        <w:tc>
          <w:tcPr>
            <w:tcW w:w="11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FF19E">
            <w:pPr>
              <w:jc w:val="center"/>
              <w:rPr>
                <w:rFonts w:hint="eastAsia" w:ascii="宋体" w:hAnsi="宋体" w:eastAsia="宋体" w:cs="宋体"/>
                <w:i w:val="0"/>
                <w:color w:val="000000"/>
                <w:sz w:val="22"/>
                <w:szCs w:val="22"/>
                <w:u w:val="none"/>
              </w:rPr>
            </w:pPr>
          </w:p>
        </w:tc>
      </w:tr>
      <w:tr w14:paraId="68462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4784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4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2482F7">
            <w:pPr>
              <w:jc w:val="center"/>
              <w:rPr>
                <w:rFonts w:hint="eastAsia" w:ascii="宋体" w:hAnsi="宋体" w:eastAsia="宋体" w:cs="宋体"/>
                <w:i w:val="0"/>
                <w:color w:val="000000"/>
                <w:sz w:val="22"/>
                <w:szCs w:val="22"/>
                <w:u w:val="none"/>
              </w:rPr>
            </w:pPr>
          </w:p>
        </w:tc>
        <w:tc>
          <w:tcPr>
            <w:tcW w:w="9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7F44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平铲</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6395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4839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CCB6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3145A">
            <w:pPr>
              <w:jc w:val="left"/>
              <w:rPr>
                <w:rFonts w:hint="eastAsia" w:ascii="宋体" w:hAnsi="宋体" w:eastAsia="宋体" w:cs="宋体"/>
                <w:i w:val="0"/>
                <w:color w:val="000000"/>
                <w:sz w:val="22"/>
                <w:szCs w:val="22"/>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D345E">
            <w:pPr>
              <w:jc w:val="left"/>
              <w:rPr>
                <w:rFonts w:hint="eastAsia" w:ascii="宋体" w:hAnsi="宋体" w:eastAsia="宋体" w:cs="宋体"/>
                <w:i w:val="0"/>
                <w:color w:val="000000"/>
                <w:sz w:val="22"/>
                <w:szCs w:val="22"/>
                <w:u w:val="none"/>
              </w:rPr>
            </w:pPr>
          </w:p>
        </w:tc>
        <w:tc>
          <w:tcPr>
            <w:tcW w:w="16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4FB6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QB/T2174-2006</w:t>
            </w:r>
          </w:p>
        </w:tc>
        <w:tc>
          <w:tcPr>
            <w:tcW w:w="11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32AEB">
            <w:pPr>
              <w:jc w:val="center"/>
              <w:rPr>
                <w:rFonts w:hint="eastAsia" w:ascii="宋体" w:hAnsi="宋体" w:eastAsia="宋体" w:cs="宋体"/>
                <w:i w:val="0"/>
                <w:color w:val="000000"/>
                <w:sz w:val="22"/>
                <w:szCs w:val="22"/>
                <w:u w:val="none"/>
              </w:rPr>
            </w:pPr>
          </w:p>
        </w:tc>
      </w:tr>
      <w:tr w14:paraId="4C2A4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8" w:hRule="atLeast"/>
        </w:trPr>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AA33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4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1ACFBA">
            <w:pPr>
              <w:jc w:val="center"/>
              <w:rPr>
                <w:rFonts w:hint="eastAsia" w:ascii="宋体" w:hAnsi="宋体" w:eastAsia="宋体" w:cs="宋体"/>
                <w:i w:val="0"/>
                <w:color w:val="000000"/>
                <w:sz w:val="22"/>
                <w:szCs w:val="22"/>
                <w:u w:val="none"/>
              </w:rPr>
            </w:pPr>
          </w:p>
        </w:tc>
        <w:tc>
          <w:tcPr>
            <w:tcW w:w="9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9740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电热水壶</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384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99DD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8D01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C26D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2L</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773D7">
            <w:pPr>
              <w:jc w:val="left"/>
              <w:rPr>
                <w:rFonts w:hint="eastAsia" w:ascii="宋体" w:hAnsi="宋体" w:eastAsia="宋体" w:cs="宋体"/>
                <w:i w:val="0"/>
                <w:color w:val="000000"/>
                <w:sz w:val="22"/>
                <w:szCs w:val="22"/>
                <w:u w:val="none"/>
              </w:rPr>
            </w:pPr>
          </w:p>
        </w:tc>
        <w:tc>
          <w:tcPr>
            <w:tcW w:w="16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733A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GB4806</w:t>
            </w:r>
          </w:p>
        </w:tc>
        <w:tc>
          <w:tcPr>
            <w:tcW w:w="11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2F47E">
            <w:pPr>
              <w:jc w:val="center"/>
              <w:rPr>
                <w:rFonts w:hint="eastAsia" w:ascii="宋体" w:hAnsi="宋体" w:eastAsia="宋体" w:cs="宋体"/>
                <w:i w:val="0"/>
                <w:color w:val="000000"/>
                <w:sz w:val="22"/>
                <w:szCs w:val="22"/>
                <w:u w:val="none"/>
              </w:rPr>
            </w:pPr>
          </w:p>
        </w:tc>
      </w:tr>
      <w:tr w14:paraId="44714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0BB8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4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FA18B5">
            <w:pPr>
              <w:jc w:val="center"/>
              <w:rPr>
                <w:rFonts w:hint="eastAsia" w:ascii="宋体" w:hAnsi="宋体" w:eastAsia="宋体" w:cs="宋体"/>
                <w:i w:val="0"/>
                <w:color w:val="000000"/>
                <w:sz w:val="22"/>
                <w:szCs w:val="22"/>
                <w:u w:val="none"/>
              </w:rPr>
            </w:pPr>
          </w:p>
        </w:tc>
        <w:tc>
          <w:tcPr>
            <w:tcW w:w="9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20A0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电饭煲</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E006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38CE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169F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17B7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3.0L</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2D6E9">
            <w:pPr>
              <w:jc w:val="left"/>
              <w:rPr>
                <w:rFonts w:hint="eastAsia" w:ascii="宋体" w:hAnsi="宋体" w:eastAsia="宋体" w:cs="宋体"/>
                <w:i w:val="0"/>
                <w:color w:val="000000"/>
                <w:sz w:val="22"/>
                <w:szCs w:val="22"/>
                <w:u w:val="none"/>
              </w:rPr>
            </w:pPr>
          </w:p>
        </w:tc>
        <w:tc>
          <w:tcPr>
            <w:tcW w:w="16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1E8F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CB 12021.6-2017</w:t>
            </w:r>
          </w:p>
        </w:tc>
        <w:tc>
          <w:tcPr>
            <w:tcW w:w="11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3E94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功率500W</w:t>
            </w:r>
          </w:p>
        </w:tc>
      </w:tr>
      <w:tr w14:paraId="58D91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991D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4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7A2132">
            <w:pPr>
              <w:jc w:val="center"/>
              <w:rPr>
                <w:rFonts w:hint="eastAsia" w:ascii="宋体" w:hAnsi="宋体" w:eastAsia="宋体" w:cs="宋体"/>
                <w:i w:val="0"/>
                <w:color w:val="000000"/>
                <w:sz w:val="22"/>
                <w:szCs w:val="22"/>
                <w:u w:val="none"/>
              </w:rPr>
            </w:pPr>
          </w:p>
        </w:tc>
        <w:tc>
          <w:tcPr>
            <w:tcW w:w="9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6C17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垃圾桶</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6211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9CAA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B0BB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D04F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280*200*270</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26A9E">
            <w:pPr>
              <w:jc w:val="left"/>
              <w:rPr>
                <w:rFonts w:hint="eastAsia" w:ascii="宋体" w:hAnsi="宋体" w:eastAsia="宋体" w:cs="宋体"/>
                <w:i w:val="0"/>
                <w:color w:val="000000"/>
                <w:sz w:val="22"/>
                <w:szCs w:val="22"/>
                <w:u w:val="none"/>
              </w:rPr>
            </w:pPr>
          </w:p>
        </w:tc>
        <w:tc>
          <w:tcPr>
            <w:tcW w:w="16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3D95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GB/T28797H合格</w:t>
            </w:r>
          </w:p>
        </w:tc>
        <w:tc>
          <w:tcPr>
            <w:tcW w:w="11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A5899">
            <w:pPr>
              <w:jc w:val="center"/>
              <w:rPr>
                <w:rFonts w:hint="eastAsia" w:ascii="宋体" w:hAnsi="宋体" w:eastAsia="宋体" w:cs="宋体"/>
                <w:i w:val="0"/>
                <w:color w:val="000000"/>
                <w:sz w:val="22"/>
                <w:szCs w:val="22"/>
                <w:u w:val="none"/>
              </w:rPr>
            </w:pPr>
          </w:p>
        </w:tc>
      </w:tr>
      <w:tr w14:paraId="4EF09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4157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4DC04F">
            <w:pPr>
              <w:jc w:val="center"/>
              <w:rPr>
                <w:rFonts w:hint="eastAsia" w:ascii="宋体" w:hAnsi="宋体" w:eastAsia="宋体" w:cs="宋体"/>
                <w:i w:val="0"/>
                <w:color w:val="000000"/>
                <w:sz w:val="22"/>
                <w:szCs w:val="22"/>
                <w:u w:val="none"/>
              </w:rPr>
            </w:pPr>
          </w:p>
        </w:tc>
        <w:tc>
          <w:tcPr>
            <w:tcW w:w="9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0BD03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塑料鼓型盆</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BE70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1DF2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18E1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88B06">
            <w:pPr>
              <w:jc w:val="left"/>
              <w:rPr>
                <w:rFonts w:hint="eastAsia" w:ascii="宋体" w:hAnsi="宋体" w:eastAsia="宋体" w:cs="宋体"/>
                <w:i w:val="0"/>
                <w:color w:val="000000"/>
                <w:sz w:val="22"/>
                <w:szCs w:val="22"/>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7F3F9">
            <w:pPr>
              <w:jc w:val="left"/>
              <w:rPr>
                <w:rFonts w:hint="eastAsia" w:ascii="宋体" w:hAnsi="宋体" w:eastAsia="宋体" w:cs="宋体"/>
                <w:i w:val="0"/>
                <w:color w:val="000000"/>
                <w:sz w:val="22"/>
                <w:szCs w:val="22"/>
                <w:u w:val="none"/>
              </w:rPr>
            </w:pPr>
          </w:p>
        </w:tc>
        <w:tc>
          <w:tcPr>
            <w:tcW w:w="16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E6D5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GB/T9476-2009</w:t>
            </w:r>
          </w:p>
        </w:tc>
        <w:tc>
          <w:tcPr>
            <w:tcW w:w="11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A76FF">
            <w:pPr>
              <w:jc w:val="center"/>
              <w:rPr>
                <w:rFonts w:hint="eastAsia" w:ascii="宋体" w:hAnsi="宋体" w:eastAsia="宋体" w:cs="宋体"/>
                <w:i w:val="0"/>
                <w:color w:val="000000"/>
                <w:sz w:val="22"/>
                <w:szCs w:val="22"/>
                <w:u w:val="none"/>
              </w:rPr>
            </w:pPr>
          </w:p>
        </w:tc>
      </w:tr>
      <w:tr w14:paraId="7E5BD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76BA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4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8D0B92">
            <w:pPr>
              <w:jc w:val="center"/>
              <w:rPr>
                <w:rFonts w:hint="eastAsia" w:ascii="宋体" w:hAnsi="宋体" w:eastAsia="宋体" w:cs="宋体"/>
                <w:i w:val="0"/>
                <w:color w:val="000000"/>
                <w:sz w:val="22"/>
                <w:szCs w:val="22"/>
                <w:u w:val="none"/>
              </w:rPr>
            </w:pPr>
          </w:p>
        </w:tc>
        <w:tc>
          <w:tcPr>
            <w:tcW w:w="9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14759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三层防烫电热水壶</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3F7A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D9BF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8CB3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EBB3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1.8L</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86A2B">
            <w:pPr>
              <w:jc w:val="left"/>
              <w:rPr>
                <w:rFonts w:hint="eastAsia" w:ascii="宋体" w:hAnsi="宋体" w:eastAsia="宋体" w:cs="宋体"/>
                <w:i w:val="0"/>
                <w:color w:val="000000"/>
                <w:sz w:val="22"/>
                <w:szCs w:val="22"/>
                <w:u w:val="none"/>
              </w:rPr>
            </w:pPr>
          </w:p>
        </w:tc>
        <w:tc>
          <w:tcPr>
            <w:tcW w:w="16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9FA4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GB01合格</w:t>
            </w:r>
          </w:p>
        </w:tc>
        <w:tc>
          <w:tcPr>
            <w:tcW w:w="11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E3B1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功率1500W</w:t>
            </w:r>
          </w:p>
        </w:tc>
      </w:tr>
      <w:tr w14:paraId="3D274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9705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4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D5BC98">
            <w:pPr>
              <w:jc w:val="center"/>
              <w:rPr>
                <w:rFonts w:hint="eastAsia" w:ascii="宋体" w:hAnsi="宋体" w:eastAsia="宋体" w:cs="宋体"/>
                <w:i w:val="0"/>
                <w:color w:val="000000"/>
                <w:sz w:val="22"/>
                <w:szCs w:val="22"/>
                <w:u w:val="none"/>
              </w:rPr>
            </w:pPr>
          </w:p>
        </w:tc>
        <w:tc>
          <w:tcPr>
            <w:tcW w:w="9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3E48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电饭煲</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DA3E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E137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886F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B2CD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700W</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49AED">
            <w:pPr>
              <w:jc w:val="left"/>
              <w:rPr>
                <w:rFonts w:hint="eastAsia" w:ascii="宋体" w:hAnsi="宋体" w:eastAsia="宋体" w:cs="宋体"/>
                <w:i w:val="0"/>
                <w:color w:val="000000"/>
                <w:sz w:val="22"/>
                <w:szCs w:val="22"/>
                <w:u w:val="none"/>
              </w:rPr>
            </w:pPr>
          </w:p>
        </w:tc>
        <w:tc>
          <w:tcPr>
            <w:tcW w:w="16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AE57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GB4706</w:t>
            </w:r>
          </w:p>
        </w:tc>
        <w:tc>
          <w:tcPr>
            <w:tcW w:w="11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C9F85">
            <w:pPr>
              <w:jc w:val="center"/>
              <w:rPr>
                <w:rFonts w:hint="eastAsia" w:ascii="宋体" w:hAnsi="宋体" w:eastAsia="宋体" w:cs="宋体"/>
                <w:i w:val="0"/>
                <w:color w:val="000000"/>
                <w:sz w:val="22"/>
                <w:szCs w:val="22"/>
                <w:u w:val="none"/>
              </w:rPr>
            </w:pPr>
          </w:p>
        </w:tc>
      </w:tr>
      <w:tr w14:paraId="1BA22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C2BD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4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1A10B">
            <w:pPr>
              <w:jc w:val="center"/>
              <w:rPr>
                <w:rFonts w:hint="eastAsia" w:ascii="宋体" w:hAnsi="宋体" w:eastAsia="宋体" w:cs="宋体"/>
                <w:i w:val="0"/>
                <w:color w:val="000000"/>
                <w:sz w:val="22"/>
                <w:szCs w:val="22"/>
                <w:u w:val="none"/>
              </w:rPr>
            </w:pPr>
          </w:p>
        </w:tc>
        <w:tc>
          <w:tcPr>
            <w:tcW w:w="9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F67F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手提杯</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B7FA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220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B398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8A1A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650m</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F4934">
            <w:pPr>
              <w:jc w:val="left"/>
              <w:rPr>
                <w:rFonts w:hint="eastAsia" w:ascii="宋体" w:hAnsi="宋体" w:eastAsia="宋体" w:cs="宋体"/>
                <w:i w:val="0"/>
                <w:color w:val="000000"/>
                <w:sz w:val="22"/>
                <w:szCs w:val="22"/>
                <w:u w:val="none"/>
              </w:rPr>
            </w:pPr>
          </w:p>
        </w:tc>
        <w:tc>
          <w:tcPr>
            <w:tcW w:w="16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FA250">
            <w:pPr>
              <w:jc w:val="left"/>
              <w:rPr>
                <w:rFonts w:hint="eastAsia" w:ascii="宋体" w:hAnsi="宋体" w:eastAsia="宋体" w:cs="宋体"/>
                <w:i w:val="0"/>
                <w:color w:val="000000"/>
                <w:sz w:val="22"/>
                <w:szCs w:val="22"/>
                <w:u w:val="none"/>
              </w:rPr>
            </w:pPr>
          </w:p>
        </w:tc>
        <w:tc>
          <w:tcPr>
            <w:tcW w:w="11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658E8">
            <w:pPr>
              <w:jc w:val="center"/>
              <w:rPr>
                <w:rFonts w:hint="eastAsia" w:ascii="宋体" w:hAnsi="宋体" w:eastAsia="宋体" w:cs="宋体"/>
                <w:i w:val="0"/>
                <w:color w:val="000000"/>
                <w:sz w:val="22"/>
                <w:szCs w:val="22"/>
                <w:u w:val="none"/>
              </w:rPr>
            </w:pPr>
          </w:p>
        </w:tc>
      </w:tr>
      <w:tr w14:paraId="3F579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9929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4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E6B6F5">
            <w:pPr>
              <w:jc w:val="center"/>
              <w:rPr>
                <w:rFonts w:hint="eastAsia" w:ascii="宋体" w:hAnsi="宋体" w:eastAsia="宋体" w:cs="宋体"/>
                <w:i w:val="0"/>
                <w:color w:val="000000"/>
                <w:sz w:val="22"/>
                <w:szCs w:val="22"/>
                <w:u w:val="none"/>
              </w:rPr>
            </w:pPr>
          </w:p>
        </w:tc>
        <w:tc>
          <w:tcPr>
            <w:tcW w:w="9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1383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镀金椅</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98D4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把</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54F0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F64A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34F23">
            <w:pPr>
              <w:jc w:val="left"/>
              <w:rPr>
                <w:rFonts w:hint="eastAsia" w:ascii="宋体" w:hAnsi="宋体" w:eastAsia="宋体" w:cs="宋体"/>
                <w:i w:val="0"/>
                <w:color w:val="000000"/>
                <w:sz w:val="22"/>
                <w:szCs w:val="22"/>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D4C1D">
            <w:pPr>
              <w:jc w:val="left"/>
              <w:rPr>
                <w:rFonts w:hint="eastAsia" w:ascii="宋体" w:hAnsi="宋体" w:eastAsia="宋体" w:cs="宋体"/>
                <w:i w:val="0"/>
                <w:color w:val="000000"/>
                <w:sz w:val="22"/>
                <w:szCs w:val="22"/>
                <w:u w:val="none"/>
              </w:rPr>
            </w:pPr>
          </w:p>
        </w:tc>
        <w:tc>
          <w:tcPr>
            <w:tcW w:w="16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216C7">
            <w:pPr>
              <w:jc w:val="left"/>
              <w:rPr>
                <w:rFonts w:hint="eastAsia" w:ascii="宋体" w:hAnsi="宋体" w:eastAsia="宋体" w:cs="宋体"/>
                <w:i w:val="0"/>
                <w:color w:val="000000"/>
                <w:sz w:val="22"/>
                <w:szCs w:val="22"/>
                <w:u w:val="none"/>
              </w:rPr>
            </w:pPr>
          </w:p>
        </w:tc>
        <w:tc>
          <w:tcPr>
            <w:tcW w:w="11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84303">
            <w:pPr>
              <w:jc w:val="center"/>
              <w:rPr>
                <w:rFonts w:hint="eastAsia" w:ascii="宋体" w:hAnsi="宋体" w:eastAsia="宋体" w:cs="宋体"/>
                <w:i w:val="0"/>
                <w:color w:val="000000"/>
                <w:sz w:val="22"/>
                <w:szCs w:val="22"/>
                <w:u w:val="none"/>
              </w:rPr>
            </w:pPr>
          </w:p>
        </w:tc>
      </w:tr>
      <w:tr w14:paraId="60311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FA841D">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金额：</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A9142">
            <w:pPr>
              <w:jc w:val="center"/>
              <w:rPr>
                <w:rFonts w:hint="eastAsia" w:ascii="宋体" w:hAnsi="宋体" w:eastAsia="宋体" w:cs="宋体"/>
                <w:b/>
                <w:i w:val="0"/>
                <w:color w:val="000000"/>
                <w:sz w:val="20"/>
                <w:szCs w:val="20"/>
                <w:u w:val="none"/>
              </w:rPr>
            </w:pPr>
          </w:p>
        </w:tc>
        <w:tc>
          <w:tcPr>
            <w:tcW w:w="9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AFB83">
            <w:pPr>
              <w:jc w:val="center"/>
              <w:rPr>
                <w:rFonts w:hint="eastAsia" w:ascii="宋体" w:hAnsi="宋体" w:eastAsia="宋体" w:cs="宋体"/>
                <w:b/>
                <w:i w:val="0"/>
                <w:color w:val="000000"/>
                <w:sz w:val="20"/>
                <w:szCs w:val="20"/>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0118E">
            <w:pPr>
              <w:jc w:val="center"/>
              <w:rPr>
                <w:rFonts w:hint="eastAsia" w:ascii="宋体" w:hAnsi="宋体" w:eastAsia="宋体" w:cs="宋体"/>
                <w:b/>
                <w:i w:val="0"/>
                <w:color w:val="000000"/>
                <w:sz w:val="20"/>
                <w:szCs w:val="20"/>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706AE">
            <w:pPr>
              <w:jc w:val="center"/>
              <w:rPr>
                <w:rFonts w:hint="eastAsia" w:ascii="宋体" w:hAnsi="宋体" w:eastAsia="宋体" w:cs="宋体"/>
                <w:b/>
                <w:i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7C5D9">
            <w:pPr>
              <w:jc w:val="center"/>
              <w:rPr>
                <w:rFonts w:hint="eastAsia" w:ascii="宋体" w:hAnsi="宋体" w:eastAsia="宋体" w:cs="宋体"/>
                <w:b/>
                <w:i w:val="0"/>
                <w:color w:val="000000"/>
                <w:sz w:val="20"/>
                <w:szCs w:val="20"/>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E3DFC">
            <w:pPr>
              <w:jc w:val="left"/>
              <w:rPr>
                <w:rFonts w:hint="eastAsia" w:ascii="宋体" w:hAnsi="宋体" w:eastAsia="宋体" w:cs="宋体"/>
                <w:b/>
                <w:i w:val="0"/>
                <w:color w:val="000000"/>
                <w:sz w:val="20"/>
                <w:szCs w:val="20"/>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0F3FE">
            <w:pPr>
              <w:jc w:val="left"/>
              <w:rPr>
                <w:rFonts w:hint="eastAsia" w:ascii="宋体" w:hAnsi="宋体" w:eastAsia="宋体" w:cs="宋体"/>
                <w:b/>
                <w:i w:val="0"/>
                <w:color w:val="000000"/>
                <w:sz w:val="20"/>
                <w:szCs w:val="20"/>
                <w:u w:val="none"/>
              </w:rPr>
            </w:pPr>
          </w:p>
        </w:tc>
        <w:tc>
          <w:tcPr>
            <w:tcW w:w="16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E6601">
            <w:pPr>
              <w:jc w:val="left"/>
              <w:rPr>
                <w:rFonts w:hint="eastAsia" w:ascii="宋体" w:hAnsi="宋体" w:eastAsia="宋体" w:cs="宋体"/>
                <w:b/>
                <w:i w:val="0"/>
                <w:color w:val="000000"/>
                <w:sz w:val="20"/>
                <w:szCs w:val="20"/>
                <w:u w:val="none"/>
              </w:rPr>
            </w:pPr>
          </w:p>
        </w:tc>
        <w:tc>
          <w:tcPr>
            <w:tcW w:w="11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7B239">
            <w:pPr>
              <w:jc w:val="center"/>
              <w:rPr>
                <w:rFonts w:hint="eastAsia" w:ascii="宋体" w:hAnsi="宋体" w:eastAsia="宋体" w:cs="宋体"/>
                <w:b/>
                <w:i w:val="0"/>
                <w:color w:val="000000"/>
                <w:sz w:val="20"/>
                <w:szCs w:val="20"/>
                <w:u w:val="none"/>
              </w:rPr>
            </w:pPr>
          </w:p>
        </w:tc>
      </w:tr>
      <w:tr w14:paraId="31198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 w:type="dxa"/>
          <w:trHeight w:val="360" w:hRule="atLeast"/>
        </w:trPr>
        <w:tc>
          <w:tcPr>
            <w:tcW w:w="8606" w:type="dxa"/>
            <w:gridSpan w:val="15"/>
            <w:tcBorders>
              <w:top w:val="nil"/>
              <w:left w:val="nil"/>
              <w:bottom w:val="nil"/>
              <w:right w:val="nil"/>
            </w:tcBorders>
            <w:shd w:val="clear" w:color="auto" w:fill="auto"/>
            <w:noWrap/>
            <w:vAlign w:val="center"/>
          </w:tcPr>
          <w:p w14:paraId="69BFBFCA">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p w14:paraId="7D55C488">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p w14:paraId="60C8E0F6">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p w14:paraId="44D406E8">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p w14:paraId="2304D583">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p w14:paraId="2D744FE9">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p w14:paraId="566F68B0">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p w14:paraId="75D2FCDC">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p w14:paraId="041B4F93">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p w14:paraId="5F6C689A">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p w14:paraId="3A54EF73">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p w14:paraId="5D822572">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附件：</w:t>
            </w:r>
          </w:p>
        </w:tc>
      </w:tr>
      <w:tr w14:paraId="55B90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 w:type="dxa"/>
          <w:trHeight w:val="270" w:hRule="atLeast"/>
        </w:trPr>
        <w:tc>
          <w:tcPr>
            <w:tcW w:w="8606" w:type="dxa"/>
            <w:gridSpan w:val="15"/>
            <w:vMerge w:val="restart"/>
            <w:tcBorders>
              <w:top w:val="nil"/>
              <w:left w:val="nil"/>
              <w:bottom w:val="nil"/>
              <w:right w:val="nil"/>
            </w:tcBorders>
            <w:shd w:val="clear" w:color="auto" w:fill="auto"/>
            <w:noWrap/>
            <w:vAlign w:val="center"/>
          </w:tcPr>
          <w:p w14:paraId="6E95A8F4">
            <w:pPr>
              <w:keepNext w:val="0"/>
              <w:keepLines w:val="0"/>
              <w:widowControl/>
              <w:suppressLineNumbers w:val="0"/>
              <w:jc w:val="center"/>
              <w:textAlignment w:val="center"/>
              <w:rPr>
                <w:rFonts w:hint="eastAsia" w:ascii="宋体" w:hAnsi="宋体" w:eastAsia="宋体" w:cs="宋体"/>
                <w:b/>
                <w:i w:val="0"/>
                <w:color w:val="000000"/>
                <w:sz w:val="44"/>
                <w:szCs w:val="44"/>
                <w:u w:val="none"/>
              </w:rPr>
            </w:pPr>
            <w:r>
              <w:rPr>
                <w:rFonts w:hint="eastAsia" w:ascii="宋体" w:hAnsi="宋体" w:eastAsia="宋体" w:cs="宋体"/>
                <w:b/>
                <w:i w:val="0"/>
                <w:color w:val="000000"/>
                <w:kern w:val="0"/>
                <w:sz w:val="44"/>
                <w:szCs w:val="44"/>
                <w:u w:val="none"/>
                <w:lang w:val="en-US" w:eastAsia="zh-CN" w:bidi="ar"/>
              </w:rPr>
              <w:t>陇南市妇联2024年“巾帼家美积分超市”奖补项目实施名单（100个）</w:t>
            </w:r>
          </w:p>
        </w:tc>
      </w:tr>
      <w:tr w14:paraId="0D96D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 w:type="dxa"/>
          <w:trHeight w:val="740" w:hRule="atLeast"/>
        </w:trPr>
        <w:tc>
          <w:tcPr>
            <w:tcW w:w="8606" w:type="dxa"/>
            <w:gridSpan w:val="15"/>
            <w:vMerge w:val="continue"/>
            <w:tcBorders>
              <w:top w:val="nil"/>
              <w:left w:val="nil"/>
              <w:bottom w:val="nil"/>
              <w:right w:val="nil"/>
            </w:tcBorders>
            <w:shd w:val="clear" w:color="auto" w:fill="auto"/>
            <w:noWrap/>
            <w:vAlign w:val="center"/>
          </w:tcPr>
          <w:p w14:paraId="7C19A817">
            <w:pPr>
              <w:jc w:val="center"/>
              <w:rPr>
                <w:rFonts w:hint="eastAsia" w:ascii="宋体" w:hAnsi="宋体" w:eastAsia="宋体" w:cs="宋体"/>
                <w:b/>
                <w:i w:val="0"/>
                <w:color w:val="000000"/>
                <w:sz w:val="44"/>
                <w:szCs w:val="44"/>
                <w:u w:val="none"/>
              </w:rPr>
            </w:pPr>
          </w:p>
        </w:tc>
      </w:tr>
      <w:tr w14:paraId="7395D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 w:type="dxa"/>
          <w:trHeight w:val="480" w:hRule="atLeast"/>
        </w:trPr>
        <w:tc>
          <w:tcPr>
            <w:tcW w:w="8606" w:type="dxa"/>
            <w:gridSpan w:val="15"/>
            <w:tcBorders>
              <w:top w:val="nil"/>
              <w:left w:val="nil"/>
              <w:bottom w:val="nil"/>
              <w:right w:val="nil"/>
            </w:tcBorders>
            <w:shd w:val="clear" w:color="auto" w:fill="auto"/>
            <w:noWrap/>
            <w:vAlign w:val="center"/>
          </w:tcPr>
          <w:p w14:paraId="062AE84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Style w:val="136"/>
                <w:lang w:val="en-US" w:eastAsia="zh-CN" w:bidi="ar"/>
              </w:rPr>
              <w:t xml:space="preserve">                                                                                                                                                       </w:t>
            </w:r>
            <w:r>
              <w:rPr>
                <w:rStyle w:val="137"/>
                <w:lang w:val="en-US" w:eastAsia="zh-CN" w:bidi="ar"/>
              </w:rPr>
              <w:t xml:space="preserve">    时间：2024年11月</w:t>
            </w:r>
          </w:p>
        </w:tc>
      </w:tr>
      <w:tr w14:paraId="0774F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 w:type="dxa"/>
          <w:trHeight w:val="82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DDE5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64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ABA9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县（区）</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5DCD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项目分配名额</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（个）</w:t>
            </w:r>
          </w:p>
        </w:tc>
        <w:tc>
          <w:tcPr>
            <w:tcW w:w="507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F3DEC5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实施超市名单</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C7C9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负责人姓名</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2F8E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负责人电话</w:t>
            </w:r>
          </w:p>
        </w:tc>
      </w:tr>
      <w:tr w14:paraId="5D191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 w:type="dxa"/>
          <w:trHeight w:val="186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BDB4F">
            <w:pPr>
              <w:keepNext w:val="0"/>
              <w:keepLines w:val="0"/>
              <w:widowControl/>
              <w:suppressLineNumbers w:val="0"/>
              <w:jc w:val="center"/>
              <w:textAlignment w:val="center"/>
              <w:rPr>
                <w:rFonts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w:t>
            </w:r>
          </w:p>
        </w:tc>
        <w:tc>
          <w:tcPr>
            <w:tcW w:w="64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24188">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徽  县</w:t>
            </w: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607124">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12</w:t>
            </w:r>
          </w:p>
        </w:tc>
        <w:tc>
          <w:tcPr>
            <w:tcW w:w="507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9006986">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泥阳镇柳巷村、泥阳镇寇庄村、银杏树镇峡街村、银杏树镇马庄村、伏家镇伏镇村、伏家镇河湾村、嘉陵镇张滩村、永宁镇张沟村、城关镇樊塄村、城关镇先农村、水阳镇新寺村、水阳镇胡河村</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BBA87">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吴亚飞</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723AA">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15693980066</w:t>
            </w:r>
          </w:p>
        </w:tc>
      </w:tr>
      <w:tr w14:paraId="34787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 w:type="dxa"/>
          <w:trHeight w:val="164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E27C6">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2</w:t>
            </w:r>
          </w:p>
        </w:tc>
        <w:tc>
          <w:tcPr>
            <w:tcW w:w="64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4A614">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礼  县</w:t>
            </w: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A437DE">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12</w:t>
            </w:r>
          </w:p>
        </w:tc>
        <w:tc>
          <w:tcPr>
            <w:tcW w:w="507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00A75C5">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罗坝镇苗河村 、固城镇朱磨村、祁山镇祁山村、白河镇李桃村、上坪乡青林村、永兴镇马家村、永坪镇寺台村、龙林镇赵阳村、石桥镇圣泉村、中坝镇黑池庙、雷坝镇蒲城村、肖良乡桃林村</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31AD4">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张 千</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8D80D">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13830931908</w:t>
            </w:r>
          </w:p>
        </w:tc>
      </w:tr>
      <w:tr w14:paraId="0788D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 w:type="dxa"/>
          <w:trHeight w:val="156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B55C0">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3</w:t>
            </w:r>
          </w:p>
        </w:tc>
        <w:tc>
          <w:tcPr>
            <w:tcW w:w="64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0129F">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文  县</w:t>
            </w: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A3BCA9">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12</w:t>
            </w:r>
          </w:p>
        </w:tc>
        <w:tc>
          <w:tcPr>
            <w:tcW w:w="507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7715F68">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城关镇鹄衣坝村、城关镇凡昌村、石坊镇上柳元村、尚德镇尚德村、尚德镇田家坝村、石鸡坝镇哈南村、中寨镇麦架沟村、铁楼藏族乡铁楼村、铁楼藏族乡草河坝村、天池镇王家庄村、临江镇东风村、临江镇蒋家湾村</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0A707">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杜歆娟</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5B7F6">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13919565978</w:t>
            </w:r>
          </w:p>
        </w:tc>
      </w:tr>
      <w:tr w14:paraId="165A8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 w:type="dxa"/>
          <w:trHeight w:val="184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D3AD7">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4</w:t>
            </w:r>
          </w:p>
        </w:tc>
        <w:tc>
          <w:tcPr>
            <w:tcW w:w="64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64AC4">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宕昌县</w:t>
            </w: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64AA1B">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12</w:t>
            </w:r>
          </w:p>
        </w:tc>
        <w:tc>
          <w:tcPr>
            <w:tcW w:w="507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660E04C">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临江铺镇白杨坝村、车拉乡扎峪河村、将台乡毕沙村、甘江头乡张家山村、新城子乡大河坝村、贾河乡大堡子村、城关镇官娥村、立界村、何家堡乡白杨村、南河镇任藏村、哈达铺镇金布川村、理川镇杨家村</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57528">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杨 君</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B206A">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13519393012</w:t>
            </w:r>
          </w:p>
        </w:tc>
      </w:tr>
      <w:tr w14:paraId="1AF58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 w:type="dxa"/>
          <w:trHeight w:val="192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585F1">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5</w:t>
            </w:r>
          </w:p>
        </w:tc>
        <w:tc>
          <w:tcPr>
            <w:tcW w:w="64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44CB6">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两当县</w:t>
            </w: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D7770A">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12</w:t>
            </w:r>
          </w:p>
        </w:tc>
        <w:tc>
          <w:tcPr>
            <w:tcW w:w="507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964283C">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鱼池乡乔河村、杨店镇豆坪村、左家乡大庄村、西坡镇三渡水村、兴化乡槐树村、金洞乡田坝子村、泰山乡泰柳村、云屏镇街道村、显龙镇显龙村、张家乡张家村、城关镇戚家村、站儿巷镇大山村</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99F4B">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张 璐</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3D871">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19119978262</w:t>
            </w:r>
          </w:p>
        </w:tc>
      </w:tr>
      <w:tr w14:paraId="0180A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 w:type="dxa"/>
          <w:trHeight w:val="152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343F2">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6</w:t>
            </w:r>
          </w:p>
        </w:tc>
        <w:tc>
          <w:tcPr>
            <w:tcW w:w="64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2B140">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西和县</w:t>
            </w: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0576EE">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11</w:t>
            </w:r>
          </w:p>
        </w:tc>
        <w:tc>
          <w:tcPr>
            <w:tcW w:w="507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A570AF4">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姜席镇姜川村、姜席镇山坪村、石峡镇川儿村、石峡镇双庙村、太石河乡银杏村、太石河乡马坝村、太石河乡吉龙村、晒经乡大庄村、晒经乡韩马村、六巷乡廖坝村、六巷乡郭坝村</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3A625">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王祎茳</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950C2">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18293934262</w:t>
            </w:r>
          </w:p>
        </w:tc>
      </w:tr>
      <w:tr w14:paraId="53334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 w:type="dxa"/>
          <w:trHeight w:val="166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4754E">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7</w:t>
            </w:r>
          </w:p>
        </w:tc>
        <w:tc>
          <w:tcPr>
            <w:tcW w:w="64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4D257">
            <w:pPr>
              <w:keepNext w:val="0"/>
              <w:keepLines w:val="0"/>
              <w:widowControl/>
              <w:suppressLineNumbers w:val="0"/>
              <w:jc w:val="center"/>
              <w:textAlignment w:val="center"/>
              <w:rPr>
                <w:rFonts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成  县</w:t>
            </w: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B46B74">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10</w:t>
            </w:r>
          </w:p>
        </w:tc>
        <w:tc>
          <w:tcPr>
            <w:tcW w:w="507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17514F2">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鸡峰镇曹庄村、鸡峰镇下庄村、店村镇张寨村、王磨镇祁坝村、沙坝镇赵坝村、抛沙镇东罗村、抛沙镇小湾村、纸坊镇庙下村、苏元镇水坝村、小川镇上峡村</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24B29">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张 俊</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48C34">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18093908268</w:t>
            </w:r>
          </w:p>
        </w:tc>
      </w:tr>
      <w:tr w14:paraId="259C2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 w:type="dxa"/>
          <w:trHeight w:val="194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AA708">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8</w:t>
            </w:r>
          </w:p>
        </w:tc>
        <w:tc>
          <w:tcPr>
            <w:tcW w:w="64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4FE9A">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武都区</w:t>
            </w: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748616">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10</w:t>
            </w:r>
          </w:p>
        </w:tc>
        <w:tc>
          <w:tcPr>
            <w:tcW w:w="507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8A77BD3">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琵琶镇瓦房坝村、马街镇杨湾村、东江镇赵坪社区、五库乡沙坝村、月照乡草地子村、佛崖镇东古城村、坪垭藏族乡鹿连村、黄坪镇杨务村、洛塘镇豆家庄村、姚寨镇四合村。</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5B2F9">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赵 丽</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9FC0E">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18093968082</w:t>
            </w:r>
          </w:p>
        </w:tc>
      </w:tr>
      <w:tr w14:paraId="2EA58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 w:type="dxa"/>
          <w:trHeight w:val="198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FA754">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9</w:t>
            </w:r>
          </w:p>
        </w:tc>
        <w:tc>
          <w:tcPr>
            <w:tcW w:w="64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D03F2">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康  县</w:t>
            </w: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D3EA05">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9</w:t>
            </w:r>
          </w:p>
        </w:tc>
        <w:tc>
          <w:tcPr>
            <w:tcW w:w="507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61FEDD7">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平洛镇剪子坪村、平洛镇张坪村、岸门口镇贾家坝村、岸门口镇张家河村、望关镇贯上村、城关镇凤凰谷村、城关镇咀台村、长坝镇吴家坝村、王坝苟家庄村</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8D89C">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王 琎</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9568C">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13993903816</w:t>
            </w:r>
          </w:p>
        </w:tc>
      </w:tr>
      <w:tr w14:paraId="172B9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 w:type="dxa"/>
          <w:trHeight w:val="780" w:hRule="atLeast"/>
        </w:trPr>
        <w:tc>
          <w:tcPr>
            <w:tcW w:w="1125" w:type="dxa"/>
            <w:gridSpan w:val="4"/>
            <w:tcBorders>
              <w:top w:val="single" w:color="000000" w:sz="4" w:space="0"/>
              <w:left w:val="single" w:color="000000" w:sz="4" w:space="0"/>
              <w:bottom w:val="single" w:color="000000" w:sz="4" w:space="0"/>
              <w:right w:val="nil"/>
            </w:tcBorders>
            <w:shd w:val="clear" w:color="auto" w:fill="auto"/>
            <w:noWrap/>
            <w:vAlign w:val="center"/>
          </w:tcPr>
          <w:p w14:paraId="7C8730B8">
            <w:pPr>
              <w:keepNext w:val="0"/>
              <w:keepLines w:val="0"/>
              <w:widowControl/>
              <w:suppressLineNumbers w:val="0"/>
              <w:jc w:val="center"/>
              <w:textAlignment w:val="center"/>
              <w:rPr>
                <w:rFonts w:hint="eastAsia" w:ascii="仿宋_GB2312" w:hAnsi="宋体" w:eastAsia="仿宋_GB2312" w:cs="仿宋_GB2312"/>
                <w:b/>
                <w:i w:val="0"/>
                <w:color w:val="000000"/>
                <w:sz w:val="28"/>
                <w:szCs w:val="28"/>
                <w:u w:val="none"/>
              </w:rPr>
            </w:pPr>
            <w:r>
              <w:rPr>
                <w:rFonts w:hint="eastAsia" w:ascii="仿宋_GB2312" w:hAnsi="宋体" w:eastAsia="仿宋_GB2312" w:cs="仿宋_GB2312"/>
                <w:b/>
                <w:i w:val="0"/>
                <w:color w:val="000000"/>
                <w:kern w:val="0"/>
                <w:sz w:val="28"/>
                <w:szCs w:val="28"/>
                <w:u w:val="none"/>
                <w:lang w:val="en-US" w:eastAsia="zh-CN" w:bidi="ar"/>
              </w:rPr>
              <w:t>合    计</w:t>
            </w: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64B192">
            <w:pPr>
              <w:keepNext w:val="0"/>
              <w:keepLines w:val="0"/>
              <w:widowControl/>
              <w:suppressLineNumbers w:val="0"/>
              <w:jc w:val="center"/>
              <w:textAlignment w:val="center"/>
              <w:rPr>
                <w:rFonts w:hint="eastAsia" w:ascii="仿宋_GB2312" w:hAnsi="宋体" w:eastAsia="仿宋_GB2312" w:cs="仿宋_GB2312"/>
                <w:b/>
                <w:i w:val="0"/>
                <w:color w:val="000000"/>
                <w:sz w:val="28"/>
                <w:szCs w:val="28"/>
                <w:u w:val="none"/>
              </w:rPr>
            </w:pPr>
            <w:r>
              <w:rPr>
                <w:rFonts w:hint="eastAsia" w:ascii="仿宋_GB2312" w:hAnsi="宋体" w:eastAsia="仿宋_GB2312" w:cs="仿宋_GB2312"/>
                <w:b/>
                <w:i w:val="0"/>
                <w:color w:val="000000"/>
                <w:kern w:val="0"/>
                <w:sz w:val="28"/>
                <w:szCs w:val="28"/>
                <w:u w:val="none"/>
                <w:lang w:val="en-US" w:eastAsia="zh-CN" w:bidi="ar"/>
              </w:rPr>
              <w:t>100</w:t>
            </w:r>
          </w:p>
        </w:tc>
        <w:tc>
          <w:tcPr>
            <w:tcW w:w="5079"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BA731">
            <w:pPr>
              <w:jc w:val="center"/>
              <w:rPr>
                <w:rFonts w:hint="eastAsia" w:ascii="仿宋_GB2312" w:hAnsi="宋体" w:eastAsia="仿宋_GB2312" w:cs="仿宋_GB2312"/>
                <w:b/>
                <w:i w:val="0"/>
                <w:color w:val="000000"/>
                <w:sz w:val="24"/>
                <w:szCs w:val="24"/>
                <w:u w:val="none"/>
              </w:rPr>
            </w:pP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5B8C6">
            <w:pPr>
              <w:rPr>
                <w:rFonts w:hint="eastAsia" w:ascii="仿宋_GB2312" w:hAnsi="宋体" w:eastAsia="仿宋_GB2312" w:cs="仿宋_GB2312"/>
                <w:b/>
                <w:i w:val="0"/>
                <w:color w:val="000000"/>
                <w:sz w:val="24"/>
                <w:szCs w:val="24"/>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ACBCC">
            <w:pPr>
              <w:rPr>
                <w:rFonts w:hint="eastAsia" w:ascii="仿宋_GB2312" w:hAnsi="宋体" w:eastAsia="仿宋_GB2312" w:cs="仿宋_GB2312"/>
                <w:b/>
                <w:i w:val="0"/>
                <w:color w:val="000000"/>
                <w:sz w:val="24"/>
                <w:szCs w:val="24"/>
                <w:u w:val="none"/>
              </w:rPr>
            </w:pPr>
          </w:p>
        </w:tc>
      </w:tr>
    </w:tbl>
    <w:p w14:paraId="7E180FC0">
      <w:pPr>
        <w:widowControl w:val="0"/>
        <w:jc w:val="left"/>
        <w:rPr>
          <w:rFonts w:hint="default" w:ascii="Calibri" w:hAnsi="Calibri" w:eastAsia="宋体" w:cs="Calibri"/>
          <w:smallCaps/>
          <w:kern w:val="2"/>
          <w:sz w:val="20"/>
          <w:szCs w:val="20"/>
          <w:lang w:val="en-US" w:eastAsia="zh-CN" w:bidi="ar-SA"/>
        </w:rPr>
      </w:pPr>
    </w:p>
    <w:p w14:paraId="36A00F11">
      <w:pPr>
        <w:widowControl w:val="0"/>
        <w:numPr>
          <w:ilvl w:val="0"/>
          <w:numId w:val="10"/>
        </w:numPr>
        <w:ind w:left="0" w:leftChars="0" w:firstLine="0" w:firstLineChars="0"/>
        <w:jc w:val="left"/>
        <w:rPr>
          <w:rFonts w:hint="eastAsia" w:ascii="Calibri" w:hAnsi="Calibri" w:cs="Calibri"/>
          <w:b/>
          <w:bCs/>
          <w:smallCaps/>
          <w:kern w:val="2"/>
          <w:sz w:val="28"/>
          <w:szCs w:val="28"/>
          <w:lang w:val="en-US" w:eastAsia="zh-CN" w:bidi="ar-SA"/>
        </w:rPr>
      </w:pPr>
      <w:r>
        <w:rPr>
          <w:rFonts w:hint="eastAsia" w:ascii="Calibri" w:hAnsi="Calibri" w:cs="Calibri"/>
          <w:b/>
          <w:bCs/>
          <w:smallCaps/>
          <w:kern w:val="2"/>
          <w:sz w:val="28"/>
          <w:szCs w:val="28"/>
          <w:lang w:val="en-US" w:eastAsia="zh-CN" w:bidi="ar-SA"/>
        </w:rPr>
        <w:t>付款方式：</w:t>
      </w:r>
    </w:p>
    <w:p w14:paraId="78B37506">
      <w:pPr>
        <w:spacing w:line="400" w:lineRule="exact"/>
        <w:ind w:firstLine="560" w:firstLineChars="200"/>
        <w:rPr>
          <w:rFonts w:hint="default" w:ascii="华文中宋" w:hAnsi="华文中宋" w:eastAsia="华文中宋" w:cs="Times New Roman"/>
          <w:color w:val="auto"/>
          <w:kern w:val="2"/>
          <w:sz w:val="28"/>
          <w:szCs w:val="28"/>
          <w:highlight w:val="none"/>
          <w:lang w:val="en-US"/>
        </w:rPr>
      </w:pPr>
      <w:r>
        <w:rPr>
          <w:rFonts w:hint="default" w:ascii="仿宋" w:hAnsi="仿宋" w:eastAsia="仿宋" w:cs="Times New Roman"/>
          <w:smallCaps w:val="0"/>
          <w:color w:val="auto"/>
          <w:kern w:val="2"/>
          <w:sz w:val="28"/>
          <w:szCs w:val="28"/>
          <w:lang w:val="en-US" w:eastAsia="zh-CN" w:bidi="ar-SA"/>
        </w:rPr>
        <w:t>供货结束，验收完成后一次性付清</w:t>
      </w:r>
      <w:r>
        <w:rPr>
          <w:rFonts w:hint="eastAsia" w:ascii="仿宋" w:hAnsi="仿宋" w:eastAsia="仿宋" w:cs="Times New Roman"/>
          <w:smallCaps w:val="0"/>
          <w:color w:val="auto"/>
          <w:kern w:val="2"/>
          <w:sz w:val="28"/>
          <w:szCs w:val="28"/>
          <w:lang w:val="en-US" w:eastAsia="zh-CN" w:bidi="ar-SA"/>
        </w:rPr>
        <w:t>。</w:t>
      </w:r>
    </w:p>
    <w:p w14:paraId="65A2BFD6">
      <w:pPr>
        <w:widowControl w:val="0"/>
        <w:numPr>
          <w:ilvl w:val="0"/>
          <w:numId w:val="0"/>
        </w:numPr>
        <w:ind w:leftChars="0"/>
        <w:jc w:val="left"/>
        <w:rPr>
          <w:rFonts w:hint="eastAsia" w:ascii="Calibri" w:hAnsi="Calibri" w:cs="Calibri"/>
          <w:b/>
          <w:bCs/>
          <w:smallCaps/>
          <w:kern w:val="2"/>
          <w:sz w:val="28"/>
          <w:szCs w:val="28"/>
          <w:lang w:val="en-US" w:eastAsia="zh-CN" w:bidi="ar-SA"/>
        </w:rPr>
      </w:pPr>
      <w:bookmarkStart w:id="67" w:name="_Toc9079"/>
      <w:bookmarkStart w:id="68" w:name="_Toc24625"/>
    </w:p>
    <w:p w14:paraId="492E28C5">
      <w:pPr>
        <w:pageBreakBefore/>
        <w:numPr>
          <w:ilvl w:val="0"/>
          <w:numId w:val="8"/>
        </w:numPr>
        <w:spacing w:line="360" w:lineRule="auto"/>
        <w:jc w:val="center"/>
        <w:outlineLvl w:val="0"/>
        <w:rPr>
          <w:rFonts w:ascii="宋体"/>
          <w:b/>
          <w:bCs/>
          <w:kern w:val="0"/>
          <w:sz w:val="36"/>
          <w:szCs w:val="36"/>
        </w:rPr>
      </w:pPr>
      <w:r>
        <w:rPr>
          <w:rFonts w:hint="eastAsia" w:ascii="宋体" w:hAnsi="宋体" w:cs="宋体"/>
          <w:b/>
          <w:bCs/>
          <w:kern w:val="0"/>
          <w:sz w:val="36"/>
          <w:szCs w:val="36"/>
        </w:rPr>
        <w:t>评标方法及标准</w:t>
      </w:r>
      <w:bookmarkEnd w:id="57"/>
      <w:bookmarkEnd w:id="58"/>
      <w:bookmarkEnd w:id="59"/>
      <w:bookmarkEnd w:id="60"/>
      <w:bookmarkEnd w:id="67"/>
      <w:bookmarkEnd w:id="68"/>
    </w:p>
    <w:p w14:paraId="6A437521">
      <w:pPr>
        <w:pStyle w:val="5"/>
        <w:adjustRightInd/>
        <w:spacing w:before="0" w:after="0" w:line="360" w:lineRule="auto"/>
        <w:jc w:val="center"/>
        <w:textAlignment w:val="auto"/>
        <w:outlineLvl w:val="1"/>
        <w:rPr>
          <w:rFonts w:ascii="宋体"/>
          <w:b w:val="0"/>
          <w:bCs w:val="0"/>
          <w:kern w:val="2"/>
          <w:sz w:val="32"/>
          <w:szCs w:val="32"/>
        </w:rPr>
      </w:pPr>
      <w:bookmarkStart w:id="69" w:name="_Toc21415"/>
      <w:bookmarkStart w:id="70" w:name="_Toc1369"/>
      <w:bookmarkStart w:id="71" w:name="_Toc12870"/>
      <w:r>
        <w:rPr>
          <w:rFonts w:hint="eastAsia" w:ascii="宋体" w:hAnsi="宋体" w:cs="宋体"/>
          <w:b w:val="0"/>
          <w:bCs w:val="0"/>
          <w:kern w:val="2"/>
          <w:sz w:val="32"/>
          <w:szCs w:val="32"/>
        </w:rPr>
        <w:t>一、总则</w:t>
      </w:r>
      <w:bookmarkEnd w:id="69"/>
      <w:bookmarkEnd w:id="70"/>
      <w:bookmarkEnd w:id="71"/>
    </w:p>
    <w:p w14:paraId="666A7A86">
      <w:pPr>
        <w:pStyle w:val="23"/>
        <w:numPr>
          <w:ilvl w:val="0"/>
          <w:numId w:val="11"/>
        </w:numPr>
        <w:adjustRightInd w:val="0"/>
        <w:snapToGrid w:val="0"/>
        <w:spacing w:beforeLines="50" w:line="360" w:lineRule="auto"/>
        <w:jc w:val="left"/>
        <w:rPr>
          <w:rFonts w:hAnsi="宋体" w:cs="Times New Roman"/>
          <w:b/>
          <w:bCs/>
          <w:sz w:val="22"/>
          <w:szCs w:val="22"/>
        </w:rPr>
      </w:pPr>
      <w:r>
        <w:rPr>
          <w:rFonts w:hint="eastAsia" w:hAnsi="宋体"/>
          <w:b/>
          <w:bCs/>
          <w:sz w:val="22"/>
          <w:szCs w:val="22"/>
        </w:rPr>
        <w:t>评标</w:t>
      </w:r>
    </w:p>
    <w:p w14:paraId="19614652">
      <w:pPr>
        <w:numPr>
          <w:ilvl w:val="1"/>
          <w:numId w:val="12"/>
        </w:numPr>
        <w:spacing w:line="360" w:lineRule="auto"/>
        <w:rPr>
          <w:rFonts w:ascii="宋体"/>
          <w:b/>
          <w:bCs/>
          <w:sz w:val="22"/>
          <w:szCs w:val="22"/>
        </w:rPr>
      </w:pPr>
      <w:r>
        <w:rPr>
          <w:rFonts w:hint="eastAsia" w:ascii="宋体" w:hAnsi="宋体" w:cs="宋体"/>
          <w:sz w:val="22"/>
          <w:szCs w:val="22"/>
        </w:rPr>
        <w:t>评标由依法组成的评标委员会负责。</w:t>
      </w:r>
    </w:p>
    <w:p w14:paraId="069DB629">
      <w:pPr>
        <w:pStyle w:val="23"/>
        <w:numPr>
          <w:ilvl w:val="0"/>
          <w:numId w:val="11"/>
        </w:numPr>
        <w:adjustRightInd w:val="0"/>
        <w:snapToGrid w:val="0"/>
        <w:spacing w:beforeLines="50" w:line="360" w:lineRule="auto"/>
        <w:jc w:val="left"/>
        <w:rPr>
          <w:rFonts w:hAnsi="宋体" w:cs="Times New Roman"/>
          <w:sz w:val="22"/>
          <w:szCs w:val="22"/>
        </w:rPr>
      </w:pPr>
      <w:r>
        <w:rPr>
          <w:rFonts w:hint="eastAsia" w:hAnsi="宋体"/>
          <w:b/>
          <w:bCs/>
          <w:sz w:val="22"/>
          <w:szCs w:val="22"/>
        </w:rPr>
        <w:t>评标方法：综合评分法</w:t>
      </w:r>
      <w:r>
        <w:rPr>
          <w:rFonts w:hint="eastAsia" w:hAnsi="宋体"/>
          <w:sz w:val="22"/>
          <w:szCs w:val="22"/>
        </w:rPr>
        <w:t>，是指投标文件满足招标文件全部实质性要求，且按照评审因素的量化指标评审得分最高的投标人为中标候选人的评标方法。本项目对投标人的价格、技术、商务因素评审（商务部分、技术部分）按百分制进行评标（按四舍五入取百分位两位小数），评审得分最高的投标人为中标候选人。</w:t>
      </w:r>
    </w:p>
    <w:p w14:paraId="6C851839">
      <w:pPr>
        <w:pStyle w:val="23"/>
        <w:adjustRightInd w:val="0"/>
        <w:snapToGrid w:val="0"/>
        <w:spacing w:beforeLines="50" w:line="360" w:lineRule="auto"/>
        <w:jc w:val="left"/>
        <w:rPr>
          <w:rFonts w:hAnsi="宋体" w:cs="Times New Roman"/>
          <w:b/>
          <w:bCs/>
          <w:sz w:val="22"/>
          <w:szCs w:val="22"/>
        </w:rPr>
      </w:pPr>
      <w:r>
        <w:rPr>
          <w:rFonts w:hint="eastAsia" w:hAnsi="宋体"/>
          <w:b/>
          <w:bCs/>
          <w:sz w:val="22"/>
          <w:szCs w:val="22"/>
        </w:rPr>
        <w:t>评标标准：综合评分明细表：满分</w:t>
      </w:r>
      <w:r>
        <w:rPr>
          <w:rFonts w:hAnsi="宋体"/>
          <w:b/>
          <w:bCs/>
          <w:sz w:val="22"/>
          <w:szCs w:val="22"/>
        </w:rPr>
        <w:t>100</w:t>
      </w:r>
      <w:r>
        <w:rPr>
          <w:rFonts w:hint="eastAsia" w:hAnsi="宋体"/>
          <w:b/>
          <w:bCs/>
          <w:sz w:val="22"/>
          <w:szCs w:val="22"/>
        </w:rPr>
        <w:t>分。</w:t>
      </w:r>
    </w:p>
    <w:p w14:paraId="05B63257">
      <w:pPr>
        <w:jc w:val="center"/>
        <w:rPr>
          <w:rFonts w:hint="eastAsia" w:ascii="宋体" w:hAnsi="宋体" w:cs="宋体"/>
          <w:b/>
          <w:bCs/>
          <w:sz w:val="28"/>
          <w:szCs w:val="28"/>
        </w:rPr>
      </w:pPr>
      <w:r>
        <w:rPr>
          <w:rFonts w:hint="eastAsia" w:ascii="宋体" w:hAnsi="宋体" w:cs="宋体"/>
          <w:b/>
          <w:bCs/>
          <w:sz w:val="30"/>
          <w:szCs w:val="30"/>
        </w:rPr>
        <w:t>评分细则</w:t>
      </w:r>
      <w:r>
        <w:rPr>
          <w:rFonts w:hint="eastAsia" w:ascii="宋体" w:hAnsi="宋体" w:cs="宋体"/>
          <w:b/>
          <w:bCs/>
          <w:sz w:val="28"/>
          <w:szCs w:val="28"/>
        </w:rPr>
        <w:t>具体为：</w:t>
      </w:r>
    </w:p>
    <w:p w14:paraId="1ECAB9D2">
      <w:pPr>
        <w:adjustRightInd w:val="0"/>
        <w:snapToGrid w:val="0"/>
        <w:spacing w:before="156" w:beforeLines="50" w:line="360" w:lineRule="auto"/>
        <w:ind w:firstLine="240" w:firstLineChars="100"/>
        <w:jc w:val="left"/>
        <w:rPr>
          <w:rFonts w:hint="eastAsia" w:ascii="仿宋_GB2312" w:hAnsi="Times New Roman" w:eastAsia="仿宋_GB2312" w:cs="Times New Roman"/>
          <w:sz w:val="24"/>
          <w:szCs w:val="24"/>
          <w:highlight w:val="none"/>
        </w:rPr>
      </w:pPr>
      <w:r>
        <w:rPr>
          <w:rFonts w:hint="eastAsia" w:ascii="仿宋_GB2312" w:hAnsi="Times New Roman" w:eastAsia="仿宋_GB2312" w:cs="Times New Roman"/>
          <w:sz w:val="24"/>
          <w:szCs w:val="24"/>
          <w:highlight w:val="none"/>
        </w:rPr>
        <w:t>根据财政部、工业和信息化部发布的《政府采购促进中小企业发展管理办法》（财库〔2020〕46号）和财政部《关于进一步加大政府采购支持中小企业力度的通知》（财库〔2022〕19号）规定，对</w:t>
      </w:r>
      <w:r>
        <w:rPr>
          <w:rFonts w:hint="eastAsia" w:ascii="仿宋_GB2312" w:hAnsi="Times New Roman" w:eastAsia="仿宋_GB2312" w:cs="Times New Roman"/>
          <w:b/>
          <w:bCs/>
          <w:sz w:val="24"/>
          <w:szCs w:val="24"/>
          <w:highlight w:val="none"/>
        </w:rPr>
        <w:t>小型和微型企业产品</w:t>
      </w:r>
      <w:r>
        <w:rPr>
          <w:rFonts w:hint="eastAsia" w:ascii="仿宋_GB2312" w:hAnsi="Times New Roman" w:eastAsia="仿宋_GB2312" w:cs="Times New Roman"/>
          <w:sz w:val="24"/>
          <w:szCs w:val="24"/>
          <w:highlight w:val="none"/>
        </w:rPr>
        <w:t>的投标价格给予</w:t>
      </w:r>
      <w:r>
        <w:rPr>
          <w:rFonts w:hint="eastAsia" w:ascii="仿宋_GB2312" w:eastAsia="仿宋_GB2312" w:cs="Times New Roman"/>
          <w:sz w:val="24"/>
          <w:szCs w:val="24"/>
          <w:highlight w:val="none"/>
          <w:u w:val="single"/>
          <w:lang w:val="en-US" w:eastAsia="zh-CN"/>
        </w:rPr>
        <w:t xml:space="preserve"> 15 </w:t>
      </w:r>
      <w:r>
        <w:rPr>
          <w:rFonts w:hint="eastAsia" w:ascii="仿宋_GB2312" w:hAnsi="Times New Roman" w:eastAsia="仿宋_GB2312" w:cs="Times New Roman"/>
          <w:sz w:val="24"/>
          <w:szCs w:val="24"/>
          <w:highlight w:val="none"/>
        </w:rPr>
        <w:t>% 的扣除，用扣除后的价格参与评审。</w:t>
      </w:r>
    </w:p>
    <w:p w14:paraId="77648E76">
      <w:pPr>
        <w:adjustRightInd w:val="0"/>
        <w:snapToGrid w:val="0"/>
        <w:spacing w:before="156" w:beforeLines="50" w:line="360" w:lineRule="auto"/>
        <w:ind w:firstLine="240" w:firstLineChars="100"/>
        <w:jc w:val="left"/>
        <w:rPr>
          <w:rFonts w:hint="eastAsia" w:ascii="仿宋_GB2312" w:hAnsi="Times New Roman" w:eastAsia="仿宋_GB2312" w:cs="Times New Roman"/>
          <w:sz w:val="24"/>
          <w:szCs w:val="24"/>
          <w:highlight w:val="none"/>
        </w:rPr>
      </w:pPr>
      <w:r>
        <w:rPr>
          <w:rFonts w:hint="eastAsia" w:ascii="仿宋_GB2312" w:hAnsi="Times New Roman" w:eastAsia="仿宋_GB2312" w:cs="Times New Roman"/>
          <w:sz w:val="24"/>
          <w:szCs w:val="24"/>
          <w:highlight w:val="none"/>
        </w:rPr>
        <w:t>具体</w:t>
      </w:r>
      <w:r>
        <w:rPr>
          <w:rFonts w:hint="eastAsia" w:ascii="仿宋_GB2312" w:hAnsi="Times New Roman" w:eastAsia="仿宋_GB2312" w:cs="Times New Roman"/>
          <w:sz w:val="24"/>
          <w:szCs w:val="24"/>
          <w:highlight w:val="none"/>
          <w:lang w:eastAsia="zh-CN"/>
        </w:rPr>
        <w:t>评分权重如下</w:t>
      </w:r>
      <w:r>
        <w:rPr>
          <w:rFonts w:hint="eastAsia" w:ascii="仿宋_GB2312" w:hAnsi="Times New Roman" w:eastAsia="仿宋_GB2312" w:cs="Times New Roman"/>
          <w:sz w:val="24"/>
          <w:szCs w:val="24"/>
          <w:highlight w:val="none"/>
        </w:rPr>
        <w:t>：</w:t>
      </w:r>
    </w:p>
    <w:tbl>
      <w:tblPr>
        <w:tblStyle w:val="46"/>
        <w:tblpPr w:leftFromText="180" w:rightFromText="180" w:vertAnchor="text" w:horzAnchor="page" w:tblpX="1792" w:tblpY="438"/>
        <w:tblOverlap w:val="never"/>
        <w:tblW w:w="88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4"/>
        <w:gridCol w:w="1000"/>
        <w:gridCol w:w="987"/>
        <w:gridCol w:w="6359"/>
      </w:tblGrid>
      <w:tr w14:paraId="43F2B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EC5F1">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Times New Roman" w:eastAsia="仿宋_GB2312" w:cs="Times New Roman"/>
                <w:sz w:val="18"/>
                <w:szCs w:val="18"/>
                <w:highlight w:val="none"/>
              </w:rPr>
            </w:pPr>
            <w:r>
              <w:rPr>
                <w:rFonts w:hint="eastAsia" w:ascii="仿宋_GB2312" w:hAnsi="Times New Roman" w:eastAsia="仿宋_GB2312" w:cs="Times New Roman"/>
                <w:sz w:val="18"/>
                <w:szCs w:val="18"/>
                <w:highlight w:val="none"/>
                <w:lang w:val="en-US" w:eastAsia="zh-CN"/>
              </w:rPr>
              <w:t>序号</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D3B5C">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Times New Roman" w:eastAsia="仿宋_GB2312" w:cs="Times New Roman"/>
                <w:sz w:val="18"/>
                <w:szCs w:val="18"/>
                <w:highlight w:val="none"/>
              </w:rPr>
            </w:pPr>
            <w:r>
              <w:rPr>
                <w:rFonts w:hint="eastAsia" w:ascii="仿宋_GB2312" w:hAnsi="Times New Roman" w:eastAsia="仿宋_GB2312" w:cs="Times New Roman"/>
                <w:sz w:val="18"/>
                <w:szCs w:val="18"/>
                <w:highlight w:val="none"/>
                <w:lang w:val="en-US" w:eastAsia="zh-CN"/>
              </w:rPr>
              <w:t>评分因素</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44DAC">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Times New Roman" w:eastAsia="仿宋_GB2312" w:cs="Times New Roman"/>
                <w:sz w:val="18"/>
                <w:szCs w:val="18"/>
                <w:highlight w:val="none"/>
              </w:rPr>
            </w:pPr>
            <w:r>
              <w:rPr>
                <w:rFonts w:hint="eastAsia" w:ascii="仿宋_GB2312" w:hAnsi="Times New Roman" w:eastAsia="仿宋_GB2312" w:cs="Times New Roman"/>
                <w:sz w:val="18"/>
                <w:szCs w:val="18"/>
                <w:highlight w:val="none"/>
                <w:lang w:val="en-US" w:eastAsia="zh-CN"/>
              </w:rPr>
              <w:t>评标项目</w:t>
            </w:r>
          </w:p>
        </w:tc>
        <w:tc>
          <w:tcPr>
            <w:tcW w:w="6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F99E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sz w:val="18"/>
                <w:szCs w:val="18"/>
                <w:highlight w:val="none"/>
              </w:rPr>
            </w:pPr>
            <w:r>
              <w:rPr>
                <w:rFonts w:hint="eastAsia" w:ascii="仿宋_GB2312" w:hAnsi="Times New Roman" w:eastAsia="仿宋_GB2312" w:cs="Times New Roman"/>
                <w:sz w:val="18"/>
                <w:szCs w:val="18"/>
                <w:highlight w:val="none"/>
                <w:lang w:val="en-US" w:eastAsia="zh-CN"/>
              </w:rPr>
              <w:t>标准</w:t>
            </w:r>
          </w:p>
        </w:tc>
      </w:tr>
      <w:tr w14:paraId="10F45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0876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Times New Roman" w:eastAsia="仿宋_GB2312" w:cs="Times New Roman"/>
                <w:sz w:val="18"/>
                <w:szCs w:val="18"/>
                <w:highlight w:val="none"/>
              </w:rPr>
            </w:pPr>
            <w:r>
              <w:rPr>
                <w:rFonts w:hint="eastAsia" w:ascii="仿宋_GB2312" w:hAnsi="Times New Roman" w:eastAsia="仿宋_GB2312" w:cs="Times New Roman"/>
                <w:sz w:val="18"/>
                <w:szCs w:val="18"/>
                <w:highlight w:val="none"/>
                <w:lang w:val="en-US" w:eastAsia="zh-CN"/>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40FF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Times New Roman" w:eastAsia="仿宋_GB2312" w:cs="Times New Roman"/>
                <w:sz w:val="18"/>
                <w:szCs w:val="18"/>
                <w:highlight w:val="none"/>
              </w:rPr>
            </w:pPr>
            <w:r>
              <w:rPr>
                <w:rFonts w:hint="eastAsia" w:ascii="仿宋_GB2312" w:hAnsi="Times New Roman" w:eastAsia="仿宋_GB2312" w:cs="Times New Roman"/>
                <w:sz w:val="18"/>
                <w:szCs w:val="18"/>
                <w:highlight w:val="none"/>
                <w:lang w:val="en-US" w:eastAsia="zh-CN"/>
              </w:rPr>
              <w:t>报价得分</w:t>
            </w:r>
            <w:r>
              <w:rPr>
                <w:rFonts w:hint="eastAsia" w:ascii="仿宋_GB2312" w:hAnsi="Times New Roman" w:eastAsia="仿宋_GB2312" w:cs="Times New Roman"/>
                <w:sz w:val="18"/>
                <w:szCs w:val="18"/>
                <w:highlight w:val="none"/>
                <w:lang w:val="en-US" w:eastAsia="zh-CN"/>
              </w:rPr>
              <w:br w:type="textWrapping"/>
            </w:r>
            <w:r>
              <w:rPr>
                <w:rFonts w:hint="eastAsia" w:ascii="仿宋_GB2312" w:hAnsi="Times New Roman" w:eastAsia="仿宋_GB2312" w:cs="Times New Roman"/>
                <w:sz w:val="18"/>
                <w:szCs w:val="18"/>
                <w:highlight w:val="none"/>
                <w:lang w:val="en-US" w:eastAsia="zh-CN"/>
              </w:rPr>
              <w:t>（满分30分）</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93D5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Times New Roman" w:eastAsia="仿宋_GB2312" w:cs="Times New Roman"/>
                <w:sz w:val="18"/>
                <w:szCs w:val="18"/>
                <w:highlight w:val="none"/>
              </w:rPr>
            </w:pPr>
          </w:p>
        </w:tc>
        <w:tc>
          <w:tcPr>
            <w:tcW w:w="6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322E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Times New Roman" w:eastAsia="仿宋_GB2312" w:cs="Times New Roman"/>
                <w:sz w:val="18"/>
                <w:szCs w:val="18"/>
                <w:highlight w:val="none"/>
              </w:rPr>
            </w:pPr>
            <w:r>
              <w:rPr>
                <w:rFonts w:hint="eastAsia" w:ascii="仿宋_GB2312" w:hAnsi="Times New Roman" w:eastAsia="仿宋_GB2312" w:cs="Times New Roman"/>
                <w:sz w:val="18"/>
                <w:szCs w:val="18"/>
                <w:highlight w:val="none"/>
                <w:lang w:val="en-US" w:eastAsia="zh-CN"/>
              </w:rPr>
              <w:t>按照财政部《政府采购货物和服务招标投标管理办法》（财政部令第87号）的有关规定：价格分采用低价优先法计算，即满足招标文件要求且投标价格最低的投标报价为评标基准价 ，其价格分为满分。</w:t>
            </w:r>
            <w:r>
              <w:rPr>
                <w:rFonts w:hint="eastAsia" w:ascii="仿宋_GB2312" w:hAnsi="Times New Roman" w:eastAsia="仿宋_GB2312" w:cs="Times New Roman"/>
                <w:sz w:val="18"/>
                <w:szCs w:val="18"/>
                <w:highlight w:val="none"/>
                <w:lang w:val="en-US" w:eastAsia="zh-CN"/>
              </w:rPr>
              <w:br w:type="textWrapping"/>
            </w:r>
            <w:r>
              <w:rPr>
                <w:rFonts w:hint="eastAsia" w:ascii="仿宋_GB2312" w:hAnsi="Times New Roman" w:eastAsia="仿宋_GB2312" w:cs="Times New Roman"/>
                <w:sz w:val="18"/>
                <w:szCs w:val="18"/>
                <w:highlight w:val="none"/>
                <w:lang w:val="en-US" w:eastAsia="zh-CN"/>
              </w:rPr>
              <w:t>注：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 委员会应当将其作为无效报价处理。</w:t>
            </w:r>
          </w:p>
        </w:tc>
      </w:tr>
      <w:tr w14:paraId="7B278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3" w:hRule="atLeast"/>
        </w:trPr>
        <w:tc>
          <w:tcPr>
            <w:tcW w:w="4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3316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Times New Roman" w:eastAsia="仿宋_GB2312" w:cs="Times New Roman"/>
                <w:sz w:val="18"/>
                <w:szCs w:val="18"/>
                <w:highlight w:val="none"/>
                <w:lang w:val="en-US" w:eastAsia="zh-CN"/>
              </w:rPr>
            </w:pPr>
          </w:p>
          <w:p w14:paraId="37944CC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Times New Roman" w:eastAsia="仿宋_GB2312" w:cs="Times New Roman"/>
                <w:sz w:val="18"/>
                <w:szCs w:val="18"/>
                <w:highlight w:val="none"/>
                <w:lang w:val="en-US" w:eastAsia="zh-CN"/>
              </w:rPr>
            </w:pPr>
          </w:p>
          <w:p w14:paraId="32BA79E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仿宋_GB2312" w:hAnsi="Times New Roman" w:eastAsia="仿宋_GB2312" w:cs="Times New Roman"/>
                <w:sz w:val="18"/>
                <w:szCs w:val="18"/>
                <w:highlight w:val="none"/>
                <w:lang w:val="en-US" w:eastAsia="zh-CN"/>
              </w:rPr>
            </w:pPr>
            <w:r>
              <w:rPr>
                <w:rFonts w:hint="eastAsia" w:ascii="仿宋_GB2312" w:hAnsi="Times New Roman" w:eastAsia="仿宋_GB2312" w:cs="Times New Roman"/>
                <w:sz w:val="18"/>
                <w:szCs w:val="18"/>
                <w:highlight w:val="none"/>
                <w:lang w:val="en-US" w:eastAsia="zh-CN"/>
              </w:rPr>
              <w:t>2</w:t>
            </w:r>
          </w:p>
          <w:p w14:paraId="1D20E6C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Times New Roman" w:eastAsia="仿宋_GB2312" w:cs="Times New Roman"/>
                <w:sz w:val="18"/>
                <w:szCs w:val="18"/>
                <w:highlight w:val="none"/>
                <w:lang w:val="en-US" w:eastAsia="zh-CN"/>
              </w:rPr>
            </w:pPr>
          </w:p>
          <w:p w14:paraId="452718D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Times New Roman" w:eastAsia="仿宋_GB2312" w:cs="Times New Roman"/>
                <w:sz w:val="18"/>
                <w:szCs w:val="18"/>
                <w:highlight w:val="none"/>
                <w:lang w:val="en-US" w:eastAsia="zh-CN"/>
              </w:rPr>
            </w:pPr>
          </w:p>
          <w:p w14:paraId="1F50D16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Times New Roman" w:eastAsia="仿宋_GB2312" w:cs="Times New Roman"/>
                <w:sz w:val="18"/>
                <w:szCs w:val="18"/>
                <w:highlight w:val="none"/>
                <w:lang w:val="en-US" w:eastAsia="zh-CN"/>
              </w:rPr>
            </w:pPr>
          </w:p>
          <w:p w14:paraId="55ADA54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仿宋_GB2312" w:hAnsi="Times New Roman" w:eastAsia="仿宋_GB2312" w:cs="Times New Roman"/>
                <w:sz w:val="18"/>
                <w:szCs w:val="18"/>
                <w:highlight w:val="none"/>
                <w:lang w:val="en-US" w:eastAsia="zh-CN"/>
              </w:rPr>
            </w:pPr>
          </w:p>
          <w:p w14:paraId="0D68A77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仿宋_GB2312" w:hAnsi="Times New Roman" w:eastAsia="仿宋_GB2312" w:cs="Times New Roman"/>
                <w:sz w:val="18"/>
                <w:szCs w:val="18"/>
                <w:highlight w:val="none"/>
                <w:lang w:val="en-US" w:eastAsia="zh-CN"/>
              </w:rPr>
            </w:pPr>
          </w:p>
          <w:p w14:paraId="56920C3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仿宋_GB2312" w:hAnsi="Times New Roman" w:eastAsia="仿宋_GB2312" w:cs="Times New Roman"/>
                <w:sz w:val="18"/>
                <w:szCs w:val="18"/>
                <w:highlight w:val="none"/>
                <w:lang w:val="en-US" w:eastAsia="zh-CN"/>
              </w:rPr>
            </w:pPr>
          </w:p>
          <w:p w14:paraId="286E6AB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仿宋_GB2312" w:hAnsi="Times New Roman" w:eastAsia="仿宋_GB2312" w:cs="Times New Roman"/>
                <w:sz w:val="18"/>
                <w:szCs w:val="18"/>
                <w:highlight w:val="none"/>
                <w:lang w:val="en-US" w:eastAsia="zh-CN"/>
              </w:rPr>
            </w:pPr>
          </w:p>
          <w:p w14:paraId="5FA7731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Times New Roman" w:eastAsia="仿宋_GB2312" w:cs="Times New Roman"/>
                <w:sz w:val="18"/>
                <w:szCs w:val="18"/>
                <w:highlight w:val="none"/>
                <w:lang w:val="en-US" w:eastAsia="zh-CN"/>
              </w:rPr>
            </w:pPr>
          </w:p>
          <w:p w14:paraId="4878D93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Times New Roman" w:eastAsia="仿宋_GB2312" w:cs="Times New Roman"/>
                <w:sz w:val="18"/>
                <w:szCs w:val="18"/>
                <w:highlight w:val="none"/>
                <w:lang w:val="en-US" w:eastAsia="zh-CN"/>
              </w:rPr>
            </w:pPr>
          </w:p>
          <w:p w14:paraId="0C2A3BE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Times New Roman" w:eastAsia="仿宋_GB2312" w:cs="Times New Roman"/>
                <w:sz w:val="18"/>
                <w:szCs w:val="18"/>
                <w:highlight w:val="none"/>
                <w:lang w:val="en-US" w:eastAsia="zh-CN"/>
              </w:rPr>
            </w:pPr>
          </w:p>
          <w:p w14:paraId="43B197F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Times New Roman" w:eastAsia="仿宋_GB2312" w:cs="Times New Roman"/>
                <w:sz w:val="18"/>
                <w:szCs w:val="18"/>
                <w:highlight w:val="none"/>
                <w:lang w:val="en-US" w:eastAsia="zh-CN"/>
              </w:rPr>
            </w:pPr>
          </w:p>
          <w:p w14:paraId="25EDA27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仿宋_GB2312" w:hAnsi="Times New Roman" w:eastAsia="仿宋_GB2312" w:cs="Times New Roman"/>
                <w:sz w:val="18"/>
                <w:szCs w:val="18"/>
                <w:highlight w:val="none"/>
                <w:lang w:val="en-US" w:eastAsia="zh-CN"/>
              </w:rPr>
            </w:pPr>
          </w:p>
          <w:p w14:paraId="5634BF8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仿宋_GB2312" w:hAnsi="Times New Roman" w:eastAsia="仿宋_GB2312" w:cs="Times New Roman"/>
                <w:sz w:val="18"/>
                <w:szCs w:val="18"/>
                <w:highlight w:val="none"/>
                <w:lang w:val="en-US" w:eastAsia="zh-CN"/>
              </w:rPr>
            </w:pPr>
          </w:p>
          <w:p w14:paraId="1042B90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仿宋_GB2312" w:hAnsi="Times New Roman" w:eastAsia="仿宋_GB2312" w:cs="Times New Roman"/>
                <w:sz w:val="18"/>
                <w:szCs w:val="18"/>
                <w:highlight w:val="none"/>
                <w:lang w:val="en-US" w:eastAsia="zh-CN"/>
              </w:rPr>
            </w:pPr>
          </w:p>
          <w:p w14:paraId="770C8F7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仿宋_GB2312" w:hAnsi="Times New Roman" w:eastAsia="仿宋_GB2312" w:cs="Times New Roman"/>
                <w:sz w:val="18"/>
                <w:szCs w:val="18"/>
                <w:highlight w:val="none"/>
                <w:lang w:val="en-US" w:eastAsia="zh-CN"/>
              </w:rPr>
            </w:pPr>
          </w:p>
          <w:p w14:paraId="6D56425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仿宋_GB2312" w:hAnsi="Times New Roman" w:eastAsia="仿宋_GB2312" w:cs="Times New Roman"/>
                <w:sz w:val="18"/>
                <w:szCs w:val="18"/>
                <w:highlight w:val="none"/>
                <w:lang w:val="en-US" w:eastAsia="zh-CN"/>
              </w:rPr>
            </w:pPr>
          </w:p>
          <w:p w14:paraId="052AA33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仿宋_GB2312" w:hAnsi="Times New Roman" w:eastAsia="仿宋_GB2312" w:cs="Times New Roman"/>
                <w:sz w:val="18"/>
                <w:szCs w:val="18"/>
                <w:highlight w:val="none"/>
                <w:lang w:val="en-US" w:eastAsia="zh-CN"/>
              </w:rPr>
            </w:pPr>
          </w:p>
          <w:p w14:paraId="4085F68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仿宋_GB2312" w:hAnsi="Times New Roman" w:eastAsia="仿宋_GB2312" w:cs="Times New Roman"/>
                <w:sz w:val="18"/>
                <w:szCs w:val="18"/>
                <w:highlight w:val="none"/>
                <w:lang w:val="en-US" w:eastAsia="zh-CN"/>
              </w:rPr>
            </w:pPr>
            <w:r>
              <w:rPr>
                <w:rFonts w:hint="eastAsia" w:ascii="仿宋_GB2312" w:hAnsi="Times New Roman" w:eastAsia="仿宋_GB2312" w:cs="Times New Roman"/>
                <w:sz w:val="18"/>
                <w:szCs w:val="18"/>
                <w:highlight w:val="none"/>
                <w:lang w:val="en-US" w:eastAsia="zh-CN"/>
              </w:rPr>
              <w:t>2</w:t>
            </w:r>
          </w:p>
          <w:p w14:paraId="6792F7A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仿宋_GB2312" w:hAnsi="Times New Roman" w:eastAsia="仿宋_GB2312" w:cs="Times New Roman"/>
                <w:sz w:val="18"/>
                <w:szCs w:val="18"/>
                <w:highlight w:val="none"/>
                <w:lang w:val="en-US" w:eastAsia="zh-CN"/>
              </w:rPr>
            </w:pP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985E5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sz w:val="18"/>
                <w:szCs w:val="18"/>
                <w:highlight w:val="none"/>
                <w:lang w:val="en-US" w:eastAsia="zh-CN"/>
              </w:rPr>
            </w:pPr>
          </w:p>
          <w:p w14:paraId="69AC717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sz w:val="18"/>
                <w:szCs w:val="18"/>
                <w:highlight w:val="none"/>
                <w:lang w:val="en-US" w:eastAsia="zh-CN"/>
              </w:rPr>
            </w:pPr>
          </w:p>
          <w:p w14:paraId="11BD987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sz w:val="18"/>
                <w:szCs w:val="18"/>
                <w:highlight w:val="none"/>
                <w:lang w:val="en-US" w:eastAsia="zh-CN"/>
              </w:rPr>
            </w:pPr>
          </w:p>
          <w:p w14:paraId="0802EE5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sz w:val="18"/>
                <w:szCs w:val="18"/>
                <w:highlight w:val="none"/>
                <w:lang w:val="en-US" w:eastAsia="zh-CN"/>
              </w:rPr>
            </w:pPr>
          </w:p>
          <w:p w14:paraId="6494423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sz w:val="18"/>
                <w:szCs w:val="18"/>
                <w:highlight w:val="none"/>
                <w:lang w:val="en-US" w:eastAsia="zh-CN"/>
              </w:rPr>
            </w:pPr>
          </w:p>
          <w:p w14:paraId="6C6710A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sz w:val="18"/>
                <w:szCs w:val="18"/>
                <w:highlight w:val="none"/>
                <w:lang w:val="en-US" w:eastAsia="zh-CN"/>
              </w:rPr>
            </w:pPr>
          </w:p>
          <w:p w14:paraId="3439E0F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sz w:val="18"/>
                <w:szCs w:val="18"/>
                <w:highlight w:val="none"/>
                <w:lang w:val="en-US" w:eastAsia="zh-CN"/>
              </w:rPr>
            </w:pPr>
          </w:p>
          <w:p w14:paraId="6CE4479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sz w:val="18"/>
                <w:szCs w:val="18"/>
                <w:highlight w:val="none"/>
                <w:lang w:val="en-US" w:eastAsia="zh-CN"/>
              </w:rPr>
            </w:pPr>
          </w:p>
          <w:p w14:paraId="1F2B22F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sz w:val="18"/>
                <w:szCs w:val="18"/>
                <w:highlight w:val="none"/>
                <w:lang w:val="en-US" w:eastAsia="zh-CN"/>
              </w:rPr>
            </w:pPr>
          </w:p>
          <w:p w14:paraId="1DE69B9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sz w:val="18"/>
                <w:szCs w:val="18"/>
                <w:highlight w:val="none"/>
                <w:lang w:val="en-US" w:eastAsia="zh-CN"/>
              </w:rPr>
            </w:pPr>
          </w:p>
          <w:p w14:paraId="3BCDB40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sz w:val="18"/>
                <w:szCs w:val="18"/>
                <w:highlight w:val="none"/>
                <w:lang w:val="en-US" w:eastAsia="zh-CN"/>
              </w:rPr>
            </w:pPr>
          </w:p>
          <w:p w14:paraId="1D996C4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sz w:val="18"/>
                <w:szCs w:val="18"/>
                <w:highlight w:val="none"/>
                <w:lang w:val="en-US" w:eastAsia="zh-CN"/>
              </w:rPr>
            </w:pPr>
          </w:p>
          <w:p w14:paraId="13AE8A5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sz w:val="18"/>
                <w:szCs w:val="18"/>
                <w:highlight w:val="none"/>
                <w:lang w:val="en-US" w:eastAsia="zh-CN"/>
              </w:rPr>
            </w:pPr>
          </w:p>
          <w:p w14:paraId="70E6843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sz w:val="18"/>
                <w:szCs w:val="18"/>
                <w:highlight w:val="none"/>
                <w:lang w:val="en-US" w:eastAsia="zh-CN"/>
              </w:rPr>
            </w:pPr>
          </w:p>
          <w:p w14:paraId="40DD9C5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sz w:val="18"/>
                <w:szCs w:val="18"/>
                <w:highlight w:val="none"/>
                <w:lang w:val="en-US" w:eastAsia="zh-CN"/>
              </w:rPr>
            </w:pPr>
            <w:r>
              <w:rPr>
                <w:rFonts w:hint="eastAsia" w:ascii="仿宋_GB2312" w:hAnsi="Times New Roman" w:eastAsia="仿宋_GB2312" w:cs="Times New Roman"/>
                <w:sz w:val="18"/>
                <w:szCs w:val="18"/>
                <w:highlight w:val="none"/>
                <w:lang w:val="en-US" w:eastAsia="zh-CN"/>
              </w:rPr>
              <w:t>商务部分</w:t>
            </w:r>
            <w:r>
              <w:rPr>
                <w:rFonts w:hint="eastAsia" w:ascii="仿宋_GB2312" w:hAnsi="Times New Roman" w:eastAsia="仿宋_GB2312" w:cs="Times New Roman"/>
                <w:sz w:val="18"/>
                <w:szCs w:val="18"/>
                <w:highlight w:val="none"/>
                <w:lang w:val="en-US" w:eastAsia="zh-CN"/>
              </w:rPr>
              <w:br w:type="textWrapping"/>
            </w:r>
            <w:r>
              <w:rPr>
                <w:rFonts w:hint="eastAsia" w:ascii="仿宋_GB2312" w:hAnsi="Times New Roman" w:eastAsia="仿宋_GB2312" w:cs="Times New Roman"/>
                <w:sz w:val="18"/>
                <w:szCs w:val="18"/>
                <w:highlight w:val="none"/>
                <w:lang w:val="en-US" w:eastAsia="zh-CN"/>
              </w:rPr>
              <w:t>（满分26分）</w:t>
            </w:r>
          </w:p>
          <w:p w14:paraId="06EDBFD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sz w:val="18"/>
                <w:szCs w:val="18"/>
                <w:highlight w:val="none"/>
                <w:lang w:val="en-US" w:eastAsia="zh-CN"/>
              </w:rPr>
            </w:pPr>
          </w:p>
          <w:p w14:paraId="3649AE5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sz w:val="18"/>
                <w:szCs w:val="18"/>
                <w:highlight w:val="none"/>
                <w:lang w:val="en-US" w:eastAsia="zh-CN"/>
              </w:rPr>
            </w:pPr>
          </w:p>
          <w:p w14:paraId="4A3686B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sz w:val="18"/>
                <w:szCs w:val="18"/>
                <w:highlight w:val="none"/>
                <w:lang w:val="en-US" w:eastAsia="zh-CN"/>
              </w:rPr>
            </w:pPr>
          </w:p>
          <w:p w14:paraId="011C1AA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sz w:val="18"/>
                <w:szCs w:val="18"/>
                <w:highlight w:val="none"/>
                <w:lang w:val="en-US" w:eastAsia="zh-CN"/>
              </w:rPr>
            </w:pPr>
          </w:p>
          <w:p w14:paraId="52029E1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sz w:val="18"/>
                <w:szCs w:val="18"/>
                <w:highlight w:val="none"/>
                <w:lang w:val="en-US" w:eastAsia="zh-CN"/>
              </w:rPr>
            </w:pPr>
          </w:p>
          <w:p w14:paraId="52ED107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sz w:val="18"/>
                <w:szCs w:val="18"/>
                <w:highlight w:val="none"/>
                <w:lang w:val="en-US" w:eastAsia="zh-CN"/>
              </w:rPr>
            </w:pPr>
          </w:p>
          <w:p w14:paraId="753CE79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sz w:val="18"/>
                <w:szCs w:val="18"/>
                <w:highlight w:val="none"/>
                <w:lang w:val="en-US" w:eastAsia="zh-CN"/>
              </w:rPr>
            </w:pPr>
          </w:p>
          <w:p w14:paraId="4B80C11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sz w:val="18"/>
                <w:szCs w:val="18"/>
                <w:highlight w:val="none"/>
                <w:lang w:val="en-US" w:eastAsia="zh-CN"/>
              </w:rPr>
            </w:pPr>
          </w:p>
          <w:p w14:paraId="449F850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sz w:val="18"/>
                <w:szCs w:val="18"/>
                <w:highlight w:val="none"/>
                <w:lang w:val="en-US" w:eastAsia="zh-CN"/>
              </w:rPr>
            </w:pPr>
          </w:p>
          <w:p w14:paraId="6ABC51A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sz w:val="18"/>
                <w:szCs w:val="18"/>
                <w:highlight w:val="none"/>
                <w:lang w:val="en-US" w:eastAsia="zh-CN"/>
              </w:rPr>
            </w:pPr>
          </w:p>
          <w:p w14:paraId="04997E2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sz w:val="18"/>
                <w:szCs w:val="18"/>
                <w:highlight w:val="none"/>
                <w:lang w:val="en-US" w:eastAsia="zh-CN"/>
              </w:rPr>
            </w:pPr>
          </w:p>
          <w:p w14:paraId="07D959A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sz w:val="18"/>
                <w:szCs w:val="18"/>
                <w:highlight w:val="none"/>
                <w:lang w:val="en-US" w:eastAsia="zh-CN"/>
              </w:rPr>
            </w:pPr>
          </w:p>
          <w:p w14:paraId="4739C64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sz w:val="18"/>
                <w:szCs w:val="18"/>
                <w:highlight w:val="none"/>
                <w:lang w:val="en-US" w:eastAsia="zh-CN"/>
              </w:rPr>
            </w:pPr>
          </w:p>
          <w:p w14:paraId="7A0CE9F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sz w:val="18"/>
                <w:szCs w:val="18"/>
                <w:highlight w:val="none"/>
                <w:lang w:val="en-US" w:eastAsia="zh-CN"/>
              </w:rPr>
            </w:pPr>
          </w:p>
          <w:p w14:paraId="1676473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sz w:val="18"/>
                <w:szCs w:val="18"/>
                <w:highlight w:val="none"/>
                <w:lang w:val="en-US" w:eastAsia="zh-CN"/>
              </w:rPr>
            </w:pPr>
          </w:p>
          <w:p w14:paraId="01AF72B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sz w:val="18"/>
                <w:szCs w:val="18"/>
                <w:highlight w:val="none"/>
                <w:lang w:val="en-US" w:eastAsia="zh-CN"/>
              </w:rPr>
            </w:pPr>
          </w:p>
          <w:p w14:paraId="37D2396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sz w:val="18"/>
                <w:szCs w:val="18"/>
                <w:highlight w:val="none"/>
                <w:lang w:val="en-US" w:eastAsia="zh-CN"/>
              </w:rPr>
            </w:pPr>
          </w:p>
          <w:p w14:paraId="116CD79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sz w:val="18"/>
                <w:szCs w:val="18"/>
                <w:highlight w:val="none"/>
                <w:lang w:val="en-US" w:eastAsia="zh-CN"/>
              </w:rPr>
            </w:pPr>
          </w:p>
          <w:p w14:paraId="74610AA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sz w:val="18"/>
                <w:szCs w:val="18"/>
                <w:highlight w:val="none"/>
                <w:lang w:val="en-US" w:eastAsia="zh-CN"/>
              </w:rPr>
            </w:pPr>
          </w:p>
          <w:p w14:paraId="781D8B3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sz w:val="18"/>
                <w:szCs w:val="18"/>
                <w:highlight w:val="none"/>
                <w:lang w:val="en-US" w:eastAsia="zh-CN"/>
              </w:rPr>
            </w:pPr>
          </w:p>
          <w:p w14:paraId="6F5DA0F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sz w:val="18"/>
                <w:szCs w:val="18"/>
                <w:highlight w:val="none"/>
                <w:lang w:val="en-US" w:eastAsia="zh-CN"/>
              </w:rPr>
            </w:pPr>
          </w:p>
          <w:p w14:paraId="3AE7BDE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sz w:val="18"/>
                <w:szCs w:val="18"/>
                <w:highlight w:val="none"/>
                <w:lang w:val="en-US" w:eastAsia="zh-CN"/>
              </w:rPr>
            </w:pPr>
          </w:p>
          <w:p w14:paraId="7F3FD29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sz w:val="18"/>
                <w:szCs w:val="18"/>
                <w:highlight w:val="none"/>
                <w:lang w:val="en-US" w:eastAsia="zh-CN"/>
              </w:rPr>
            </w:pPr>
          </w:p>
          <w:p w14:paraId="04854FC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sz w:val="18"/>
                <w:szCs w:val="18"/>
                <w:highlight w:val="none"/>
                <w:lang w:val="en-US" w:eastAsia="zh-CN"/>
              </w:rPr>
            </w:pPr>
          </w:p>
          <w:p w14:paraId="5D2004D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sz w:val="18"/>
                <w:szCs w:val="18"/>
                <w:highlight w:val="none"/>
                <w:lang w:val="en-US" w:eastAsia="zh-CN"/>
              </w:rPr>
            </w:pPr>
          </w:p>
          <w:p w14:paraId="0CC9E8F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sz w:val="18"/>
                <w:szCs w:val="18"/>
                <w:highlight w:val="none"/>
                <w:lang w:val="en-US" w:eastAsia="zh-CN"/>
              </w:rPr>
            </w:pPr>
          </w:p>
          <w:p w14:paraId="2147600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sz w:val="18"/>
                <w:szCs w:val="18"/>
                <w:highlight w:val="none"/>
                <w:lang w:val="en-US" w:eastAsia="zh-CN"/>
              </w:rPr>
            </w:pPr>
          </w:p>
          <w:p w14:paraId="70AA4D6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sz w:val="18"/>
                <w:szCs w:val="18"/>
                <w:highlight w:val="none"/>
                <w:lang w:val="en-US" w:eastAsia="zh-CN"/>
              </w:rPr>
            </w:pPr>
          </w:p>
          <w:p w14:paraId="724A4D4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sz w:val="18"/>
                <w:szCs w:val="18"/>
                <w:highlight w:val="none"/>
                <w:lang w:val="en-US" w:eastAsia="zh-CN"/>
              </w:rPr>
            </w:pPr>
          </w:p>
          <w:p w14:paraId="7BF0CC1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sz w:val="18"/>
                <w:szCs w:val="18"/>
                <w:highlight w:val="none"/>
                <w:lang w:val="en-US" w:eastAsia="zh-CN"/>
              </w:rPr>
            </w:pPr>
          </w:p>
          <w:p w14:paraId="5E1EF9B3">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hAnsi="Times New Roman" w:eastAsia="仿宋_GB2312" w:cs="Times New Roman"/>
                <w:sz w:val="18"/>
                <w:szCs w:val="18"/>
                <w:highlight w:val="none"/>
                <w:lang w:val="en-US" w:eastAsia="zh-CN"/>
              </w:rPr>
            </w:pPr>
          </w:p>
          <w:p w14:paraId="4EC9F3E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sz w:val="18"/>
                <w:szCs w:val="18"/>
                <w:highlight w:val="none"/>
                <w:lang w:val="en-US" w:eastAsia="zh-CN"/>
              </w:rPr>
            </w:pPr>
          </w:p>
          <w:p w14:paraId="495CC0B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sz w:val="18"/>
                <w:szCs w:val="18"/>
                <w:highlight w:val="none"/>
                <w:lang w:val="en-US" w:eastAsia="zh-CN"/>
              </w:rPr>
            </w:pPr>
          </w:p>
          <w:p w14:paraId="565CA7A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sz w:val="18"/>
                <w:szCs w:val="18"/>
                <w:highlight w:val="none"/>
                <w:lang w:val="en-US" w:eastAsia="zh-CN"/>
              </w:rPr>
            </w:pPr>
          </w:p>
          <w:p w14:paraId="3938329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sz w:val="18"/>
                <w:szCs w:val="18"/>
                <w:highlight w:val="none"/>
                <w:lang w:val="en-US" w:eastAsia="zh-CN"/>
              </w:rPr>
            </w:pPr>
          </w:p>
          <w:p w14:paraId="30F98CC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sz w:val="18"/>
                <w:szCs w:val="18"/>
                <w:highlight w:val="none"/>
                <w:lang w:val="en-US" w:eastAsia="zh-CN"/>
              </w:rPr>
            </w:pPr>
          </w:p>
          <w:p w14:paraId="22072F7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sz w:val="18"/>
                <w:szCs w:val="18"/>
                <w:highlight w:val="none"/>
                <w:lang w:val="en-US" w:eastAsia="zh-CN"/>
              </w:rPr>
            </w:pPr>
          </w:p>
          <w:p w14:paraId="656BD04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sz w:val="18"/>
                <w:szCs w:val="18"/>
                <w:highlight w:val="none"/>
                <w:lang w:val="en-US" w:eastAsia="zh-CN"/>
              </w:rPr>
            </w:pPr>
          </w:p>
          <w:p w14:paraId="4129966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sz w:val="18"/>
                <w:szCs w:val="18"/>
                <w:highlight w:val="none"/>
                <w:lang w:val="en-US" w:eastAsia="zh-CN"/>
              </w:rPr>
            </w:pPr>
          </w:p>
          <w:p w14:paraId="2164757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sz w:val="18"/>
                <w:szCs w:val="18"/>
                <w:highlight w:val="none"/>
                <w:lang w:val="en-US" w:eastAsia="zh-CN"/>
              </w:rPr>
            </w:pPr>
          </w:p>
          <w:p w14:paraId="3ED995F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sz w:val="18"/>
                <w:szCs w:val="18"/>
                <w:highlight w:val="none"/>
                <w:lang w:val="en-US" w:eastAsia="zh-CN"/>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A854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Times New Roman" w:eastAsia="仿宋_GB2312" w:cs="Times New Roman"/>
                <w:sz w:val="18"/>
                <w:szCs w:val="18"/>
                <w:highlight w:val="none"/>
              </w:rPr>
            </w:pPr>
            <w:r>
              <w:rPr>
                <w:rFonts w:hint="eastAsia" w:ascii="仿宋_GB2312" w:hAnsi="Times New Roman" w:eastAsia="仿宋_GB2312" w:cs="Times New Roman"/>
                <w:sz w:val="18"/>
                <w:szCs w:val="18"/>
                <w:highlight w:val="none"/>
                <w:lang w:val="en-US" w:eastAsia="zh-CN"/>
              </w:rPr>
              <w:t>企业实力</w:t>
            </w:r>
            <w:r>
              <w:rPr>
                <w:rFonts w:hint="eastAsia" w:ascii="仿宋_GB2312" w:hAnsi="Times New Roman" w:eastAsia="仿宋_GB2312" w:cs="Times New Roman"/>
                <w:sz w:val="18"/>
                <w:szCs w:val="18"/>
                <w:highlight w:val="none"/>
                <w:lang w:val="en-US" w:eastAsia="zh-CN"/>
              </w:rPr>
              <w:br w:type="textWrapping"/>
            </w:r>
            <w:r>
              <w:rPr>
                <w:rFonts w:hint="eastAsia" w:ascii="仿宋_GB2312" w:hAnsi="Times New Roman" w:eastAsia="仿宋_GB2312" w:cs="Times New Roman"/>
                <w:sz w:val="18"/>
                <w:szCs w:val="18"/>
                <w:highlight w:val="none"/>
                <w:lang w:val="en-US" w:eastAsia="zh-CN"/>
              </w:rPr>
              <w:t>（满分5分）</w:t>
            </w:r>
          </w:p>
        </w:tc>
        <w:tc>
          <w:tcPr>
            <w:tcW w:w="6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AA53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Times New Roman" w:eastAsia="仿宋_GB2312" w:cs="Times New Roman"/>
                <w:sz w:val="18"/>
                <w:szCs w:val="18"/>
                <w:highlight w:val="none"/>
              </w:rPr>
            </w:pPr>
            <w:r>
              <w:rPr>
                <w:rFonts w:hint="eastAsia" w:ascii="仿宋_GB2312" w:hAnsi="Times New Roman" w:eastAsia="仿宋_GB2312" w:cs="Times New Roman"/>
                <w:sz w:val="18"/>
                <w:szCs w:val="18"/>
                <w:highlight w:val="none"/>
                <w:lang w:val="en-US" w:eastAsia="zh-CN"/>
              </w:rPr>
              <w:t>1、在项目执行地必须有固定的服务机构、团队、办公场所的此项才能得分，否则不得分。（提供产权证明或房屋租赁合同，以营业执照注册地为准，原件备查）。门店经营面积100平方米以内的，得2分，每多100平方米得1分，最高3分。（包含经营店和储存库）2.能保证每天按时配送的得2分，否则不得分；</w:t>
            </w:r>
          </w:p>
        </w:tc>
      </w:tr>
      <w:tr w14:paraId="34E53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1" w:hRule="atLeast"/>
        </w:trPr>
        <w:tc>
          <w:tcPr>
            <w:tcW w:w="4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FCF2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Times New Roman" w:eastAsia="仿宋_GB2312" w:cs="Times New Roman"/>
                <w:sz w:val="18"/>
                <w:szCs w:val="18"/>
                <w:highlight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B45EE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Times New Roman" w:eastAsia="仿宋_GB2312" w:cs="Times New Roman"/>
                <w:sz w:val="18"/>
                <w:szCs w:val="18"/>
                <w:highlight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BB33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Times New Roman" w:eastAsia="仿宋_GB2312" w:cs="Times New Roman"/>
                <w:sz w:val="18"/>
                <w:szCs w:val="18"/>
                <w:highlight w:val="none"/>
              </w:rPr>
            </w:pPr>
            <w:r>
              <w:rPr>
                <w:rFonts w:hint="eastAsia" w:ascii="仿宋_GB2312" w:hAnsi="Times New Roman" w:eastAsia="仿宋_GB2312" w:cs="Times New Roman"/>
                <w:sz w:val="18"/>
                <w:szCs w:val="18"/>
                <w:highlight w:val="none"/>
                <w:lang w:val="en-US" w:eastAsia="zh-CN"/>
              </w:rPr>
              <w:t>供货实力</w:t>
            </w:r>
            <w:r>
              <w:rPr>
                <w:rFonts w:hint="eastAsia" w:ascii="仿宋_GB2312" w:hAnsi="Times New Roman" w:eastAsia="仿宋_GB2312" w:cs="Times New Roman"/>
                <w:sz w:val="18"/>
                <w:szCs w:val="18"/>
                <w:highlight w:val="none"/>
                <w:lang w:val="en-US" w:eastAsia="zh-CN"/>
              </w:rPr>
              <w:br w:type="textWrapping"/>
            </w:r>
            <w:r>
              <w:rPr>
                <w:rFonts w:hint="eastAsia" w:ascii="仿宋_GB2312" w:hAnsi="Times New Roman" w:eastAsia="仿宋_GB2312" w:cs="Times New Roman"/>
                <w:sz w:val="18"/>
                <w:szCs w:val="18"/>
                <w:highlight w:val="none"/>
                <w:lang w:val="en-US" w:eastAsia="zh-CN"/>
              </w:rPr>
              <w:t>（满分4分）</w:t>
            </w:r>
          </w:p>
        </w:tc>
        <w:tc>
          <w:tcPr>
            <w:tcW w:w="6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4712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Times New Roman" w:eastAsia="仿宋_GB2312" w:cs="Times New Roman"/>
                <w:sz w:val="18"/>
                <w:szCs w:val="18"/>
                <w:highlight w:val="none"/>
              </w:rPr>
            </w:pPr>
            <w:r>
              <w:rPr>
                <w:rFonts w:hint="eastAsia" w:ascii="仿宋_GB2312" w:hAnsi="Times New Roman" w:eastAsia="仿宋_GB2312" w:cs="Times New Roman"/>
                <w:sz w:val="18"/>
                <w:szCs w:val="18"/>
                <w:highlight w:val="none"/>
                <w:lang w:val="en-US" w:eastAsia="zh-CN"/>
              </w:rPr>
              <w:t xml:space="preserve">1、根据供应商提供所投标产品供货渠道的相关证明材料进行评审： </w:t>
            </w:r>
            <w:r>
              <w:rPr>
                <w:rFonts w:hint="eastAsia" w:ascii="仿宋_GB2312" w:hAnsi="Times New Roman" w:eastAsia="仿宋_GB2312" w:cs="Times New Roman"/>
                <w:sz w:val="18"/>
                <w:szCs w:val="18"/>
                <w:highlight w:val="none"/>
                <w:lang w:val="en-US" w:eastAsia="zh-CN"/>
              </w:rPr>
              <w:br w:type="textWrapping"/>
            </w:r>
            <w:r>
              <w:rPr>
                <w:rFonts w:hint="eastAsia" w:ascii="仿宋_GB2312" w:hAnsi="Times New Roman" w:eastAsia="仿宋_GB2312" w:cs="Times New Roman"/>
                <w:sz w:val="18"/>
                <w:szCs w:val="18"/>
                <w:highlight w:val="none"/>
                <w:lang w:val="en-US" w:eastAsia="zh-CN"/>
              </w:rPr>
              <w:t xml:space="preserve">第一档次（3分）：货源稳定、渠道正规、品质有保障的； </w:t>
            </w:r>
            <w:r>
              <w:rPr>
                <w:rFonts w:hint="eastAsia" w:ascii="仿宋_GB2312" w:hAnsi="Times New Roman" w:eastAsia="仿宋_GB2312" w:cs="Times New Roman"/>
                <w:sz w:val="18"/>
                <w:szCs w:val="18"/>
                <w:highlight w:val="none"/>
                <w:lang w:val="en-US" w:eastAsia="zh-CN"/>
              </w:rPr>
              <w:br w:type="textWrapping"/>
            </w:r>
            <w:r>
              <w:rPr>
                <w:rFonts w:hint="eastAsia" w:ascii="仿宋_GB2312" w:hAnsi="Times New Roman" w:eastAsia="仿宋_GB2312" w:cs="Times New Roman"/>
                <w:sz w:val="18"/>
                <w:szCs w:val="18"/>
                <w:highlight w:val="none"/>
                <w:lang w:val="en-US" w:eastAsia="zh-CN"/>
              </w:rPr>
              <w:t>第二档次（1分）货源不稳定、渠道无追溯性、品质无保障的；</w:t>
            </w:r>
            <w:r>
              <w:rPr>
                <w:rFonts w:hint="eastAsia" w:ascii="仿宋_GB2312" w:hAnsi="Times New Roman" w:eastAsia="仿宋_GB2312" w:cs="Times New Roman"/>
                <w:sz w:val="18"/>
                <w:szCs w:val="18"/>
                <w:highlight w:val="none"/>
                <w:lang w:val="en-US" w:eastAsia="zh-CN"/>
              </w:rPr>
              <w:br w:type="textWrapping"/>
            </w:r>
            <w:r>
              <w:rPr>
                <w:rFonts w:hint="eastAsia" w:ascii="仿宋_GB2312" w:hAnsi="Times New Roman" w:eastAsia="仿宋_GB2312" w:cs="Times New Roman"/>
                <w:sz w:val="18"/>
                <w:szCs w:val="18"/>
                <w:highlight w:val="none"/>
                <w:lang w:val="en-US" w:eastAsia="zh-CN"/>
              </w:rPr>
              <w:t>2、若供货方在项目执行地的得1分 ，否则不得分。</w:t>
            </w:r>
            <w:r>
              <w:rPr>
                <w:rFonts w:hint="eastAsia" w:ascii="仿宋_GB2312" w:hAnsi="Times New Roman" w:eastAsia="仿宋_GB2312" w:cs="Times New Roman"/>
                <w:sz w:val="18"/>
                <w:szCs w:val="18"/>
                <w:highlight w:val="none"/>
                <w:lang w:val="en-US" w:eastAsia="zh-CN"/>
              </w:rPr>
              <w:br w:type="textWrapping"/>
            </w:r>
            <w:r>
              <w:rPr>
                <w:rFonts w:hint="eastAsia" w:ascii="仿宋_GB2312" w:hAnsi="Times New Roman" w:eastAsia="仿宋_GB2312" w:cs="Times New Roman"/>
                <w:sz w:val="18"/>
                <w:szCs w:val="18"/>
                <w:highlight w:val="none"/>
                <w:lang w:val="en-US" w:eastAsia="zh-CN"/>
              </w:rPr>
              <w:t>注：供应商无相关证明材料的不得分。</w:t>
            </w:r>
          </w:p>
        </w:tc>
      </w:tr>
      <w:tr w14:paraId="6CCE8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3" w:hRule="atLeast"/>
        </w:trPr>
        <w:tc>
          <w:tcPr>
            <w:tcW w:w="4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EBB7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Times New Roman" w:eastAsia="仿宋_GB2312" w:cs="Times New Roman"/>
                <w:sz w:val="18"/>
                <w:szCs w:val="18"/>
                <w:highlight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33169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Times New Roman" w:eastAsia="仿宋_GB2312" w:cs="Times New Roman"/>
                <w:sz w:val="18"/>
                <w:szCs w:val="18"/>
                <w:highlight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6EB3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Times New Roman" w:eastAsia="仿宋_GB2312" w:cs="Times New Roman"/>
                <w:sz w:val="18"/>
                <w:szCs w:val="18"/>
                <w:highlight w:val="none"/>
              </w:rPr>
            </w:pPr>
            <w:r>
              <w:rPr>
                <w:rFonts w:hint="eastAsia" w:ascii="仿宋_GB2312" w:hAnsi="Times New Roman" w:eastAsia="仿宋_GB2312" w:cs="Times New Roman"/>
                <w:sz w:val="18"/>
                <w:szCs w:val="18"/>
                <w:highlight w:val="none"/>
                <w:lang w:val="en-US" w:eastAsia="zh-CN"/>
              </w:rPr>
              <w:t>服务方案</w:t>
            </w:r>
            <w:r>
              <w:rPr>
                <w:rFonts w:hint="eastAsia" w:ascii="仿宋_GB2312" w:hAnsi="Times New Roman" w:eastAsia="仿宋_GB2312" w:cs="Times New Roman"/>
                <w:sz w:val="18"/>
                <w:szCs w:val="18"/>
                <w:highlight w:val="none"/>
                <w:lang w:val="en-US" w:eastAsia="zh-CN"/>
              </w:rPr>
              <w:br w:type="textWrapping"/>
            </w:r>
            <w:r>
              <w:rPr>
                <w:rFonts w:hint="eastAsia" w:ascii="仿宋_GB2312" w:hAnsi="Times New Roman" w:eastAsia="仿宋_GB2312" w:cs="Times New Roman"/>
                <w:sz w:val="18"/>
                <w:szCs w:val="18"/>
                <w:highlight w:val="none"/>
                <w:lang w:val="en-US" w:eastAsia="zh-CN"/>
              </w:rPr>
              <w:t>（满分9分）</w:t>
            </w:r>
          </w:p>
        </w:tc>
        <w:tc>
          <w:tcPr>
            <w:tcW w:w="6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E212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Times New Roman" w:eastAsia="仿宋_GB2312" w:cs="Times New Roman"/>
                <w:sz w:val="18"/>
                <w:szCs w:val="18"/>
                <w:highlight w:val="none"/>
              </w:rPr>
            </w:pPr>
            <w:r>
              <w:rPr>
                <w:rFonts w:hint="eastAsia" w:ascii="仿宋_GB2312" w:hAnsi="Times New Roman" w:eastAsia="仿宋_GB2312" w:cs="Times New Roman"/>
                <w:sz w:val="18"/>
                <w:szCs w:val="18"/>
                <w:highlight w:val="none"/>
                <w:lang w:val="en-US" w:eastAsia="zh-CN"/>
              </w:rPr>
              <w:t xml:space="preserve">1、配送服务方案（满分 3 分） </w:t>
            </w:r>
            <w:r>
              <w:rPr>
                <w:rFonts w:hint="eastAsia" w:ascii="仿宋_GB2312" w:hAnsi="Times New Roman" w:eastAsia="仿宋_GB2312" w:cs="Times New Roman"/>
                <w:sz w:val="18"/>
                <w:szCs w:val="18"/>
                <w:highlight w:val="none"/>
                <w:lang w:val="en-US" w:eastAsia="zh-CN"/>
              </w:rPr>
              <w:br w:type="textWrapping"/>
            </w:r>
            <w:r>
              <w:rPr>
                <w:rFonts w:hint="eastAsia" w:ascii="仿宋_GB2312" w:hAnsi="Times New Roman" w:eastAsia="仿宋_GB2312" w:cs="Times New Roman"/>
                <w:sz w:val="18"/>
                <w:szCs w:val="18"/>
                <w:highlight w:val="none"/>
                <w:lang w:val="en-US" w:eastAsia="zh-CN"/>
              </w:rPr>
              <w:t>根据供应商的配送服务方案全面、配送人员稳定、分工合理、服务流程标准、响应供货需求的时效等方面进行综合评审：</w:t>
            </w:r>
            <w:r>
              <w:rPr>
                <w:rFonts w:hint="eastAsia" w:ascii="仿宋_GB2312" w:hAnsi="Times New Roman" w:eastAsia="仿宋_GB2312" w:cs="Times New Roman"/>
                <w:sz w:val="18"/>
                <w:szCs w:val="18"/>
                <w:highlight w:val="none"/>
                <w:lang w:val="en-US" w:eastAsia="zh-CN"/>
              </w:rPr>
              <w:br w:type="textWrapping"/>
            </w:r>
            <w:r>
              <w:rPr>
                <w:rFonts w:hint="eastAsia" w:ascii="仿宋_GB2312" w:hAnsi="Times New Roman" w:eastAsia="仿宋_GB2312" w:cs="Times New Roman"/>
                <w:sz w:val="18"/>
                <w:szCs w:val="18"/>
                <w:highlight w:val="none"/>
                <w:lang w:val="en-US" w:eastAsia="zh-CN"/>
              </w:rPr>
              <w:t xml:space="preserve">第一档次（3 分）：内容全面、人员分工、服务流程合理可行、响应速度快的； </w:t>
            </w:r>
            <w:r>
              <w:rPr>
                <w:rFonts w:hint="eastAsia" w:ascii="仿宋_GB2312" w:hAnsi="Times New Roman" w:eastAsia="仿宋_GB2312" w:cs="Times New Roman"/>
                <w:sz w:val="18"/>
                <w:szCs w:val="18"/>
                <w:highlight w:val="none"/>
                <w:lang w:val="en-US" w:eastAsia="zh-CN"/>
              </w:rPr>
              <w:br w:type="textWrapping"/>
            </w:r>
            <w:r>
              <w:rPr>
                <w:rFonts w:hint="eastAsia" w:ascii="仿宋_GB2312" w:hAnsi="Times New Roman" w:eastAsia="仿宋_GB2312" w:cs="Times New Roman"/>
                <w:sz w:val="18"/>
                <w:szCs w:val="18"/>
                <w:highlight w:val="none"/>
                <w:lang w:val="en-US" w:eastAsia="zh-CN"/>
              </w:rPr>
              <w:t xml:space="preserve">第二档次（2 分）：方案内容较全面，分工、流程较合理、响应速度较快的； </w:t>
            </w:r>
            <w:r>
              <w:rPr>
                <w:rFonts w:hint="eastAsia" w:ascii="仿宋_GB2312" w:hAnsi="Times New Roman" w:eastAsia="仿宋_GB2312" w:cs="Times New Roman"/>
                <w:sz w:val="18"/>
                <w:szCs w:val="18"/>
                <w:highlight w:val="none"/>
                <w:lang w:val="en-US" w:eastAsia="zh-CN"/>
              </w:rPr>
              <w:br w:type="textWrapping"/>
            </w:r>
            <w:r>
              <w:rPr>
                <w:rFonts w:hint="eastAsia" w:ascii="仿宋_GB2312" w:hAnsi="Times New Roman" w:eastAsia="仿宋_GB2312" w:cs="Times New Roman"/>
                <w:sz w:val="18"/>
                <w:szCs w:val="18"/>
                <w:highlight w:val="none"/>
                <w:lang w:val="en-US" w:eastAsia="zh-CN"/>
              </w:rPr>
              <w:t xml:space="preserve">第三档次（1 分）：方案一般、分工、流程存在明显不足、响应速度一般的； </w:t>
            </w:r>
            <w:r>
              <w:rPr>
                <w:rFonts w:hint="eastAsia" w:ascii="仿宋_GB2312" w:hAnsi="Times New Roman" w:eastAsia="仿宋_GB2312" w:cs="Times New Roman"/>
                <w:sz w:val="18"/>
                <w:szCs w:val="18"/>
                <w:highlight w:val="none"/>
                <w:lang w:val="en-US" w:eastAsia="zh-CN"/>
              </w:rPr>
              <w:br w:type="textWrapping"/>
            </w:r>
            <w:r>
              <w:rPr>
                <w:rFonts w:hint="eastAsia" w:ascii="仿宋_GB2312" w:hAnsi="Times New Roman" w:eastAsia="仿宋_GB2312" w:cs="Times New Roman"/>
                <w:sz w:val="18"/>
                <w:szCs w:val="18"/>
                <w:highlight w:val="none"/>
                <w:lang w:val="en-US" w:eastAsia="zh-CN"/>
              </w:rPr>
              <w:t>第四档次（0 分）：方案较差、分工、流程混乱、响应速度慢的。</w:t>
            </w:r>
            <w:r>
              <w:rPr>
                <w:rFonts w:hint="eastAsia" w:ascii="仿宋_GB2312" w:hAnsi="Times New Roman" w:eastAsia="仿宋_GB2312" w:cs="Times New Roman"/>
                <w:sz w:val="18"/>
                <w:szCs w:val="18"/>
                <w:highlight w:val="none"/>
                <w:lang w:val="en-US" w:eastAsia="zh-CN"/>
              </w:rPr>
              <w:br w:type="textWrapping"/>
            </w:r>
            <w:r>
              <w:rPr>
                <w:rFonts w:hint="eastAsia" w:ascii="仿宋_GB2312" w:hAnsi="Times New Roman" w:eastAsia="仿宋_GB2312" w:cs="Times New Roman"/>
                <w:sz w:val="18"/>
                <w:szCs w:val="18"/>
                <w:highlight w:val="none"/>
                <w:lang w:val="en-US" w:eastAsia="zh-CN"/>
              </w:rPr>
              <w:t xml:space="preserve">注：无配送服务方案的不得分 </w:t>
            </w:r>
            <w:r>
              <w:rPr>
                <w:rFonts w:hint="eastAsia" w:ascii="仿宋_GB2312" w:hAnsi="Times New Roman" w:eastAsia="仿宋_GB2312" w:cs="Times New Roman"/>
                <w:sz w:val="18"/>
                <w:szCs w:val="18"/>
                <w:highlight w:val="none"/>
                <w:lang w:val="en-US" w:eastAsia="zh-CN"/>
              </w:rPr>
              <w:br w:type="textWrapping"/>
            </w:r>
            <w:r>
              <w:rPr>
                <w:rFonts w:hint="eastAsia" w:ascii="仿宋_GB2312" w:hAnsi="Times New Roman" w:eastAsia="仿宋_GB2312" w:cs="Times New Roman"/>
                <w:sz w:val="18"/>
                <w:szCs w:val="18"/>
                <w:highlight w:val="none"/>
                <w:lang w:val="en-US" w:eastAsia="zh-CN"/>
              </w:rPr>
              <w:t xml:space="preserve">2、供货方案及保障措施（满分 6 分） </w:t>
            </w:r>
            <w:r>
              <w:rPr>
                <w:rFonts w:hint="eastAsia" w:ascii="仿宋_GB2312" w:hAnsi="Times New Roman" w:eastAsia="仿宋_GB2312" w:cs="Times New Roman"/>
                <w:sz w:val="18"/>
                <w:szCs w:val="18"/>
                <w:highlight w:val="none"/>
                <w:lang w:val="en-US" w:eastAsia="zh-CN"/>
              </w:rPr>
              <w:br w:type="textWrapping"/>
            </w:r>
            <w:r>
              <w:rPr>
                <w:rFonts w:hint="eastAsia" w:ascii="仿宋_GB2312" w:hAnsi="Times New Roman" w:eastAsia="仿宋_GB2312" w:cs="Times New Roman"/>
                <w:sz w:val="18"/>
                <w:szCs w:val="18"/>
                <w:highlight w:val="none"/>
                <w:lang w:val="en-US" w:eastAsia="zh-CN"/>
              </w:rPr>
              <w:t xml:space="preserve">根据供应商的供货方案及保证措施的全面、保证措施是否合理、供货流程是否快捷方便、对服务内容、范围、任务目标完成保障措施等承诺全面、合理、可行方面进行综合评审 </w:t>
            </w:r>
            <w:r>
              <w:rPr>
                <w:rFonts w:hint="eastAsia" w:ascii="仿宋_GB2312" w:hAnsi="Times New Roman" w:eastAsia="仿宋_GB2312" w:cs="Times New Roman"/>
                <w:sz w:val="18"/>
                <w:szCs w:val="18"/>
                <w:highlight w:val="none"/>
                <w:lang w:val="en-US" w:eastAsia="zh-CN"/>
              </w:rPr>
              <w:br w:type="textWrapping"/>
            </w:r>
            <w:r>
              <w:rPr>
                <w:rFonts w:hint="eastAsia" w:ascii="仿宋_GB2312" w:hAnsi="Times New Roman" w:eastAsia="仿宋_GB2312" w:cs="Times New Roman"/>
                <w:sz w:val="18"/>
                <w:szCs w:val="18"/>
                <w:highlight w:val="none"/>
                <w:lang w:val="en-US" w:eastAsia="zh-CN"/>
              </w:rPr>
              <w:t xml:space="preserve">第一档次（6分）：供货服务方案清晰、架构完整，能充分考虑采购人需求的，对采购方需求分析透彻，对服务内容、范围、任务目标的完成保障措施及承诺全面、合理、可行，方案有针对性，保障能力强 </w:t>
            </w:r>
            <w:r>
              <w:rPr>
                <w:rFonts w:hint="eastAsia" w:ascii="仿宋_GB2312" w:hAnsi="Times New Roman" w:eastAsia="仿宋_GB2312" w:cs="Times New Roman"/>
                <w:sz w:val="18"/>
                <w:szCs w:val="18"/>
                <w:highlight w:val="none"/>
                <w:lang w:val="en-US" w:eastAsia="zh-CN"/>
              </w:rPr>
              <w:br w:type="textWrapping"/>
            </w:r>
            <w:r>
              <w:rPr>
                <w:rFonts w:hint="eastAsia" w:ascii="仿宋_GB2312" w:hAnsi="Times New Roman" w:eastAsia="仿宋_GB2312" w:cs="Times New Roman"/>
                <w:sz w:val="18"/>
                <w:szCs w:val="18"/>
                <w:highlight w:val="none"/>
                <w:lang w:val="en-US" w:eastAsia="zh-CN"/>
              </w:rPr>
              <w:t xml:space="preserve">且能较好地满足本项目需求的。 </w:t>
            </w:r>
            <w:r>
              <w:rPr>
                <w:rFonts w:hint="eastAsia" w:ascii="仿宋_GB2312" w:hAnsi="Times New Roman" w:eastAsia="仿宋_GB2312" w:cs="Times New Roman"/>
                <w:sz w:val="18"/>
                <w:szCs w:val="18"/>
                <w:highlight w:val="none"/>
                <w:lang w:val="en-US" w:eastAsia="zh-CN"/>
              </w:rPr>
              <w:br w:type="textWrapping"/>
            </w:r>
            <w:r>
              <w:rPr>
                <w:rFonts w:hint="eastAsia" w:ascii="仿宋_GB2312" w:hAnsi="Times New Roman" w:eastAsia="仿宋_GB2312" w:cs="Times New Roman"/>
                <w:sz w:val="18"/>
                <w:szCs w:val="18"/>
                <w:highlight w:val="none"/>
                <w:lang w:val="en-US" w:eastAsia="zh-CN"/>
              </w:rPr>
              <w:t xml:space="preserve">第二档次（5 分）：供货服务方案完整，能满足采购人需求的，对采购方需求分析全面，基本把握采购方需求，服务内容、范围、任务目标的完成保障措施及承诺基本全面、合理、可行，方案可行，保障能力强且能满足本项目需求的。 </w:t>
            </w:r>
            <w:r>
              <w:rPr>
                <w:rFonts w:hint="eastAsia" w:ascii="仿宋_GB2312" w:hAnsi="Times New Roman" w:eastAsia="仿宋_GB2312" w:cs="Times New Roman"/>
                <w:sz w:val="18"/>
                <w:szCs w:val="18"/>
                <w:highlight w:val="none"/>
                <w:lang w:val="en-US" w:eastAsia="zh-CN"/>
              </w:rPr>
              <w:br w:type="textWrapping"/>
            </w:r>
            <w:r>
              <w:rPr>
                <w:rFonts w:hint="eastAsia" w:ascii="仿宋_GB2312" w:hAnsi="Times New Roman" w:eastAsia="仿宋_GB2312" w:cs="Times New Roman"/>
                <w:sz w:val="18"/>
                <w:szCs w:val="18"/>
                <w:highlight w:val="none"/>
                <w:lang w:val="en-US" w:eastAsia="zh-CN"/>
              </w:rPr>
              <w:t xml:space="preserve">第三档次（3 分）：供货服务方案一般，响应程度一般，对采购人需求的主要问题及重难点的把握一般，方案基本可行，对供货保障措施不全面，保障能力一般，基本满足项目需求的。 </w:t>
            </w:r>
            <w:r>
              <w:rPr>
                <w:rFonts w:hint="eastAsia" w:ascii="仿宋_GB2312" w:hAnsi="Times New Roman" w:eastAsia="仿宋_GB2312" w:cs="Times New Roman"/>
                <w:sz w:val="18"/>
                <w:szCs w:val="18"/>
                <w:highlight w:val="none"/>
                <w:lang w:val="en-US" w:eastAsia="zh-CN"/>
              </w:rPr>
              <w:br w:type="textWrapping"/>
            </w:r>
            <w:r>
              <w:rPr>
                <w:rFonts w:hint="eastAsia" w:ascii="仿宋_GB2312" w:hAnsi="Times New Roman" w:eastAsia="仿宋_GB2312" w:cs="Times New Roman"/>
                <w:sz w:val="18"/>
                <w:szCs w:val="18"/>
                <w:highlight w:val="none"/>
                <w:lang w:val="en-US" w:eastAsia="zh-CN"/>
              </w:rPr>
              <w:t>第四档次（1 分）：供货服务方案仅部分满足采购人供货需求，对供货保障措施不全面，保障能力弱，部分满足项目需求的。</w:t>
            </w:r>
            <w:r>
              <w:rPr>
                <w:rFonts w:hint="eastAsia" w:ascii="仿宋_GB2312" w:hAnsi="Times New Roman" w:eastAsia="仿宋_GB2312" w:cs="Times New Roman"/>
                <w:sz w:val="18"/>
                <w:szCs w:val="18"/>
                <w:highlight w:val="none"/>
                <w:lang w:val="en-US" w:eastAsia="zh-CN"/>
              </w:rPr>
              <w:br w:type="textWrapping"/>
            </w:r>
            <w:r>
              <w:rPr>
                <w:rFonts w:hint="eastAsia" w:ascii="仿宋_GB2312" w:hAnsi="Times New Roman" w:eastAsia="仿宋_GB2312" w:cs="Times New Roman"/>
                <w:sz w:val="18"/>
                <w:szCs w:val="18"/>
                <w:highlight w:val="none"/>
                <w:lang w:val="en-US" w:eastAsia="zh-CN"/>
              </w:rPr>
              <w:t>注：无供货服务方案及保障措施或服务方案及保障措施不能满足采购人需求的不得分</w:t>
            </w:r>
            <w:r>
              <w:rPr>
                <w:rFonts w:hint="eastAsia" w:ascii="仿宋_GB2312" w:eastAsia="仿宋_GB2312" w:cs="Times New Roman"/>
                <w:sz w:val="18"/>
                <w:szCs w:val="18"/>
                <w:highlight w:val="none"/>
                <w:lang w:val="en-US" w:eastAsia="zh-CN"/>
              </w:rPr>
              <w:t>。</w:t>
            </w:r>
          </w:p>
        </w:tc>
      </w:tr>
      <w:tr w14:paraId="3FCB6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2" w:hRule="atLeast"/>
        </w:trPr>
        <w:tc>
          <w:tcPr>
            <w:tcW w:w="4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D120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Times New Roman" w:eastAsia="仿宋_GB2312" w:cs="Times New Roman"/>
                <w:sz w:val="18"/>
                <w:szCs w:val="18"/>
                <w:highlight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B7368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Times New Roman" w:eastAsia="仿宋_GB2312" w:cs="Times New Roman"/>
                <w:sz w:val="18"/>
                <w:szCs w:val="18"/>
                <w:highlight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95DE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Times New Roman" w:eastAsia="仿宋_GB2312" w:cs="Times New Roman"/>
                <w:sz w:val="18"/>
                <w:szCs w:val="18"/>
                <w:highlight w:val="none"/>
              </w:rPr>
            </w:pPr>
            <w:r>
              <w:rPr>
                <w:rFonts w:hint="eastAsia" w:ascii="仿宋_GB2312" w:hAnsi="Times New Roman" w:eastAsia="仿宋_GB2312" w:cs="Times New Roman"/>
                <w:sz w:val="18"/>
                <w:szCs w:val="18"/>
                <w:highlight w:val="none"/>
                <w:lang w:val="en-US" w:eastAsia="zh-CN"/>
              </w:rPr>
              <w:t>售后服务</w:t>
            </w:r>
            <w:r>
              <w:rPr>
                <w:rFonts w:hint="eastAsia" w:ascii="仿宋_GB2312" w:hAnsi="Times New Roman" w:eastAsia="仿宋_GB2312" w:cs="Times New Roman"/>
                <w:sz w:val="18"/>
                <w:szCs w:val="18"/>
                <w:highlight w:val="none"/>
                <w:lang w:val="en-US" w:eastAsia="zh-CN"/>
              </w:rPr>
              <w:br w:type="textWrapping"/>
            </w:r>
            <w:r>
              <w:rPr>
                <w:rFonts w:hint="eastAsia" w:ascii="仿宋_GB2312" w:hAnsi="Times New Roman" w:eastAsia="仿宋_GB2312" w:cs="Times New Roman"/>
                <w:sz w:val="18"/>
                <w:szCs w:val="18"/>
                <w:highlight w:val="none"/>
                <w:lang w:val="en-US" w:eastAsia="zh-CN"/>
              </w:rPr>
              <w:t>（满分4分）</w:t>
            </w:r>
          </w:p>
        </w:tc>
        <w:tc>
          <w:tcPr>
            <w:tcW w:w="6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357B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Times New Roman" w:eastAsia="仿宋_GB2312" w:cs="Times New Roman"/>
                <w:sz w:val="18"/>
                <w:szCs w:val="18"/>
                <w:highlight w:val="none"/>
              </w:rPr>
            </w:pPr>
            <w:r>
              <w:rPr>
                <w:rFonts w:hint="eastAsia" w:ascii="仿宋_GB2312" w:hAnsi="Times New Roman" w:eastAsia="仿宋_GB2312" w:cs="Times New Roman"/>
                <w:sz w:val="18"/>
                <w:szCs w:val="18"/>
                <w:highlight w:val="none"/>
                <w:lang w:val="en-US" w:eastAsia="zh-CN"/>
              </w:rPr>
              <w:t>根据供应商日常售后服务及出现食品安全问题的解决方法及相应的惩罚措施进行评审：</w:t>
            </w:r>
            <w:r>
              <w:rPr>
                <w:rFonts w:hint="eastAsia" w:ascii="仿宋_GB2312" w:hAnsi="Times New Roman" w:eastAsia="仿宋_GB2312" w:cs="Times New Roman"/>
                <w:sz w:val="18"/>
                <w:szCs w:val="18"/>
                <w:highlight w:val="none"/>
                <w:lang w:val="en-US" w:eastAsia="zh-CN"/>
              </w:rPr>
              <w:br w:type="textWrapping"/>
            </w:r>
            <w:r>
              <w:rPr>
                <w:rFonts w:hint="eastAsia" w:ascii="仿宋_GB2312" w:hAnsi="Times New Roman" w:eastAsia="仿宋_GB2312" w:cs="Times New Roman"/>
                <w:sz w:val="18"/>
                <w:szCs w:val="18"/>
                <w:highlight w:val="none"/>
                <w:lang w:val="en-US" w:eastAsia="zh-CN"/>
              </w:rPr>
              <w:t xml:space="preserve">第一档次（4 分）有质量保证及售后服务措施的，且措施合理针对性强，操作性强的得 4 分； </w:t>
            </w:r>
            <w:r>
              <w:rPr>
                <w:rFonts w:hint="eastAsia" w:ascii="仿宋_GB2312" w:hAnsi="Times New Roman" w:eastAsia="仿宋_GB2312" w:cs="Times New Roman"/>
                <w:sz w:val="18"/>
                <w:szCs w:val="18"/>
                <w:highlight w:val="none"/>
                <w:lang w:val="en-US" w:eastAsia="zh-CN"/>
              </w:rPr>
              <w:br w:type="textWrapping"/>
            </w:r>
            <w:r>
              <w:rPr>
                <w:rFonts w:hint="eastAsia" w:ascii="仿宋_GB2312" w:hAnsi="Times New Roman" w:eastAsia="仿宋_GB2312" w:cs="Times New Roman"/>
                <w:sz w:val="18"/>
                <w:szCs w:val="18"/>
                <w:highlight w:val="none"/>
                <w:lang w:val="en-US" w:eastAsia="zh-CN"/>
              </w:rPr>
              <w:t xml:space="preserve">第二档次（3 分）有质量保证及售后服务措施但不详细的，操作性一般的得 3 分； </w:t>
            </w:r>
            <w:r>
              <w:rPr>
                <w:rFonts w:hint="eastAsia" w:ascii="仿宋_GB2312" w:hAnsi="Times New Roman" w:eastAsia="仿宋_GB2312" w:cs="Times New Roman"/>
                <w:sz w:val="18"/>
                <w:szCs w:val="18"/>
                <w:highlight w:val="none"/>
                <w:lang w:val="en-US" w:eastAsia="zh-CN"/>
              </w:rPr>
              <w:br w:type="textWrapping"/>
            </w:r>
            <w:r>
              <w:rPr>
                <w:rFonts w:hint="eastAsia" w:ascii="仿宋_GB2312" w:hAnsi="Times New Roman" w:eastAsia="仿宋_GB2312" w:cs="Times New Roman"/>
                <w:sz w:val="18"/>
                <w:szCs w:val="18"/>
                <w:highlight w:val="none"/>
                <w:lang w:val="en-US" w:eastAsia="zh-CN"/>
              </w:rPr>
              <w:t>第三档次（1 分）有质量保证及售后服务措施但仅部分满足采购人售后服务需求的得 1 分。</w:t>
            </w:r>
            <w:r>
              <w:rPr>
                <w:rFonts w:hint="eastAsia" w:ascii="仿宋_GB2312" w:hAnsi="Times New Roman" w:eastAsia="仿宋_GB2312" w:cs="Times New Roman"/>
                <w:sz w:val="18"/>
                <w:szCs w:val="18"/>
                <w:highlight w:val="none"/>
                <w:lang w:val="en-US" w:eastAsia="zh-CN"/>
              </w:rPr>
              <w:br w:type="textWrapping"/>
            </w:r>
            <w:r>
              <w:rPr>
                <w:rFonts w:hint="eastAsia" w:ascii="仿宋_GB2312" w:hAnsi="Times New Roman" w:eastAsia="仿宋_GB2312" w:cs="Times New Roman"/>
                <w:sz w:val="18"/>
                <w:szCs w:val="18"/>
                <w:highlight w:val="none"/>
                <w:lang w:val="en-US" w:eastAsia="zh-CN"/>
              </w:rPr>
              <w:t xml:space="preserve">注：无售后服务措施或售后服务措施不能满足 </w:t>
            </w:r>
            <w:r>
              <w:rPr>
                <w:rFonts w:hint="eastAsia" w:ascii="仿宋_GB2312" w:hAnsi="Times New Roman" w:eastAsia="仿宋_GB2312" w:cs="Times New Roman"/>
                <w:sz w:val="18"/>
                <w:szCs w:val="18"/>
                <w:highlight w:val="none"/>
                <w:lang w:val="en-US" w:eastAsia="zh-CN"/>
              </w:rPr>
              <w:br w:type="textWrapping"/>
            </w:r>
            <w:r>
              <w:rPr>
                <w:rFonts w:hint="eastAsia" w:ascii="仿宋_GB2312" w:hAnsi="Times New Roman" w:eastAsia="仿宋_GB2312" w:cs="Times New Roman"/>
                <w:sz w:val="18"/>
                <w:szCs w:val="18"/>
                <w:highlight w:val="none"/>
                <w:lang w:val="en-US" w:eastAsia="zh-CN"/>
              </w:rPr>
              <w:t>采购人需求的不得分</w:t>
            </w:r>
          </w:p>
        </w:tc>
      </w:tr>
      <w:tr w14:paraId="65C16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2" w:hRule="atLeast"/>
        </w:trPr>
        <w:tc>
          <w:tcPr>
            <w:tcW w:w="4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A5D55">
            <w:pPr>
              <w:keepNext w:val="0"/>
              <w:keepLines w:val="0"/>
              <w:pageBreakBefore w:val="0"/>
              <w:widowControl w:val="0"/>
              <w:kinsoku/>
              <w:wordWrap/>
              <w:overflowPunct/>
              <w:topLinePunct w:val="0"/>
              <w:autoSpaceDE/>
              <w:autoSpaceDN/>
              <w:bidi w:val="0"/>
              <w:adjustRightInd/>
              <w:snapToGrid/>
              <w:spacing w:line="480" w:lineRule="exact"/>
              <w:ind w:firstLine="360" w:firstLineChars="200"/>
              <w:textAlignment w:val="auto"/>
              <w:rPr>
                <w:rFonts w:hint="eastAsia" w:ascii="仿宋_GB2312" w:hAnsi="Times New Roman" w:eastAsia="仿宋_GB2312" w:cs="Times New Roman"/>
                <w:sz w:val="18"/>
                <w:szCs w:val="18"/>
                <w:highlight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737228">
            <w:pPr>
              <w:keepNext w:val="0"/>
              <w:keepLines w:val="0"/>
              <w:pageBreakBefore w:val="0"/>
              <w:widowControl w:val="0"/>
              <w:kinsoku/>
              <w:wordWrap/>
              <w:overflowPunct/>
              <w:topLinePunct w:val="0"/>
              <w:autoSpaceDE/>
              <w:autoSpaceDN/>
              <w:bidi w:val="0"/>
              <w:adjustRightInd/>
              <w:snapToGrid/>
              <w:spacing w:line="480" w:lineRule="exact"/>
              <w:ind w:firstLine="360" w:firstLineChars="200"/>
              <w:textAlignment w:val="auto"/>
              <w:rPr>
                <w:rFonts w:hint="eastAsia" w:ascii="仿宋_GB2312" w:hAnsi="Times New Roman" w:eastAsia="仿宋_GB2312" w:cs="Times New Roman"/>
                <w:sz w:val="18"/>
                <w:szCs w:val="18"/>
                <w:highlight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2936A">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Times New Roman" w:eastAsia="仿宋_GB2312" w:cs="Times New Roman"/>
                <w:sz w:val="18"/>
                <w:szCs w:val="18"/>
                <w:highlight w:val="none"/>
              </w:rPr>
            </w:pPr>
            <w:r>
              <w:rPr>
                <w:rFonts w:hint="eastAsia" w:ascii="仿宋_GB2312" w:hAnsi="Times New Roman" w:eastAsia="仿宋_GB2312" w:cs="Times New Roman"/>
                <w:sz w:val="18"/>
                <w:szCs w:val="18"/>
                <w:highlight w:val="none"/>
                <w:lang w:val="en-US" w:eastAsia="zh-CN"/>
              </w:rPr>
              <w:t>突发事件应急保障措施（满分4分）</w:t>
            </w:r>
          </w:p>
        </w:tc>
        <w:tc>
          <w:tcPr>
            <w:tcW w:w="6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C95D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Times New Roman" w:eastAsia="仿宋_GB2312" w:cs="Times New Roman"/>
                <w:sz w:val="18"/>
                <w:szCs w:val="18"/>
                <w:highlight w:val="none"/>
              </w:rPr>
            </w:pPr>
            <w:r>
              <w:rPr>
                <w:rFonts w:hint="eastAsia" w:ascii="仿宋_GB2312" w:hAnsi="Times New Roman" w:eastAsia="仿宋_GB2312" w:cs="Times New Roman"/>
                <w:sz w:val="18"/>
                <w:szCs w:val="18"/>
                <w:highlight w:val="none"/>
                <w:lang w:val="en-US" w:eastAsia="zh-CN"/>
              </w:rPr>
              <w:t xml:space="preserve">根据供应商对合同履约过程中，因突发疫情、演习演练、执行任务、野外驻训等原因出现的临时配送任务、食品质量问题、运输过程的突发事件、以及发生食品安全问题等采取的应急保障措施的内容全面性、方案的合理可行性进行综合评审： </w:t>
            </w:r>
            <w:r>
              <w:rPr>
                <w:rFonts w:hint="eastAsia" w:ascii="仿宋_GB2312" w:hAnsi="Times New Roman" w:eastAsia="仿宋_GB2312" w:cs="Times New Roman"/>
                <w:sz w:val="18"/>
                <w:szCs w:val="18"/>
                <w:highlight w:val="none"/>
                <w:lang w:val="en-US" w:eastAsia="zh-CN"/>
              </w:rPr>
              <w:br w:type="textWrapping"/>
            </w:r>
            <w:r>
              <w:rPr>
                <w:rFonts w:hint="eastAsia" w:ascii="仿宋_GB2312" w:hAnsi="Times New Roman" w:eastAsia="仿宋_GB2312" w:cs="Times New Roman"/>
                <w:sz w:val="18"/>
                <w:szCs w:val="18"/>
                <w:highlight w:val="none"/>
                <w:lang w:val="en-US" w:eastAsia="zh-CN"/>
              </w:rPr>
              <w:t xml:space="preserve">第一档次（4 分）突发事件应急配送任务及措施内容详细全面，解决突发事件的能力强并且提供应急保障设备、人员等证明文件，应急保障的人力物力储备充足，突发事件、临时供货任务保障设备齐全且提供了证明资料，方案合理、具有可实施性的； </w:t>
            </w:r>
            <w:r>
              <w:rPr>
                <w:rFonts w:hint="eastAsia" w:ascii="仿宋_GB2312" w:hAnsi="Times New Roman" w:eastAsia="仿宋_GB2312" w:cs="Times New Roman"/>
                <w:sz w:val="18"/>
                <w:szCs w:val="18"/>
                <w:highlight w:val="none"/>
                <w:lang w:val="en-US" w:eastAsia="zh-CN"/>
              </w:rPr>
              <w:br w:type="textWrapping"/>
            </w:r>
            <w:r>
              <w:rPr>
                <w:rFonts w:hint="eastAsia" w:ascii="仿宋_GB2312" w:hAnsi="Times New Roman" w:eastAsia="仿宋_GB2312" w:cs="Times New Roman"/>
                <w:sz w:val="18"/>
                <w:szCs w:val="18"/>
                <w:highlight w:val="none"/>
                <w:lang w:val="en-US" w:eastAsia="zh-CN"/>
              </w:rPr>
              <w:t xml:space="preserve">第二档次（3 分）突发事件应急配送任务及措施内容较全面，解决突发事件的能力强，应急保障的人力物力储备充足，突发事件、临时供货任务保障设备齐全，方案合理、具有可实施性的； </w:t>
            </w:r>
            <w:r>
              <w:rPr>
                <w:rFonts w:hint="eastAsia" w:ascii="仿宋_GB2312" w:hAnsi="Times New Roman" w:eastAsia="仿宋_GB2312" w:cs="Times New Roman"/>
                <w:sz w:val="18"/>
                <w:szCs w:val="18"/>
                <w:highlight w:val="none"/>
                <w:lang w:val="en-US" w:eastAsia="zh-CN"/>
              </w:rPr>
              <w:br w:type="textWrapping"/>
            </w:r>
            <w:r>
              <w:rPr>
                <w:rFonts w:hint="eastAsia" w:ascii="仿宋_GB2312" w:hAnsi="Times New Roman" w:eastAsia="仿宋_GB2312" w:cs="Times New Roman"/>
                <w:sz w:val="18"/>
                <w:szCs w:val="18"/>
                <w:highlight w:val="none"/>
                <w:lang w:val="en-US" w:eastAsia="zh-CN"/>
              </w:rPr>
              <w:t xml:space="preserve">第三档次（1 分）突发事件应急配送任务及措施内容描述不全面、不突出重点，解决突发事件的能力弱，应急保障的人力物力储备不充足，突发事件、临时供货任务保障设备不齐全，方案基本合理； </w:t>
            </w:r>
            <w:r>
              <w:rPr>
                <w:rFonts w:hint="eastAsia" w:ascii="仿宋_GB2312" w:hAnsi="Times New Roman" w:eastAsia="仿宋_GB2312" w:cs="Times New Roman"/>
                <w:sz w:val="18"/>
                <w:szCs w:val="18"/>
                <w:highlight w:val="none"/>
                <w:lang w:val="en-US" w:eastAsia="zh-CN"/>
              </w:rPr>
              <w:br w:type="textWrapping"/>
            </w:r>
            <w:r>
              <w:rPr>
                <w:rFonts w:hint="eastAsia" w:ascii="仿宋_GB2312" w:hAnsi="Times New Roman" w:eastAsia="仿宋_GB2312" w:cs="Times New Roman"/>
                <w:sz w:val="18"/>
                <w:szCs w:val="18"/>
                <w:highlight w:val="none"/>
                <w:lang w:val="en-US" w:eastAsia="zh-CN"/>
              </w:rPr>
              <w:t>注：无突发事件应急保障措施的不得分</w:t>
            </w:r>
          </w:p>
        </w:tc>
      </w:tr>
      <w:tr w14:paraId="27AD8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74" w:type="dxa"/>
            <w:vMerge w:val="restart"/>
            <w:tcBorders>
              <w:top w:val="nil"/>
              <w:left w:val="single" w:color="000000" w:sz="4" w:space="0"/>
              <w:bottom w:val="single" w:color="000000" w:sz="4" w:space="0"/>
              <w:right w:val="single" w:color="000000" w:sz="4" w:space="0"/>
            </w:tcBorders>
            <w:shd w:val="clear" w:color="auto" w:fill="auto"/>
            <w:noWrap/>
            <w:vAlign w:val="center"/>
          </w:tcPr>
          <w:p w14:paraId="4ADE8255">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Times New Roman" w:eastAsia="仿宋_GB2312" w:cs="Times New Roman"/>
                <w:sz w:val="18"/>
                <w:szCs w:val="18"/>
                <w:highlight w:val="none"/>
                <w:lang w:val="en-US" w:eastAsia="zh-CN"/>
              </w:rPr>
            </w:pPr>
          </w:p>
          <w:p w14:paraId="31E375D0">
            <w:pPr>
              <w:keepNext w:val="0"/>
              <w:keepLines w:val="0"/>
              <w:pageBreakBefore w:val="0"/>
              <w:widowControl w:val="0"/>
              <w:kinsoku/>
              <w:wordWrap/>
              <w:overflowPunct/>
              <w:topLinePunct w:val="0"/>
              <w:autoSpaceDE/>
              <w:autoSpaceDN/>
              <w:bidi w:val="0"/>
              <w:adjustRightInd/>
              <w:snapToGrid/>
              <w:spacing w:line="480" w:lineRule="exact"/>
              <w:ind w:firstLine="360" w:firstLineChars="200"/>
              <w:textAlignment w:val="auto"/>
              <w:rPr>
                <w:rFonts w:hint="eastAsia" w:ascii="仿宋_GB2312" w:hAnsi="Times New Roman" w:eastAsia="仿宋_GB2312" w:cs="Times New Roman"/>
                <w:sz w:val="18"/>
                <w:szCs w:val="18"/>
                <w:highlight w:val="none"/>
                <w:lang w:val="en-US" w:eastAsia="zh-CN"/>
              </w:rPr>
            </w:pPr>
          </w:p>
          <w:p w14:paraId="041188FA">
            <w:pPr>
              <w:keepNext w:val="0"/>
              <w:keepLines w:val="0"/>
              <w:pageBreakBefore w:val="0"/>
              <w:widowControl w:val="0"/>
              <w:kinsoku/>
              <w:wordWrap/>
              <w:overflowPunct/>
              <w:topLinePunct w:val="0"/>
              <w:autoSpaceDE/>
              <w:autoSpaceDN/>
              <w:bidi w:val="0"/>
              <w:adjustRightInd/>
              <w:snapToGrid/>
              <w:spacing w:line="480" w:lineRule="exact"/>
              <w:ind w:firstLine="360" w:firstLineChars="200"/>
              <w:textAlignment w:val="auto"/>
              <w:rPr>
                <w:rFonts w:hint="eastAsia" w:ascii="仿宋_GB2312" w:hAnsi="Times New Roman" w:eastAsia="仿宋_GB2312" w:cs="Times New Roman"/>
                <w:sz w:val="18"/>
                <w:szCs w:val="18"/>
                <w:highlight w:val="none"/>
                <w:lang w:val="en-US" w:eastAsia="zh-CN"/>
              </w:rPr>
            </w:pPr>
          </w:p>
          <w:p w14:paraId="33321B46">
            <w:pPr>
              <w:keepNext w:val="0"/>
              <w:keepLines w:val="0"/>
              <w:pageBreakBefore w:val="0"/>
              <w:widowControl w:val="0"/>
              <w:kinsoku/>
              <w:wordWrap/>
              <w:overflowPunct/>
              <w:topLinePunct w:val="0"/>
              <w:autoSpaceDE/>
              <w:autoSpaceDN/>
              <w:bidi w:val="0"/>
              <w:adjustRightInd/>
              <w:snapToGrid/>
              <w:spacing w:line="480" w:lineRule="exact"/>
              <w:ind w:firstLine="360" w:firstLineChars="200"/>
              <w:textAlignment w:val="auto"/>
              <w:rPr>
                <w:rFonts w:hint="eastAsia" w:ascii="仿宋_GB2312" w:hAnsi="Times New Roman" w:eastAsia="仿宋_GB2312" w:cs="Times New Roman"/>
                <w:sz w:val="18"/>
                <w:szCs w:val="18"/>
                <w:highlight w:val="none"/>
                <w:lang w:val="en-US" w:eastAsia="zh-CN"/>
              </w:rPr>
            </w:pPr>
          </w:p>
          <w:p w14:paraId="5C7E0498">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Times New Roman" w:eastAsia="仿宋_GB2312" w:cs="Times New Roman"/>
                <w:sz w:val="18"/>
                <w:szCs w:val="18"/>
                <w:highlight w:val="none"/>
                <w:lang w:val="en-US" w:eastAsia="zh-CN"/>
              </w:rPr>
            </w:pPr>
            <w:r>
              <w:rPr>
                <w:rFonts w:hint="eastAsia" w:ascii="仿宋_GB2312" w:hAnsi="Times New Roman" w:eastAsia="仿宋_GB2312" w:cs="Times New Roman"/>
                <w:sz w:val="18"/>
                <w:szCs w:val="18"/>
                <w:highlight w:val="none"/>
                <w:lang w:val="en-US" w:eastAsia="zh-CN"/>
              </w:rPr>
              <w:t>3</w:t>
            </w:r>
          </w:p>
          <w:p w14:paraId="6ABBE36E">
            <w:pPr>
              <w:keepNext w:val="0"/>
              <w:keepLines w:val="0"/>
              <w:pageBreakBefore w:val="0"/>
              <w:widowControl w:val="0"/>
              <w:kinsoku/>
              <w:wordWrap/>
              <w:overflowPunct/>
              <w:topLinePunct w:val="0"/>
              <w:autoSpaceDE/>
              <w:autoSpaceDN/>
              <w:bidi w:val="0"/>
              <w:adjustRightInd/>
              <w:snapToGrid/>
              <w:spacing w:line="480" w:lineRule="exact"/>
              <w:ind w:firstLine="360" w:firstLineChars="200"/>
              <w:textAlignment w:val="auto"/>
              <w:rPr>
                <w:rFonts w:hint="eastAsia" w:ascii="仿宋_GB2312" w:hAnsi="Times New Roman" w:eastAsia="仿宋_GB2312" w:cs="Times New Roman"/>
                <w:sz w:val="18"/>
                <w:szCs w:val="18"/>
                <w:highlight w:val="none"/>
                <w:lang w:val="en-US" w:eastAsia="zh-CN"/>
              </w:rPr>
            </w:pPr>
          </w:p>
          <w:p w14:paraId="33F6FE5B">
            <w:pPr>
              <w:keepNext w:val="0"/>
              <w:keepLines w:val="0"/>
              <w:pageBreakBefore w:val="0"/>
              <w:widowControl w:val="0"/>
              <w:kinsoku/>
              <w:wordWrap/>
              <w:overflowPunct/>
              <w:topLinePunct w:val="0"/>
              <w:autoSpaceDE/>
              <w:autoSpaceDN/>
              <w:bidi w:val="0"/>
              <w:adjustRightInd/>
              <w:snapToGrid/>
              <w:spacing w:line="480" w:lineRule="exact"/>
              <w:ind w:firstLine="360" w:firstLineChars="200"/>
              <w:textAlignment w:val="auto"/>
              <w:rPr>
                <w:rFonts w:hint="eastAsia" w:ascii="仿宋_GB2312" w:hAnsi="Times New Roman" w:eastAsia="仿宋_GB2312" w:cs="Times New Roman"/>
                <w:sz w:val="18"/>
                <w:szCs w:val="18"/>
                <w:highlight w:val="none"/>
                <w:lang w:val="en-US" w:eastAsia="zh-CN"/>
              </w:rPr>
            </w:pPr>
          </w:p>
          <w:p w14:paraId="05CA16CD">
            <w:pPr>
              <w:keepNext w:val="0"/>
              <w:keepLines w:val="0"/>
              <w:pageBreakBefore w:val="0"/>
              <w:widowControl w:val="0"/>
              <w:kinsoku/>
              <w:wordWrap/>
              <w:overflowPunct/>
              <w:topLinePunct w:val="0"/>
              <w:autoSpaceDE/>
              <w:autoSpaceDN/>
              <w:bidi w:val="0"/>
              <w:adjustRightInd/>
              <w:snapToGrid/>
              <w:spacing w:line="480" w:lineRule="exact"/>
              <w:ind w:firstLine="360" w:firstLineChars="200"/>
              <w:textAlignment w:val="auto"/>
              <w:rPr>
                <w:rFonts w:hint="eastAsia" w:ascii="仿宋_GB2312" w:hAnsi="Times New Roman" w:eastAsia="仿宋_GB2312" w:cs="Times New Roman"/>
                <w:sz w:val="18"/>
                <w:szCs w:val="18"/>
                <w:highlight w:val="none"/>
                <w:lang w:val="en-US" w:eastAsia="zh-CN"/>
              </w:rPr>
            </w:pPr>
          </w:p>
          <w:p w14:paraId="5AE55122">
            <w:pPr>
              <w:keepNext w:val="0"/>
              <w:keepLines w:val="0"/>
              <w:pageBreakBefore w:val="0"/>
              <w:widowControl w:val="0"/>
              <w:kinsoku/>
              <w:wordWrap/>
              <w:overflowPunct/>
              <w:topLinePunct w:val="0"/>
              <w:autoSpaceDE/>
              <w:autoSpaceDN/>
              <w:bidi w:val="0"/>
              <w:adjustRightInd/>
              <w:snapToGrid/>
              <w:spacing w:line="480" w:lineRule="exact"/>
              <w:ind w:firstLine="360" w:firstLineChars="200"/>
              <w:textAlignment w:val="auto"/>
              <w:rPr>
                <w:rFonts w:hint="eastAsia" w:ascii="仿宋_GB2312" w:hAnsi="Times New Roman" w:eastAsia="仿宋_GB2312" w:cs="Times New Roman"/>
                <w:sz w:val="18"/>
                <w:szCs w:val="18"/>
                <w:highlight w:val="none"/>
                <w:lang w:val="en-US" w:eastAsia="zh-CN"/>
              </w:rPr>
            </w:pPr>
          </w:p>
          <w:p w14:paraId="31C5CE22">
            <w:pPr>
              <w:keepNext w:val="0"/>
              <w:keepLines w:val="0"/>
              <w:pageBreakBefore w:val="0"/>
              <w:widowControl w:val="0"/>
              <w:kinsoku/>
              <w:wordWrap/>
              <w:overflowPunct/>
              <w:topLinePunct w:val="0"/>
              <w:autoSpaceDE/>
              <w:autoSpaceDN/>
              <w:bidi w:val="0"/>
              <w:adjustRightInd/>
              <w:snapToGrid/>
              <w:spacing w:line="480" w:lineRule="exact"/>
              <w:ind w:firstLine="360" w:firstLineChars="200"/>
              <w:textAlignment w:val="auto"/>
              <w:rPr>
                <w:rFonts w:hint="eastAsia" w:ascii="仿宋_GB2312" w:hAnsi="Times New Roman" w:eastAsia="仿宋_GB2312" w:cs="Times New Roman"/>
                <w:sz w:val="18"/>
                <w:szCs w:val="18"/>
                <w:highlight w:val="none"/>
                <w:lang w:val="en-US" w:eastAsia="zh-CN"/>
              </w:rPr>
            </w:pPr>
          </w:p>
          <w:p w14:paraId="5E10A580">
            <w:pPr>
              <w:keepNext w:val="0"/>
              <w:keepLines w:val="0"/>
              <w:pageBreakBefore w:val="0"/>
              <w:widowControl w:val="0"/>
              <w:kinsoku/>
              <w:wordWrap/>
              <w:overflowPunct/>
              <w:topLinePunct w:val="0"/>
              <w:autoSpaceDE/>
              <w:autoSpaceDN/>
              <w:bidi w:val="0"/>
              <w:adjustRightInd/>
              <w:snapToGrid/>
              <w:spacing w:line="480" w:lineRule="exact"/>
              <w:ind w:firstLine="360" w:firstLineChars="200"/>
              <w:textAlignment w:val="auto"/>
              <w:rPr>
                <w:rFonts w:hint="eastAsia" w:ascii="仿宋_GB2312" w:hAnsi="Times New Roman" w:eastAsia="仿宋_GB2312" w:cs="Times New Roman"/>
                <w:sz w:val="18"/>
                <w:szCs w:val="18"/>
                <w:highlight w:val="none"/>
                <w:lang w:val="en-US" w:eastAsia="zh-CN"/>
              </w:rPr>
            </w:pPr>
          </w:p>
          <w:p w14:paraId="1AB3D7D9">
            <w:pPr>
              <w:keepNext w:val="0"/>
              <w:keepLines w:val="0"/>
              <w:pageBreakBefore w:val="0"/>
              <w:widowControl w:val="0"/>
              <w:kinsoku/>
              <w:wordWrap/>
              <w:overflowPunct/>
              <w:topLinePunct w:val="0"/>
              <w:autoSpaceDE/>
              <w:autoSpaceDN/>
              <w:bidi w:val="0"/>
              <w:adjustRightInd/>
              <w:snapToGrid/>
              <w:spacing w:line="480" w:lineRule="exact"/>
              <w:ind w:firstLine="360" w:firstLineChars="200"/>
              <w:textAlignment w:val="auto"/>
              <w:rPr>
                <w:rFonts w:hint="eastAsia" w:ascii="仿宋_GB2312" w:hAnsi="Times New Roman" w:eastAsia="仿宋_GB2312" w:cs="Times New Roman"/>
                <w:sz w:val="18"/>
                <w:szCs w:val="18"/>
                <w:highlight w:val="none"/>
                <w:lang w:val="en-US" w:eastAsia="zh-CN"/>
              </w:rPr>
            </w:pPr>
          </w:p>
          <w:p w14:paraId="3576ED99">
            <w:pPr>
              <w:keepNext w:val="0"/>
              <w:keepLines w:val="0"/>
              <w:pageBreakBefore w:val="0"/>
              <w:widowControl w:val="0"/>
              <w:kinsoku/>
              <w:wordWrap/>
              <w:overflowPunct/>
              <w:topLinePunct w:val="0"/>
              <w:autoSpaceDE/>
              <w:autoSpaceDN/>
              <w:bidi w:val="0"/>
              <w:adjustRightInd/>
              <w:snapToGrid/>
              <w:spacing w:line="480" w:lineRule="exact"/>
              <w:ind w:firstLine="360" w:firstLineChars="200"/>
              <w:textAlignment w:val="auto"/>
              <w:rPr>
                <w:rFonts w:hint="eastAsia" w:ascii="仿宋_GB2312" w:hAnsi="Times New Roman" w:eastAsia="仿宋_GB2312" w:cs="Times New Roman"/>
                <w:sz w:val="18"/>
                <w:szCs w:val="18"/>
                <w:highlight w:val="none"/>
                <w:lang w:val="en-US" w:eastAsia="zh-CN"/>
              </w:rPr>
            </w:pPr>
          </w:p>
          <w:p w14:paraId="67AE58F8">
            <w:pPr>
              <w:keepNext w:val="0"/>
              <w:keepLines w:val="0"/>
              <w:pageBreakBefore w:val="0"/>
              <w:widowControl w:val="0"/>
              <w:kinsoku/>
              <w:wordWrap/>
              <w:overflowPunct/>
              <w:topLinePunct w:val="0"/>
              <w:autoSpaceDE/>
              <w:autoSpaceDN/>
              <w:bidi w:val="0"/>
              <w:adjustRightInd/>
              <w:snapToGrid/>
              <w:spacing w:line="480" w:lineRule="exact"/>
              <w:ind w:firstLine="360" w:firstLineChars="200"/>
              <w:textAlignment w:val="auto"/>
              <w:rPr>
                <w:rFonts w:hint="eastAsia" w:ascii="仿宋_GB2312" w:hAnsi="Times New Roman" w:eastAsia="仿宋_GB2312" w:cs="Times New Roman"/>
                <w:sz w:val="18"/>
                <w:szCs w:val="18"/>
                <w:highlight w:val="none"/>
                <w:lang w:val="en-US" w:eastAsia="zh-CN"/>
              </w:rPr>
            </w:pPr>
          </w:p>
          <w:p w14:paraId="46769CF8">
            <w:pPr>
              <w:keepNext w:val="0"/>
              <w:keepLines w:val="0"/>
              <w:pageBreakBefore w:val="0"/>
              <w:widowControl w:val="0"/>
              <w:kinsoku/>
              <w:wordWrap/>
              <w:overflowPunct/>
              <w:topLinePunct w:val="0"/>
              <w:autoSpaceDE/>
              <w:autoSpaceDN/>
              <w:bidi w:val="0"/>
              <w:adjustRightInd/>
              <w:snapToGrid/>
              <w:spacing w:line="480" w:lineRule="exact"/>
              <w:ind w:firstLine="360" w:firstLineChars="200"/>
              <w:textAlignment w:val="auto"/>
              <w:rPr>
                <w:rFonts w:hint="eastAsia" w:ascii="仿宋_GB2312" w:hAnsi="Times New Roman" w:eastAsia="仿宋_GB2312" w:cs="Times New Roman"/>
                <w:sz w:val="18"/>
                <w:szCs w:val="18"/>
                <w:highlight w:val="none"/>
                <w:lang w:val="en-US" w:eastAsia="zh-CN"/>
              </w:rPr>
            </w:pPr>
          </w:p>
          <w:p w14:paraId="7CA9352E">
            <w:pPr>
              <w:keepNext w:val="0"/>
              <w:keepLines w:val="0"/>
              <w:pageBreakBefore w:val="0"/>
              <w:widowControl w:val="0"/>
              <w:kinsoku/>
              <w:wordWrap/>
              <w:overflowPunct/>
              <w:topLinePunct w:val="0"/>
              <w:autoSpaceDE/>
              <w:autoSpaceDN/>
              <w:bidi w:val="0"/>
              <w:adjustRightInd/>
              <w:snapToGrid/>
              <w:spacing w:line="480" w:lineRule="exact"/>
              <w:ind w:firstLine="360" w:firstLineChars="200"/>
              <w:textAlignment w:val="auto"/>
              <w:rPr>
                <w:rFonts w:hint="eastAsia" w:ascii="仿宋_GB2312" w:hAnsi="Times New Roman" w:eastAsia="仿宋_GB2312" w:cs="Times New Roman"/>
                <w:sz w:val="18"/>
                <w:szCs w:val="18"/>
                <w:highlight w:val="none"/>
                <w:lang w:val="en-US" w:eastAsia="zh-CN"/>
              </w:rPr>
            </w:pPr>
          </w:p>
          <w:p w14:paraId="59EDA423">
            <w:pPr>
              <w:keepNext w:val="0"/>
              <w:keepLines w:val="0"/>
              <w:pageBreakBefore w:val="0"/>
              <w:widowControl w:val="0"/>
              <w:kinsoku/>
              <w:wordWrap/>
              <w:overflowPunct/>
              <w:topLinePunct w:val="0"/>
              <w:autoSpaceDE/>
              <w:autoSpaceDN/>
              <w:bidi w:val="0"/>
              <w:adjustRightInd/>
              <w:snapToGrid/>
              <w:spacing w:line="480" w:lineRule="exact"/>
              <w:ind w:firstLine="360" w:firstLineChars="200"/>
              <w:textAlignment w:val="auto"/>
              <w:rPr>
                <w:rFonts w:hint="default" w:ascii="仿宋_GB2312" w:hAnsi="Times New Roman" w:eastAsia="仿宋_GB2312" w:cs="Times New Roman"/>
                <w:sz w:val="18"/>
                <w:szCs w:val="18"/>
                <w:highlight w:val="none"/>
                <w:lang w:val="en-US" w:eastAsia="zh-CN"/>
              </w:rPr>
            </w:pPr>
          </w:p>
        </w:tc>
        <w:tc>
          <w:tcPr>
            <w:tcW w:w="1000" w:type="dxa"/>
            <w:vMerge w:val="restart"/>
            <w:tcBorders>
              <w:top w:val="single" w:color="000000" w:sz="4" w:space="0"/>
              <w:left w:val="single" w:color="000000" w:sz="4" w:space="0"/>
              <w:right w:val="single" w:color="000000" w:sz="4" w:space="0"/>
            </w:tcBorders>
            <w:shd w:val="clear" w:color="auto" w:fill="auto"/>
            <w:vAlign w:val="center"/>
          </w:tcPr>
          <w:p w14:paraId="0B766A32">
            <w:pPr>
              <w:keepNext w:val="0"/>
              <w:keepLines w:val="0"/>
              <w:pageBreakBefore w:val="0"/>
              <w:widowControl w:val="0"/>
              <w:kinsoku/>
              <w:wordWrap/>
              <w:overflowPunct/>
              <w:topLinePunct w:val="0"/>
              <w:autoSpaceDE/>
              <w:autoSpaceDN/>
              <w:bidi w:val="0"/>
              <w:adjustRightInd/>
              <w:snapToGrid/>
              <w:spacing w:line="480" w:lineRule="exact"/>
              <w:ind w:firstLine="360" w:firstLineChars="200"/>
              <w:jc w:val="center"/>
              <w:textAlignment w:val="auto"/>
              <w:rPr>
                <w:rFonts w:hint="eastAsia" w:ascii="仿宋_GB2312" w:hAnsi="Times New Roman" w:eastAsia="仿宋_GB2312" w:cs="Times New Roman"/>
                <w:sz w:val="18"/>
                <w:szCs w:val="18"/>
                <w:highlight w:val="none"/>
                <w:lang w:val="en-US" w:eastAsia="zh-CN"/>
              </w:rPr>
            </w:pPr>
          </w:p>
          <w:p w14:paraId="72C3B668">
            <w:pPr>
              <w:keepNext w:val="0"/>
              <w:keepLines w:val="0"/>
              <w:pageBreakBefore w:val="0"/>
              <w:widowControl w:val="0"/>
              <w:kinsoku/>
              <w:wordWrap/>
              <w:overflowPunct/>
              <w:topLinePunct w:val="0"/>
              <w:autoSpaceDE/>
              <w:autoSpaceDN/>
              <w:bidi w:val="0"/>
              <w:adjustRightInd/>
              <w:snapToGrid/>
              <w:spacing w:line="480" w:lineRule="exact"/>
              <w:ind w:firstLine="360" w:firstLineChars="200"/>
              <w:jc w:val="center"/>
              <w:textAlignment w:val="auto"/>
              <w:rPr>
                <w:rFonts w:hint="eastAsia" w:ascii="仿宋_GB2312" w:hAnsi="Times New Roman" w:eastAsia="仿宋_GB2312" w:cs="Times New Roman"/>
                <w:sz w:val="18"/>
                <w:szCs w:val="18"/>
                <w:highlight w:val="none"/>
                <w:lang w:val="en-US" w:eastAsia="zh-CN"/>
              </w:rPr>
            </w:pPr>
          </w:p>
          <w:p w14:paraId="31505A97">
            <w:pPr>
              <w:keepNext w:val="0"/>
              <w:keepLines w:val="0"/>
              <w:pageBreakBefore w:val="0"/>
              <w:widowControl w:val="0"/>
              <w:kinsoku/>
              <w:wordWrap/>
              <w:overflowPunct/>
              <w:topLinePunct w:val="0"/>
              <w:autoSpaceDE/>
              <w:autoSpaceDN/>
              <w:bidi w:val="0"/>
              <w:adjustRightInd/>
              <w:snapToGrid/>
              <w:spacing w:line="480" w:lineRule="exact"/>
              <w:ind w:firstLine="360" w:firstLineChars="200"/>
              <w:jc w:val="center"/>
              <w:textAlignment w:val="auto"/>
              <w:rPr>
                <w:rFonts w:hint="eastAsia" w:ascii="仿宋_GB2312" w:hAnsi="Times New Roman" w:eastAsia="仿宋_GB2312" w:cs="Times New Roman"/>
                <w:sz w:val="18"/>
                <w:szCs w:val="18"/>
                <w:highlight w:val="none"/>
                <w:lang w:val="en-US" w:eastAsia="zh-CN"/>
              </w:rPr>
            </w:pPr>
          </w:p>
          <w:p w14:paraId="7B38C51D">
            <w:pPr>
              <w:keepNext w:val="0"/>
              <w:keepLines w:val="0"/>
              <w:pageBreakBefore w:val="0"/>
              <w:widowControl w:val="0"/>
              <w:kinsoku/>
              <w:wordWrap/>
              <w:overflowPunct/>
              <w:topLinePunct w:val="0"/>
              <w:autoSpaceDE/>
              <w:autoSpaceDN/>
              <w:bidi w:val="0"/>
              <w:adjustRightInd/>
              <w:snapToGrid/>
              <w:spacing w:line="480" w:lineRule="exact"/>
              <w:ind w:firstLine="360" w:firstLineChars="200"/>
              <w:jc w:val="center"/>
              <w:textAlignment w:val="auto"/>
              <w:rPr>
                <w:rFonts w:hint="eastAsia" w:ascii="仿宋_GB2312" w:hAnsi="Times New Roman" w:eastAsia="仿宋_GB2312" w:cs="Times New Roman"/>
                <w:sz w:val="18"/>
                <w:szCs w:val="18"/>
                <w:highlight w:val="none"/>
                <w:lang w:val="en-US" w:eastAsia="zh-CN"/>
              </w:rPr>
            </w:pPr>
          </w:p>
          <w:p w14:paraId="0A3660DF">
            <w:pPr>
              <w:keepNext w:val="0"/>
              <w:keepLines w:val="0"/>
              <w:pageBreakBefore w:val="0"/>
              <w:widowControl w:val="0"/>
              <w:kinsoku/>
              <w:wordWrap/>
              <w:overflowPunct/>
              <w:topLinePunct w:val="0"/>
              <w:autoSpaceDE/>
              <w:autoSpaceDN/>
              <w:bidi w:val="0"/>
              <w:adjustRightInd/>
              <w:snapToGrid/>
              <w:spacing w:line="480" w:lineRule="exact"/>
              <w:ind w:firstLine="360" w:firstLineChars="200"/>
              <w:jc w:val="center"/>
              <w:textAlignment w:val="auto"/>
              <w:rPr>
                <w:rFonts w:hint="eastAsia" w:ascii="仿宋_GB2312" w:hAnsi="Times New Roman" w:eastAsia="仿宋_GB2312" w:cs="Times New Roman"/>
                <w:sz w:val="18"/>
                <w:szCs w:val="18"/>
                <w:highlight w:val="none"/>
                <w:lang w:val="en-US" w:eastAsia="zh-CN"/>
              </w:rPr>
            </w:pPr>
          </w:p>
          <w:p w14:paraId="7AA99C76">
            <w:pPr>
              <w:keepNext w:val="0"/>
              <w:keepLines w:val="0"/>
              <w:pageBreakBefore w:val="0"/>
              <w:widowControl w:val="0"/>
              <w:kinsoku/>
              <w:wordWrap/>
              <w:overflowPunct/>
              <w:topLinePunct w:val="0"/>
              <w:autoSpaceDE/>
              <w:autoSpaceDN/>
              <w:bidi w:val="0"/>
              <w:adjustRightInd/>
              <w:snapToGrid/>
              <w:spacing w:line="480" w:lineRule="exact"/>
              <w:ind w:firstLine="360" w:firstLineChars="200"/>
              <w:jc w:val="center"/>
              <w:textAlignment w:val="auto"/>
              <w:rPr>
                <w:rFonts w:hint="eastAsia" w:ascii="仿宋_GB2312" w:hAnsi="Times New Roman" w:eastAsia="仿宋_GB2312" w:cs="Times New Roman"/>
                <w:sz w:val="18"/>
                <w:szCs w:val="18"/>
                <w:highlight w:val="none"/>
                <w:lang w:val="en-US" w:eastAsia="zh-CN"/>
              </w:rPr>
            </w:pPr>
          </w:p>
          <w:p w14:paraId="6166D42B">
            <w:pPr>
              <w:keepNext w:val="0"/>
              <w:keepLines w:val="0"/>
              <w:pageBreakBefore w:val="0"/>
              <w:widowControl w:val="0"/>
              <w:kinsoku/>
              <w:wordWrap/>
              <w:overflowPunct/>
              <w:topLinePunct w:val="0"/>
              <w:autoSpaceDE/>
              <w:autoSpaceDN/>
              <w:bidi w:val="0"/>
              <w:adjustRightInd/>
              <w:snapToGrid/>
              <w:spacing w:line="480" w:lineRule="exact"/>
              <w:ind w:firstLine="360" w:firstLineChars="200"/>
              <w:jc w:val="center"/>
              <w:textAlignment w:val="auto"/>
              <w:rPr>
                <w:rFonts w:hint="eastAsia" w:ascii="仿宋_GB2312" w:hAnsi="Times New Roman" w:eastAsia="仿宋_GB2312" w:cs="Times New Roman"/>
                <w:sz w:val="18"/>
                <w:szCs w:val="18"/>
                <w:highlight w:val="none"/>
                <w:lang w:val="en-US" w:eastAsia="zh-CN"/>
              </w:rPr>
            </w:pPr>
          </w:p>
          <w:p w14:paraId="217F37EE">
            <w:pPr>
              <w:keepNext w:val="0"/>
              <w:keepLines w:val="0"/>
              <w:pageBreakBefore w:val="0"/>
              <w:widowControl w:val="0"/>
              <w:kinsoku/>
              <w:wordWrap/>
              <w:overflowPunct/>
              <w:topLinePunct w:val="0"/>
              <w:autoSpaceDE/>
              <w:autoSpaceDN/>
              <w:bidi w:val="0"/>
              <w:adjustRightInd/>
              <w:snapToGrid/>
              <w:spacing w:line="480" w:lineRule="exact"/>
              <w:ind w:firstLine="360" w:firstLineChars="200"/>
              <w:jc w:val="center"/>
              <w:textAlignment w:val="auto"/>
              <w:rPr>
                <w:rFonts w:hint="eastAsia" w:ascii="仿宋_GB2312" w:hAnsi="Times New Roman" w:eastAsia="仿宋_GB2312" w:cs="Times New Roman"/>
                <w:sz w:val="18"/>
                <w:szCs w:val="18"/>
                <w:highlight w:val="none"/>
                <w:lang w:val="en-US" w:eastAsia="zh-CN"/>
              </w:rPr>
            </w:pPr>
          </w:p>
          <w:p w14:paraId="7331D7F3">
            <w:pPr>
              <w:keepNext w:val="0"/>
              <w:keepLines w:val="0"/>
              <w:pageBreakBefore w:val="0"/>
              <w:widowControl w:val="0"/>
              <w:kinsoku/>
              <w:wordWrap/>
              <w:overflowPunct/>
              <w:topLinePunct w:val="0"/>
              <w:autoSpaceDE/>
              <w:autoSpaceDN/>
              <w:bidi w:val="0"/>
              <w:adjustRightInd/>
              <w:snapToGrid/>
              <w:spacing w:line="480" w:lineRule="exact"/>
              <w:ind w:firstLine="360" w:firstLineChars="200"/>
              <w:jc w:val="center"/>
              <w:textAlignment w:val="auto"/>
              <w:rPr>
                <w:rFonts w:hint="eastAsia" w:ascii="仿宋_GB2312" w:hAnsi="Times New Roman" w:eastAsia="仿宋_GB2312" w:cs="Times New Roman"/>
                <w:sz w:val="18"/>
                <w:szCs w:val="18"/>
                <w:highlight w:val="none"/>
                <w:lang w:val="en-US" w:eastAsia="zh-CN"/>
              </w:rPr>
            </w:pPr>
          </w:p>
          <w:p w14:paraId="26AFA60A">
            <w:pPr>
              <w:keepNext w:val="0"/>
              <w:keepLines w:val="0"/>
              <w:pageBreakBefore w:val="0"/>
              <w:widowControl w:val="0"/>
              <w:kinsoku/>
              <w:wordWrap/>
              <w:overflowPunct/>
              <w:topLinePunct w:val="0"/>
              <w:autoSpaceDE/>
              <w:autoSpaceDN/>
              <w:bidi w:val="0"/>
              <w:adjustRightInd/>
              <w:snapToGrid/>
              <w:spacing w:line="480" w:lineRule="exact"/>
              <w:ind w:firstLine="360" w:firstLineChars="200"/>
              <w:jc w:val="center"/>
              <w:textAlignment w:val="auto"/>
              <w:rPr>
                <w:rFonts w:hint="eastAsia" w:ascii="仿宋_GB2312" w:hAnsi="Times New Roman" w:eastAsia="仿宋_GB2312" w:cs="Times New Roman"/>
                <w:sz w:val="18"/>
                <w:szCs w:val="18"/>
                <w:highlight w:val="none"/>
                <w:lang w:val="en-US" w:eastAsia="zh-CN"/>
              </w:rPr>
            </w:pPr>
          </w:p>
          <w:p w14:paraId="5B271331">
            <w:pPr>
              <w:keepNext w:val="0"/>
              <w:keepLines w:val="0"/>
              <w:pageBreakBefore w:val="0"/>
              <w:widowControl w:val="0"/>
              <w:kinsoku/>
              <w:wordWrap/>
              <w:overflowPunct/>
              <w:topLinePunct w:val="0"/>
              <w:autoSpaceDE/>
              <w:autoSpaceDN/>
              <w:bidi w:val="0"/>
              <w:adjustRightInd/>
              <w:snapToGrid/>
              <w:spacing w:line="480" w:lineRule="exact"/>
              <w:ind w:firstLine="360" w:firstLineChars="200"/>
              <w:jc w:val="center"/>
              <w:textAlignment w:val="auto"/>
              <w:rPr>
                <w:rFonts w:hint="eastAsia" w:ascii="仿宋_GB2312" w:hAnsi="Times New Roman" w:eastAsia="仿宋_GB2312" w:cs="Times New Roman"/>
                <w:sz w:val="18"/>
                <w:szCs w:val="18"/>
                <w:highlight w:val="none"/>
                <w:lang w:val="en-US" w:eastAsia="zh-CN"/>
              </w:rPr>
            </w:pPr>
          </w:p>
          <w:p w14:paraId="62061B2A">
            <w:pPr>
              <w:keepNext w:val="0"/>
              <w:keepLines w:val="0"/>
              <w:pageBreakBefore w:val="0"/>
              <w:widowControl w:val="0"/>
              <w:kinsoku/>
              <w:wordWrap/>
              <w:overflowPunct/>
              <w:topLinePunct w:val="0"/>
              <w:autoSpaceDE/>
              <w:autoSpaceDN/>
              <w:bidi w:val="0"/>
              <w:adjustRightInd/>
              <w:snapToGrid/>
              <w:spacing w:line="480" w:lineRule="exact"/>
              <w:ind w:firstLine="360" w:firstLineChars="200"/>
              <w:jc w:val="center"/>
              <w:textAlignment w:val="auto"/>
              <w:rPr>
                <w:rFonts w:hint="eastAsia" w:ascii="仿宋_GB2312" w:hAnsi="Times New Roman" w:eastAsia="仿宋_GB2312" w:cs="Times New Roman"/>
                <w:sz w:val="18"/>
                <w:szCs w:val="18"/>
                <w:highlight w:val="none"/>
                <w:lang w:val="en-US" w:eastAsia="zh-CN"/>
              </w:rPr>
            </w:pPr>
          </w:p>
          <w:p w14:paraId="03455BCF">
            <w:pPr>
              <w:keepNext w:val="0"/>
              <w:keepLines w:val="0"/>
              <w:pageBreakBefore w:val="0"/>
              <w:widowControl w:val="0"/>
              <w:kinsoku/>
              <w:wordWrap/>
              <w:overflowPunct/>
              <w:topLinePunct w:val="0"/>
              <w:autoSpaceDE/>
              <w:autoSpaceDN/>
              <w:bidi w:val="0"/>
              <w:adjustRightInd/>
              <w:snapToGrid/>
              <w:spacing w:line="480" w:lineRule="exact"/>
              <w:ind w:firstLine="360" w:firstLineChars="200"/>
              <w:jc w:val="center"/>
              <w:textAlignment w:val="auto"/>
              <w:rPr>
                <w:rFonts w:hint="eastAsia" w:ascii="仿宋_GB2312" w:hAnsi="Times New Roman" w:eastAsia="仿宋_GB2312" w:cs="Times New Roman"/>
                <w:sz w:val="18"/>
                <w:szCs w:val="18"/>
                <w:highlight w:val="none"/>
                <w:lang w:val="en-US" w:eastAsia="zh-CN"/>
              </w:rPr>
            </w:pPr>
          </w:p>
          <w:p w14:paraId="0372B1C9">
            <w:pPr>
              <w:keepNext w:val="0"/>
              <w:keepLines w:val="0"/>
              <w:pageBreakBefore w:val="0"/>
              <w:widowControl w:val="0"/>
              <w:kinsoku/>
              <w:wordWrap/>
              <w:overflowPunct/>
              <w:topLinePunct w:val="0"/>
              <w:autoSpaceDE/>
              <w:autoSpaceDN/>
              <w:bidi w:val="0"/>
              <w:adjustRightInd/>
              <w:snapToGrid/>
              <w:spacing w:line="480" w:lineRule="exact"/>
              <w:ind w:firstLine="360" w:firstLineChars="200"/>
              <w:jc w:val="center"/>
              <w:textAlignment w:val="auto"/>
              <w:rPr>
                <w:rFonts w:hint="eastAsia" w:ascii="仿宋_GB2312" w:hAnsi="Times New Roman" w:eastAsia="仿宋_GB2312" w:cs="Times New Roman"/>
                <w:sz w:val="18"/>
                <w:szCs w:val="18"/>
                <w:highlight w:val="none"/>
                <w:lang w:val="en-US" w:eastAsia="zh-CN"/>
              </w:rPr>
            </w:pPr>
          </w:p>
          <w:p w14:paraId="37746D5B">
            <w:pPr>
              <w:keepNext w:val="0"/>
              <w:keepLines w:val="0"/>
              <w:pageBreakBefore w:val="0"/>
              <w:widowControl w:val="0"/>
              <w:kinsoku/>
              <w:wordWrap/>
              <w:overflowPunct/>
              <w:topLinePunct w:val="0"/>
              <w:autoSpaceDE/>
              <w:autoSpaceDN/>
              <w:bidi w:val="0"/>
              <w:adjustRightInd/>
              <w:snapToGrid/>
              <w:spacing w:line="480" w:lineRule="exact"/>
              <w:ind w:firstLine="360" w:firstLineChars="200"/>
              <w:jc w:val="center"/>
              <w:textAlignment w:val="auto"/>
              <w:rPr>
                <w:rFonts w:hint="eastAsia" w:ascii="仿宋_GB2312" w:hAnsi="Times New Roman" w:eastAsia="仿宋_GB2312" w:cs="Times New Roman"/>
                <w:sz w:val="18"/>
                <w:szCs w:val="18"/>
                <w:highlight w:val="none"/>
                <w:lang w:val="en-US" w:eastAsia="zh-CN"/>
              </w:rPr>
            </w:pPr>
          </w:p>
          <w:p w14:paraId="29D6B811">
            <w:pPr>
              <w:keepNext w:val="0"/>
              <w:keepLines w:val="0"/>
              <w:pageBreakBefore w:val="0"/>
              <w:widowControl w:val="0"/>
              <w:kinsoku/>
              <w:wordWrap/>
              <w:overflowPunct/>
              <w:topLinePunct w:val="0"/>
              <w:autoSpaceDE/>
              <w:autoSpaceDN/>
              <w:bidi w:val="0"/>
              <w:adjustRightInd/>
              <w:snapToGrid/>
              <w:spacing w:line="480" w:lineRule="exact"/>
              <w:ind w:firstLine="360" w:firstLineChars="200"/>
              <w:jc w:val="center"/>
              <w:textAlignment w:val="auto"/>
              <w:rPr>
                <w:rFonts w:hint="eastAsia" w:ascii="仿宋_GB2312" w:hAnsi="Times New Roman" w:eastAsia="仿宋_GB2312" w:cs="Times New Roman"/>
                <w:sz w:val="18"/>
                <w:szCs w:val="18"/>
                <w:highlight w:val="none"/>
                <w:lang w:val="en-US" w:eastAsia="zh-CN"/>
              </w:rPr>
            </w:pPr>
          </w:p>
          <w:p w14:paraId="49CAB058">
            <w:pPr>
              <w:keepNext w:val="0"/>
              <w:keepLines w:val="0"/>
              <w:pageBreakBefore w:val="0"/>
              <w:widowControl w:val="0"/>
              <w:kinsoku/>
              <w:wordWrap/>
              <w:overflowPunct/>
              <w:topLinePunct w:val="0"/>
              <w:autoSpaceDE/>
              <w:autoSpaceDN/>
              <w:bidi w:val="0"/>
              <w:adjustRightInd/>
              <w:snapToGrid/>
              <w:spacing w:line="480" w:lineRule="exact"/>
              <w:ind w:firstLine="360" w:firstLineChars="200"/>
              <w:jc w:val="center"/>
              <w:textAlignment w:val="auto"/>
              <w:rPr>
                <w:rFonts w:hint="eastAsia" w:ascii="仿宋_GB2312" w:hAnsi="Times New Roman" w:eastAsia="仿宋_GB2312" w:cs="Times New Roman"/>
                <w:sz w:val="18"/>
                <w:szCs w:val="18"/>
                <w:highlight w:val="none"/>
                <w:lang w:val="en-US" w:eastAsia="zh-CN"/>
              </w:rPr>
            </w:pPr>
          </w:p>
          <w:p w14:paraId="2D32A826">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Times New Roman" w:eastAsia="仿宋_GB2312" w:cs="Times New Roman"/>
                <w:sz w:val="18"/>
                <w:szCs w:val="18"/>
                <w:highlight w:val="none"/>
                <w:lang w:val="en-US" w:eastAsia="zh-CN"/>
              </w:rPr>
            </w:pPr>
            <w:r>
              <w:rPr>
                <w:rFonts w:hint="eastAsia" w:ascii="仿宋_GB2312" w:hAnsi="Times New Roman" w:eastAsia="仿宋_GB2312" w:cs="Times New Roman"/>
                <w:sz w:val="18"/>
                <w:szCs w:val="18"/>
                <w:highlight w:val="none"/>
                <w:lang w:val="en-US" w:eastAsia="zh-CN"/>
              </w:rPr>
              <w:t>技术部分（满分44分）</w:t>
            </w:r>
          </w:p>
          <w:p w14:paraId="6161808A">
            <w:pPr>
              <w:keepNext w:val="0"/>
              <w:keepLines w:val="0"/>
              <w:pageBreakBefore w:val="0"/>
              <w:widowControl w:val="0"/>
              <w:kinsoku/>
              <w:wordWrap/>
              <w:overflowPunct/>
              <w:topLinePunct w:val="0"/>
              <w:autoSpaceDE/>
              <w:autoSpaceDN/>
              <w:bidi w:val="0"/>
              <w:adjustRightInd/>
              <w:snapToGrid/>
              <w:spacing w:line="480" w:lineRule="exact"/>
              <w:ind w:firstLine="360" w:firstLineChars="200"/>
              <w:jc w:val="center"/>
              <w:textAlignment w:val="auto"/>
              <w:rPr>
                <w:rFonts w:hint="eastAsia" w:ascii="仿宋_GB2312" w:hAnsi="Times New Roman" w:eastAsia="仿宋_GB2312" w:cs="Times New Roman"/>
                <w:sz w:val="18"/>
                <w:szCs w:val="18"/>
                <w:highlight w:val="none"/>
                <w:lang w:val="en-US" w:eastAsia="zh-CN"/>
              </w:rPr>
            </w:pPr>
          </w:p>
          <w:p w14:paraId="4186B7E2">
            <w:pPr>
              <w:keepNext w:val="0"/>
              <w:keepLines w:val="0"/>
              <w:pageBreakBefore w:val="0"/>
              <w:widowControl w:val="0"/>
              <w:kinsoku/>
              <w:wordWrap/>
              <w:overflowPunct/>
              <w:topLinePunct w:val="0"/>
              <w:autoSpaceDE/>
              <w:autoSpaceDN/>
              <w:bidi w:val="0"/>
              <w:adjustRightInd/>
              <w:snapToGrid/>
              <w:spacing w:line="480" w:lineRule="exact"/>
              <w:ind w:firstLine="360" w:firstLineChars="200"/>
              <w:jc w:val="center"/>
              <w:textAlignment w:val="auto"/>
              <w:rPr>
                <w:rFonts w:hint="eastAsia" w:ascii="仿宋_GB2312" w:hAnsi="Times New Roman" w:eastAsia="仿宋_GB2312" w:cs="Times New Roman"/>
                <w:sz w:val="18"/>
                <w:szCs w:val="18"/>
                <w:highlight w:val="none"/>
                <w:lang w:val="en-US" w:eastAsia="zh-CN"/>
              </w:rPr>
            </w:pPr>
          </w:p>
          <w:p w14:paraId="0092A9C7">
            <w:pPr>
              <w:keepNext w:val="0"/>
              <w:keepLines w:val="0"/>
              <w:pageBreakBefore w:val="0"/>
              <w:widowControl w:val="0"/>
              <w:kinsoku/>
              <w:wordWrap/>
              <w:overflowPunct/>
              <w:topLinePunct w:val="0"/>
              <w:autoSpaceDE/>
              <w:autoSpaceDN/>
              <w:bidi w:val="0"/>
              <w:adjustRightInd/>
              <w:snapToGrid/>
              <w:spacing w:line="480" w:lineRule="exact"/>
              <w:ind w:firstLine="360" w:firstLineChars="200"/>
              <w:jc w:val="center"/>
              <w:textAlignment w:val="auto"/>
              <w:rPr>
                <w:rFonts w:hint="eastAsia" w:ascii="仿宋_GB2312" w:hAnsi="Times New Roman" w:eastAsia="仿宋_GB2312" w:cs="Times New Roman"/>
                <w:sz w:val="18"/>
                <w:szCs w:val="18"/>
                <w:highlight w:val="none"/>
                <w:lang w:val="en-US" w:eastAsia="zh-CN"/>
              </w:rPr>
            </w:pPr>
          </w:p>
          <w:p w14:paraId="54974FEA">
            <w:pPr>
              <w:keepNext w:val="0"/>
              <w:keepLines w:val="0"/>
              <w:pageBreakBefore w:val="0"/>
              <w:widowControl w:val="0"/>
              <w:kinsoku/>
              <w:wordWrap/>
              <w:overflowPunct/>
              <w:topLinePunct w:val="0"/>
              <w:autoSpaceDE/>
              <w:autoSpaceDN/>
              <w:bidi w:val="0"/>
              <w:adjustRightInd/>
              <w:snapToGrid/>
              <w:spacing w:line="480" w:lineRule="exact"/>
              <w:ind w:firstLine="360" w:firstLineChars="200"/>
              <w:jc w:val="center"/>
              <w:textAlignment w:val="auto"/>
              <w:rPr>
                <w:rFonts w:hint="eastAsia" w:ascii="仿宋_GB2312" w:hAnsi="Times New Roman" w:eastAsia="仿宋_GB2312" w:cs="Times New Roman"/>
                <w:sz w:val="18"/>
                <w:szCs w:val="18"/>
                <w:highlight w:val="none"/>
                <w:lang w:val="en-US" w:eastAsia="zh-CN"/>
              </w:rPr>
            </w:pPr>
          </w:p>
          <w:p w14:paraId="33091AD1">
            <w:pPr>
              <w:keepNext w:val="0"/>
              <w:keepLines w:val="0"/>
              <w:pageBreakBefore w:val="0"/>
              <w:widowControl w:val="0"/>
              <w:kinsoku/>
              <w:wordWrap/>
              <w:overflowPunct/>
              <w:topLinePunct w:val="0"/>
              <w:autoSpaceDE/>
              <w:autoSpaceDN/>
              <w:bidi w:val="0"/>
              <w:adjustRightInd/>
              <w:snapToGrid/>
              <w:spacing w:line="480" w:lineRule="exact"/>
              <w:ind w:firstLine="360" w:firstLineChars="200"/>
              <w:jc w:val="center"/>
              <w:textAlignment w:val="auto"/>
              <w:rPr>
                <w:rFonts w:hint="eastAsia" w:ascii="仿宋_GB2312" w:hAnsi="Times New Roman" w:eastAsia="仿宋_GB2312" w:cs="Times New Roman"/>
                <w:sz w:val="18"/>
                <w:szCs w:val="18"/>
                <w:highlight w:val="none"/>
                <w:lang w:val="en-US" w:eastAsia="zh-CN"/>
              </w:rPr>
            </w:pPr>
          </w:p>
          <w:p w14:paraId="41BD40FA">
            <w:pPr>
              <w:keepNext w:val="0"/>
              <w:keepLines w:val="0"/>
              <w:pageBreakBefore w:val="0"/>
              <w:widowControl w:val="0"/>
              <w:kinsoku/>
              <w:wordWrap/>
              <w:overflowPunct/>
              <w:topLinePunct w:val="0"/>
              <w:autoSpaceDE/>
              <w:autoSpaceDN/>
              <w:bidi w:val="0"/>
              <w:adjustRightInd/>
              <w:snapToGrid/>
              <w:spacing w:line="480" w:lineRule="exact"/>
              <w:ind w:firstLine="360" w:firstLineChars="200"/>
              <w:jc w:val="center"/>
              <w:textAlignment w:val="auto"/>
              <w:rPr>
                <w:rFonts w:hint="eastAsia" w:ascii="仿宋_GB2312" w:hAnsi="Times New Roman" w:eastAsia="仿宋_GB2312" w:cs="Times New Roman"/>
                <w:sz w:val="18"/>
                <w:szCs w:val="18"/>
                <w:highlight w:val="none"/>
                <w:lang w:val="en-US" w:eastAsia="zh-CN"/>
              </w:rPr>
            </w:pPr>
          </w:p>
          <w:p w14:paraId="796D57C3">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Times New Roman" w:eastAsia="仿宋_GB2312" w:cs="Times New Roman"/>
                <w:sz w:val="18"/>
                <w:szCs w:val="18"/>
                <w:highlight w:val="none"/>
                <w:lang w:val="en-US" w:eastAsia="zh-CN"/>
              </w:rPr>
            </w:pPr>
          </w:p>
          <w:p w14:paraId="729C1DC9">
            <w:pPr>
              <w:keepNext w:val="0"/>
              <w:keepLines w:val="0"/>
              <w:pageBreakBefore w:val="0"/>
              <w:widowControl w:val="0"/>
              <w:kinsoku/>
              <w:wordWrap/>
              <w:overflowPunct/>
              <w:topLinePunct w:val="0"/>
              <w:autoSpaceDE/>
              <w:autoSpaceDN/>
              <w:bidi w:val="0"/>
              <w:adjustRightInd/>
              <w:snapToGrid/>
              <w:spacing w:line="480" w:lineRule="exact"/>
              <w:ind w:firstLine="360" w:firstLineChars="200"/>
              <w:jc w:val="center"/>
              <w:textAlignment w:val="auto"/>
              <w:rPr>
                <w:rFonts w:hint="eastAsia" w:ascii="仿宋_GB2312" w:hAnsi="Times New Roman" w:eastAsia="仿宋_GB2312" w:cs="Times New Roman"/>
                <w:sz w:val="18"/>
                <w:szCs w:val="18"/>
                <w:highlight w:val="none"/>
                <w:lang w:val="en-US" w:eastAsia="zh-CN"/>
              </w:rPr>
            </w:pPr>
          </w:p>
          <w:p w14:paraId="51C6A46E">
            <w:pPr>
              <w:keepNext w:val="0"/>
              <w:keepLines w:val="0"/>
              <w:pageBreakBefore w:val="0"/>
              <w:widowControl w:val="0"/>
              <w:kinsoku/>
              <w:wordWrap/>
              <w:overflowPunct/>
              <w:topLinePunct w:val="0"/>
              <w:autoSpaceDE/>
              <w:autoSpaceDN/>
              <w:bidi w:val="0"/>
              <w:adjustRightInd/>
              <w:snapToGrid/>
              <w:spacing w:line="480" w:lineRule="exact"/>
              <w:ind w:firstLine="360" w:firstLineChars="200"/>
              <w:jc w:val="center"/>
              <w:textAlignment w:val="auto"/>
              <w:rPr>
                <w:rFonts w:hint="eastAsia" w:ascii="仿宋_GB2312" w:hAnsi="Times New Roman" w:eastAsia="仿宋_GB2312" w:cs="Times New Roman"/>
                <w:sz w:val="18"/>
                <w:szCs w:val="18"/>
                <w:highlight w:val="none"/>
                <w:lang w:val="en-US" w:eastAsia="zh-CN"/>
              </w:rPr>
            </w:pPr>
          </w:p>
          <w:p w14:paraId="0BE8D27A">
            <w:pPr>
              <w:keepNext w:val="0"/>
              <w:keepLines w:val="0"/>
              <w:pageBreakBefore w:val="0"/>
              <w:widowControl w:val="0"/>
              <w:kinsoku/>
              <w:wordWrap/>
              <w:overflowPunct/>
              <w:topLinePunct w:val="0"/>
              <w:autoSpaceDE/>
              <w:autoSpaceDN/>
              <w:bidi w:val="0"/>
              <w:adjustRightInd/>
              <w:snapToGrid/>
              <w:spacing w:line="480" w:lineRule="exact"/>
              <w:ind w:firstLine="360" w:firstLineChars="200"/>
              <w:jc w:val="center"/>
              <w:textAlignment w:val="auto"/>
              <w:rPr>
                <w:rFonts w:hint="eastAsia" w:ascii="仿宋_GB2312" w:hAnsi="Times New Roman" w:eastAsia="仿宋_GB2312" w:cs="Times New Roman"/>
                <w:sz w:val="18"/>
                <w:szCs w:val="18"/>
                <w:highlight w:val="none"/>
                <w:lang w:val="en-US" w:eastAsia="zh-CN"/>
              </w:rPr>
            </w:pPr>
          </w:p>
          <w:p w14:paraId="6CE62D84">
            <w:pPr>
              <w:keepNext w:val="0"/>
              <w:keepLines w:val="0"/>
              <w:pageBreakBefore w:val="0"/>
              <w:widowControl w:val="0"/>
              <w:kinsoku/>
              <w:wordWrap/>
              <w:overflowPunct/>
              <w:topLinePunct w:val="0"/>
              <w:autoSpaceDE/>
              <w:autoSpaceDN/>
              <w:bidi w:val="0"/>
              <w:adjustRightInd/>
              <w:snapToGrid/>
              <w:spacing w:line="480" w:lineRule="exact"/>
              <w:ind w:firstLine="360" w:firstLineChars="200"/>
              <w:jc w:val="center"/>
              <w:textAlignment w:val="auto"/>
              <w:rPr>
                <w:rFonts w:hint="eastAsia" w:ascii="仿宋_GB2312" w:hAnsi="Times New Roman" w:eastAsia="仿宋_GB2312" w:cs="Times New Roman"/>
                <w:sz w:val="18"/>
                <w:szCs w:val="18"/>
                <w:highlight w:val="none"/>
                <w:lang w:val="en-US" w:eastAsia="zh-CN"/>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56B53">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Times New Roman" w:eastAsia="仿宋_GB2312" w:cs="Times New Roman"/>
                <w:sz w:val="18"/>
                <w:szCs w:val="18"/>
                <w:highlight w:val="none"/>
              </w:rPr>
            </w:pPr>
            <w:r>
              <w:rPr>
                <w:rFonts w:hint="eastAsia" w:ascii="仿宋_GB2312" w:hAnsi="Times New Roman" w:eastAsia="仿宋_GB2312" w:cs="Times New Roman"/>
                <w:sz w:val="18"/>
                <w:szCs w:val="18"/>
                <w:highlight w:val="none"/>
                <w:lang w:val="en-US" w:eastAsia="zh-CN"/>
              </w:rPr>
              <w:t>人员配备及供货运输设备配置</w:t>
            </w:r>
            <w:r>
              <w:rPr>
                <w:rFonts w:hint="eastAsia" w:ascii="仿宋_GB2312" w:hAnsi="Times New Roman" w:eastAsia="仿宋_GB2312" w:cs="Times New Roman"/>
                <w:sz w:val="18"/>
                <w:szCs w:val="18"/>
                <w:highlight w:val="none"/>
                <w:lang w:val="en-US" w:eastAsia="zh-CN"/>
              </w:rPr>
              <w:br w:type="textWrapping"/>
            </w:r>
            <w:r>
              <w:rPr>
                <w:rFonts w:hint="eastAsia" w:ascii="仿宋_GB2312" w:hAnsi="Times New Roman" w:eastAsia="仿宋_GB2312" w:cs="Times New Roman"/>
                <w:sz w:val="18"/>
                <w:szCs w:val="18"/>
                <w:highlight w:val="none"/>
                <w:lang w:val="en-US" w:eastAsia="zh-CN"/>
              </w:rPr>
              <w:t>（满分 13 分）</w:t>
            </w:r>
          </w:p>
        </w:tc>
        <w:tc>
          <w:tcPr>
            <w:tcW w:w="6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2942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Times New Roman" w:eastAsia="仿宋_GB2312" w:cs="Times New Roman"/>
                <w:sz w:val="18"/>
                <w:szCs w:val="18"/>
                <w:highlight w:val="none"/>
              </w:rPr>
            </w:pPr>
            <w:r>
              <w:rPr>
                <w:rFonts w:hint="eastAsia" w:ascii="仿宋_GB2312" w:hAnsi="Times New Roman" w:eastAsia="仿宋_GB2312" w:cs="Times New Roman"/>
                <w:sz w:val="18"/>
                <w:szCs w:val="18"/>
                <w:highlight w:val="none"/>
                <w:lang w:val="en-US" w:eastAsia="zh-CN"/>
              </w:rPr>
              <w:t xml:space="preserve">1、人员配置（满分 7 分） </w:t>
            </w:r>
            <w:r>
              <w:rPr>
                <w:rFonts w:hint="eastAsia" w:ascii="仿宋_GB2312" w:hAnsi="Times New Roman" w:eastAsia="仿宋_GB2312" w:cs="Times New Roman"/>
                <w:sz w:val="18"/>
                <w:szCs w:val="18"/>
                <w:highlight w:val="none"/>
                <w:lang w:val="en-US" w:eastAsia="zh-CN"/>
              </w:rPr>
              <w:br w:type="textWrapping"/>
            </w:r>
            <w:r>
              <w:rPr>
                <w:rFonts w:hint="eastAsia" w:ascii="仿宋_GB2312" w:hAnsi="Times New Roman" w:eastAsia="仿宋_GB2312" w:cs="Times New Roman"/>
                <w:sz w:val="18"/>
                <w:szCs w:val="18"/>
                <w:highlight w:val="none"/>
                <w:lang w:val="en-US" w:eastAsia="zh-CN"/>
              </w:rPr>
              <w:t>根据供应商拟投入本项目的人员配备情况及管理方案进行综合评审：</w:t>
            </w:r>
            <w:r>
              <w:rPr>
                <w:rFonts w:hint="eastAsia" w:ascii="仿宋_GB2312" w:hAnsi="Times New Roman" w:eastAsia="仿宋_GB2312" w:cs="Times New Roman"/>
                <w:sz w:val="18"/>
                <w:szCs w:val="18"/>
                <w:highlight w:val="none"/>
                <w:lang w:val="en-US" w:eastAsia="zh-CN"/>
              </w:rPr>
              <w:br w:type="textWrapping"/>
            </w:r>
            <w:r>
              <w:rPr>
                <w:rFonts w:hint="eastAsia" w:ascii="仿宋_GB2312" w:hAnsi="Times New Roman" w:eastAsia="仿宋_GB2312" w:cs="Times New Roman"/>
                <w:sz w:val="18"/>
                <w:szCs w:val="18"/>
                <w:highlight w:val="none"/>
                <w:lang w:val="en-US" w:eastAsia="zh-CN"/>
              </w:rPr>
              <w:t>第一档次（7 分）：供应商对本项目人员配置合理，能够很好的满足采购人及本项目服务人员需求，人员分工明确且提供的相关证件齐全，人员经验丰富的。</w:t>
            </w:r>
            <w:r>
              <w:rPr>
                <w:rFonts w:hint="eastAsia" w:ascii="仿宋_GB2312" w:hAnsi="Times New Roman" w:eastAsia="仿宋_GB2312" w:cs="Times New Roman"/>
                <w:sz w:val="18"/>
                <w:szCs w:val="18"/>
                <w:highlight w:val="none"/>
                <w:lang w:val="en-US" w:eastAsia="zh-CN"/>
              </w:rPr>
              <w:br w:type="textWrapping"/>
            </w:r>
            <w:r>
              <w:rPr>
                <w:rFonts w:hint="eastAsia" w:ascii="仿宋_GB2312" w:hAnsi="Times New Roman" w:eastAsia="仿宋_GB2312" w:cs="Times New Roman"/>
                <w:sz w:val="18"/>
                <w:szCs w:val="18"/>
                <w:highlight w:val="none"/>
                <w:lang w:val="en-US" w:eastAsia="zh-CN"/>
              </w:rPr>
              <w:t xml:space="preserve">第二档次（5 分）：供应商对本项目人员配置较为合理，能够满足采购人及本项目服务人员需求，人员分工明确且提供的相关证件较齐全，人员经验一般的； </w:t>
            </w:r>
            <w:r>
              <w:rPr>
                <w:rFonts w:hint="eastAsia" w:ascii="仿宋_GB2312" w:hAnsi="Times New Roman" w:eastAsia="仿宋_GB2312" w:cs="Times New Roman"/>
                <w:sz w:val="18"/>
                <w:szCs w:val="18"/>
                <w:highlight w:val="none"/>
                <w:lang w:val="en-US" w:eastAsia="zh-CN"/>
              </w:rPr>
              <w:br w:type="textWrapping"/>
            </w:r>
            <w:r>
              <w:rPr>
                <w:rFonts w:hint="eastAsia" w:ascii="仿宋_GB2312" w:hAnsi="Times New Roman" w:eastAsia="仿宋_GB2312" w:cs="Times New Roman"/>
                <w:sz w:val="18"/>
                <w:szCs w:val="18"/>
                <w:highlight w:val="none"/>
                <w:lang w:val="en-US" w:eastAsia="zh-CN"/>
              </w:rPr>
              <w:t>第三档次（3 分）：供应商对本项目人员配置基本合理，基本能够满足采购人及本项目服务人员需求，人员分工体现一般且提供的相关证少，人员缺乏经验的。</w:t>
            </w:r>
            <w:r>
              <w:rPr>
                <w:rFonts w:hint="eastAsia" w:ascii="仿宋_GB2312" w:hAnsi="Times New Roman" w:eastAsia="仿宋_GB2312" w:cs="Times New Roman"/>
                <w:sz w:val="18"/>
                <w:szCs w:val="18"/>
                <w:highlight w:val="none"/>
                <w:lang w:val="en-US" w:eastAsia="zh-CN"/>
              </w:rPr>
              <w:br w:type="textWrapping"/>
            </w:r>
            <w:r>
              <w:rPr>
                <w:rFonts w:hint="eastAsia" w:ascii="仿宋_GB2312" w:hAnsi="Times New Roman" w:eastAsia="仿宋_GB2312" w:cs="Times New Roman"/>
                <w:sz w:val="18"/>
                <w:szCs w:val="18"/>
                <w:highlight w:val="none"/>
                <w:lang w:val="en-US" w:eastAsia="zh-CN"/>
              </w:rPr>
              <w:t xml:space="preserve">第四档次（1 分）：供应商对本项目人员配置不合理，仅部分满足采购人及本项目服务人员需求，人员分工体现不明确且未提供的相关证件，人员缺乏经验的。 </w:t>
            </w:r>
            <w:r>
              <w:rPr>
                <w:rFonts w:hint="eastAsia" w:ascii="仿宋_GB2312" w:hAnsi="Times New Roman" w:eastAsia="仿宋_GB2312" w:cs="Times New Roman"/>
                <w:sz w:val="18"/>
                <w:szCs w:val="18"/>
                <w:highlight w:val="none"/>
                <w:lang w:val="en-US" w:eastAsia="zh-CN"/>
              </w:rPr>
              <w:br w:type="textWrapping"/>
            </w:r>
            <w:r>
              <w:rPr>
                <w:rFonts w:hint="eastAsia" w:ascii="仿宋_GB2312" w:hAnsi="Times New Roman" w:eastAsia="仿宋_GB2312" w:cs="Times New Roman"/>
                <w:sz w:val="18"/>
                <w:szCs w:val="18"/>
                <w:highlight w:val="none"/>
                <w:lang w:val="en-US" w:eastAsia="zh-CN"/>
              </w:rPr>
              <w:t>注：无人员配置不得分。</w:t>
            </w:r>
            <w:r>
              <w:rPr>
                <w:rFonts w:hint="eastAsia" w:ascii="仿宋_GB2312" w:hAnsi="Times New Roman" w:eastAsia="仿宋_GB2312" w:cs="Times New Roman"/>
                <w:sz w:val="18"/>
                <w:szCs w:val="18"/>
                <w:highlight w:val="none"/>
                <w:lang w:val="en-US" w:eastAsia="zh-CN"/>
              </w:rPr>
              <w:br w:type="textWrapping"/>
            </w:r>
            <w:r>
              <w:rPr>
                <w:rFonts w:hint="eastAsia" w:ascii="仿宋_GB2312" w:hAnsi="Times New Roman" w:eastAsia="仿宋_GB2312" w:cs="Times New Roman"/>
                <w:sz w:val="18"/>
                <w:szCs w:val="18"/>
                <w:highlight w:val="none"/>
                <w:lang w:val="en-US" w:eastAsia="zh-CN"/>
              </w:rPr>
              <w:t xml:space="preserve">2、供货运输设备配置（满分 6 分） </w:t>
            </w:r>
            <w:r>
              <w:rPr>
                <w:rFonts w:hint="eastAsia" w:ascii="仿宋_GB2312" w:hAnsi="Times New Roman" w:eastAsia="仿宋_GB2312" w:cs="Times New Roman"/>
                <w:sz w:val="18"/>
                <w:szCs w:val="18"/>
                <w:highlight w:val="none"/>
                <w:lang w:val="en-US" w:eastAsia="zh-CN"/>
              </w:rPr>
              <w:br w:type="textWrapping"/>
            </w:r>
            <w:r>
              <w:rPr>
                <w:rFonts w:hint="eastAsia" w:ascii="仿宋_GB2312" w:hAnsi="Times New Roman" w:eastAsia="仿宋_GB2312" w:cs="Times New Roman"/>
                <w:sz w:val="18"/>
                <w:szCs w:val="18"/>
                <w:highlight w:val="none"/>
                <w:lang w:val="en-US" w:eastAsia="zh-CN"/>
              </w:rPr>
              <w:t xml:space="preserve">根据供应商拟投入本项目的车辆的数量评审：拟投入本项目车辆 1 台得基本分 3 分，每增加一台车辆加 1 分，最高得 6 分。 </w:t>
            </w:r>
            <w:r>
              <w:rPr>
                <w:rFonts w:hint="eastAsia" w:ascii="仿宋_GB2312" w:hAnsi="Times New Roman" w:eastAsia="仿宋_GB2312" w:cs="Times New Roman"/>
                <w:sz w:val="18"/>
                <w:szCs w:val="18"/>
                <w:highlight w:val="none"/>
                <w:lang w:val="en-US" w:eastAsia="zh-CN"/>
              </w:rPr>
              <w:br w:type="textWrapping"/>
            </w:r>
            <w:r>
              <w:rPr>
                <w:rFonts w:hint="eastAsia" w:ascii="仿宋_GB2312" w:hAnsi="Times New Roman" w:eastAsia="仿宋_GB2312" w:cs="Times New Roman"/>
                <w:sz w:val="18"/>
                <w:szCs w:val="18"/>
                <w:highlight w:val="none"/>
                <w:lang w:val="en-US" w:eastAsia="zh-CN"/>
              </w:rPr>
              <w:t>注：响应文件中提供自有车辆的行驶证及自有车辆属于本单位车辆或租赁车辆的行驶证及租赁协议复印件加盖公章</w:t>
            </w:r>
          </w:p>
        </w:tc>
      </w:tr>
      <w:tr w14:paraId="60572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74" w:type="dxa"/>
            <w:vMerge w:val="continue"/>
            <w:tcBorders>
              <w:top w:val="nil"/>
              <w:left w:val="single" w:color="000000" w:sz="4" w:space="0"/>
              <w:bottom w:val="single" w:color="000000" w:sz="4" w:space="0"/>
              <w:right w:val="single" w:color="000000" w:sz="4" w:space="0"/>
            </w:tcBorders>
            <w:shd w:val="clear" w:color="auto" w:fill="auto"/>
            <w:noWrap/>
            <w:vAlign w:val="center"/>
          </w:tcPr>
          <w:p w14:paraId="4A063437">
            <w:pPr>
              <w:keepNext w:val="0"/>
              <w:keepLines w:val="0"/>
              <w:pageBreakBefore w:val="0"/>
              <w:widowControl w:val="0"/>
              <w:kinsoku/>
              <w:wordWrap/>
              <w:overflowPunct/>
              <w:topLinePunct w:val="0"/>
              <w:autoSpaceDE/>
              <w:autoSpaceDN/>
              <w:bidi w:val="0"/>
              <w:adjustRightInd/>
              <w:snapToGrid/>
              <w:spacing w:line="480" w:lineRule="exact"/>
              <w:ind w:firstLine="360" w:firstLineChars="200"/>
              <w:textAlignment w:val="auto"/>
              <w:rPr>
                <w:rFonts w:hint="eastAsia" w:ascii="仿宋_GB2312" w:hAnsi="Times New Roman" w:eastAsia="仿宋_GB2312" w:cs="Times New Roman"/>
                <w:sz w:val="18"/>
                <w:szCs w:val="18"/>
                <w:highlight w:val="none"/>
              </w:rPr>
            </w:pPr>
          </w:p>
        </w:tc>
        <w:tc>
          <w:tcPr>
            <w:tcW w:w="1000" w:type="dxa"/>
            <w:vMerge w:val="continue"/>
            <w:tcBorders>
              <w:left w:val="single" w:color="000000" w:sz="4" w:space="0"/>
              <w:right w:val="single" w:color="000000" w:sz="4" w:space="0"/>
            </w:tcBorders>
            <w:shd w:val="clear" w:color="auto" w:fill="auto"/>
            <w:vAlign w:val="center"/>
          </w:tcPr>
          <w:p w14:paraId="69BEA796">
            <w:pPr>
              <w:keepNext w:val="0"/>
              <w:keepLines w:val="0"/>
              <w:pageBreakBefore w:val="0"/>
              <w:widowControl w:val="0"/>
              <w:kinsoku/>
              <w:wordWrap/>
              <w:overflowPunct/>
              <w:topLinePunct w:val="0"/>
              <w:autoSpaceDE/>
              <w:autoSpaceDN/>
              <w:bidi w:val="0"/>
              <w:adjustRightInd/>
              <w:snapToGrid/>
              <w:spacing w:line="480" w:lineRule="exact"/>
              <w:ind w:firstLine="360" w:firstLineChars="200"/>
              <w:textAlignment w:val="auto"/>
              <w:rPr>
                <w:rFonts w:hint="eastAsia" w:ascii="仿宋_GB2312" w:hAnsi="Times New Roman" w:eastAsia="仿宋_GB2312" w:cs="Times New Roman"/>
                <w:sz w:val="18"/>
                <w:szCs w:val="18"/>
                <w:highlight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6A1B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Times New Roman" w:eastAsia="仿宋_GB2312" w:cs="Times New Roman"/>
                <w:sz w:val="18"/>
                <w:szCs w:val="18"/>
                <w:highlight w:val="none"/>
                <w:lang w:val="en-US" w:eastAsia="zh-CN"/>
              </w:rPr>
            </w:pPr>
            <w:r>
              <w:rPr>
                <w:rFonts w:hint="eastAsia" w:ascii="仿宋_GB2312" w:hAnsi="Times New Roman" w:eastAsia="仿宋_GB2312" w:cs="Times New Roman"/>
                <w:sz w:val="18"/>
                <w:szCs w:val="18"/>
                <w:highlight w:val="none"/>
                <w:lang w:val="en-US" w:eastAsia="zh-CN"/>
              </w:rPr>
              <w:t>仓储能力</w:t>
            </w:r>
            <w:r>
              <w:rPr>
                <w:rFonts w:hint="eastAsia" w:ascii="仿宋_GB2312" w:hAnsi="Times New Roman" w:eastAsia="仿宋_GB2312" w:cs="Times New Roman"/>
                <w:sz w:val="18"/>
                <w:szCs w:val="18"/>
                <w:highlight w:val="none"/>
                <w:lang w:val="en-US" w:eastAsia="zh-CN"/>
              </w:rPr>
              <w:br w:type="textWrapping"/>
            </w:r>
            <w:r>
              <w:rPr>
                <w:rFonts w:hint="eastAsia" w:ascii="仿宋_GB2312" w:hAnsi="Times New Roman" w:eastAsia="仿宋_GB2312" w:cs="Times New Roman"/>
                <w:sz w:val="18"/>
                <w:szCs w:val="18"/>
                <w:highlight w:val="none"/>
                <w:lang w:val="en-US" w:eastAsia="zh-CN"/>
              </w:rPr>
              <w:t>（满分 4 分）</w:t>
            </w:r>
          </w:p>
        </w:tc>
        <w:tc>
          <w:tcPr>
            <w:tcW w:w="6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E25A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Times New Roman" w:eastAsia="仿宋_GB2312" w:cs="Times New Roman"/>
                <w:sz w:val="18"/>
                <w:szCs w:val="18"/>
                <w:highlight w:val="none"/>
                <w:lang w:val="en-US" w:eastAsia="zh-CN"/>
              </w:rPr>
            </w:pPr>
            <w:r>
              <w:rPr>
                <w:rFonts w:hint="eastAsia" w:ascii="仿宋_GB2312" w:hAnsi="Times New Roman" w:eastAsia="仿宋_GB2312" w:cs="Times New Roman"/>
                <w:sz w:val="18"/>
                <w:szCs w:val="18"/>
                <w:highlight w:val="none"/>
                <w:lang w:val="en-US" w:eastAsia="zh-CN"/>
              </w:rPr>
              <w:t xml:space="preserve">供应商的仓储能力是否满足本项目需求，仓储条件及相关设施是否满足国家相关规定（仓储需提供产权证明或租赁证明）。 </w:t>
            </w:r>
            <w:r>
              <w:rPr>
                <w:rFonts w:hint="eastAsia" w:ascii="仿宋_GB2312" w:hAnsi="Times New Roman" w:eastAsia="仿宋_GB2312" w:cs="Times New Roman"/>
                <w:sz w:val="18"/>
                <w:szCs w:val="18"/>
                <w:highlight w:val="none"/>
                <w:lang w:val="en-US" w:eastAsia="zh-CN"/>
              </w:rPr>
              <w:br w:type="textWrapping"/>
            </w:r>
            <w:r>
              <w:rPr>
                <w:rFonts w:hint="eastAsia" w:ascii="仿宋_GB2312" w:hAnsi="Times New Roman" w:eastAsia="仿宋_GB2312" w:cs="Times New Roman"/>
                <w:sz w:val="18"/>
                <w:szCs w:val="18"/>
                <w:highlight w:val="none"/>
                <w:lang w:val="en-US" w:eastAsia="zh-CN"/>
              </w:rPr>
              <w:t xml:space="preserve">第一档次（4 分）仓储能力、条件、设施优于或完全满足项目需求的。                                                                                   第二档次（3 分）仓储能力、条件、设施基本满足项目需求的。 </w:t>
            </w:r>
            <w:r>
              <w:rPr>
                <w:rFonts w:hint="eastAsia" w:ascii="仿宋_GB2312" w:hAnsi="Times New Roman" w:eastAsia="仿宋_GB2312" w:cs="Times New Roman"/>
                <w:sz w:val="18"/>
                <w:szCs w:val="18"/>
                <w:highlight w:val="none"/>
                <w:lang w:val="en-US" w:eastAsia="zh-CN"/>
              </w:rPr>
              <w:br w:type="textWrapping"/>
            </w:r>
            <w:r>
              <w:rPr>
                <w:rFonts w:hint="eastAsia" w:ascii="仿宋_GB2312" w:hAnsi="Times New Roman" w:eastAsia="仿宋_GB2312" w:cs="Times New Roman"/>
                <w:sz w:val="18"/>
                <w:szCs w:val="18"/>
                <w:highlight w:val="none"/>
                <w:lang w:val="en-US" w:eastAsia="zh-CN"/>
              </w:rPr>
              <w:t xml:space="preserve">第三档次（2 分）仓储能力、条件、设施部分满足项目需求的。 </w:t>
            </w:r>
            <w:r>
              <w:rPr>
                <w:rFonts w:hint="eastAsia" w:ascii="仿宋_GB2312" w:hAnsi="Times New Roman" w:eastAsia="仿宋_GB2312" w:cs="Times New Roman"/>
                <w:sz w:val="18"/>
                <w:szCs w:val="18"/>
                <w:highlight w:val="none"/>
                <w:lang w:val="en-US" w:eastAsia="zh-CN"/>
              </w:rPr>
              <w:br w:type="textWrapping"/>
            </w:r>
            <w:r>
              <w:rPr>
                <w:rFonts w:hint="eastAsia" w:ascii="仿宋_GB2312" w:hAnsi="Times New Roman" w:eastAsia="仿宋_GB2312" w:cs="Times New Roman"/>
                <w:sz w:val="18"/>
                <w:szCs w:val="18"/>
                <w:highlight w:val="none"/>
                <w:lang w:val="en-US" w:eastAsia="zh-CN"/>
              </w:rPr>
              <w:t xml:space="preserve">第四档次（0 分）无相关证明材料或不能满足项目需求的 </w:t>
            </w:r>
            <w:r>
              <w:rPr>
                <w:rFonts w:hint="eastAsia" w:ascii="仿宋_GB2312" w:hAnsi="Times New Roman" w:eastAsia="仿宋_GB2312" w:cs="Times New Roman"/>
                <w:sz w:val="18"/>
                <w:szCs w:val="18"/>
                <w:highlight w:val="none"/>
                <w:lang w:val="en-US" w:eastAsia="zh-CN"/>
              </w:rPr>
              <w:br w:type="textWrapping"/>
            </w:r>
            <w:r>
              <w:rPr>
                <w:rFonts w:hint="eastAsia" w:ascii="仿宋_GB2312" w:hAnsi="Times New Roman" w:eastAsia="仿宋_GB2312" w:cs="Times New Roman"/>
                <w:sz w:val="18"/>
                <w:szCs w:val="18"/>
                <w:highlight w:val="none"/>
                <w:lang w:val="en-US" w:eastAsia="zh-CN"/>
              </w:rPr>
              <w:t>注：响应文件中提供房产证或房产租赁协议复印件加盖公章，同时提供房产证或房产租赁协议相匹配的各区域场所照片及布局或其他证明资料；房产租赁协议签订时间要求在公告发布之日前</w:t>
            </w:r>
          </w:p>
        </w:tc>
      </w:tr>
      <w:tr w14:paraId="60FC6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74" w:type="dxa"/>
            <w:vMerge w:val="continue"/>
            <w:tcBorders>
              <w:top w:val="nil"/>
              <w:left w:val="single" w:color="000000" w:sz="4" w:space="0"/>
              <w:bottom w:val="single" w:color="000000" w:sz="4" w:space="0"/>
              <w:right w:val="single" w:color="000000" w:sz="4" w:space="0"/>
            </w:tcBorders>
            <w:shd w:val="clear" w:color="auto" w:fill="auto"/>
            <w:noWrap/>
            <w:vAlign w:val="center"/>
          </w:tcPr>
          <w:p w14:paraId="2768AD9C">
            <w:pPr>
              <w:keepNext w:val="0"/>
              <w:keepLines w:val="0"/>
              <w:pageBreakBefore w:val="0"/>
              <w:widowControl w:val="0"/>
              <w:kinsoku/>
              <w:wordWrap/>
              <w:overflowPunct/>
              <w:topLinePunct w:val="0"/>
              <w:autoSpaceDE/>
              <w:autoSpaceDN/>
              <w:bidi w:val="0"/>
              <w:adjustRightInd/>
              <w:snapToGrid/>
              <w:spacing w:line="480" w:lineRule="exact"/>
              <w:ind w:firstLine="360" w:firstLineChars="200"/>
              <w:textAlignment w:val="auto"/>
              <w:rPr>
                <w:rFonts w:hint="eastAsia" w:ascii="仿宋_GB2312" w:hAnsi="Times New Roman" w:eastAsia="仿宋_GB2312" w:cs="Times New Roman"/>
                <w:sz w:val="18"/>
                <w:szCs w:val="18"/>
                <w:highlight w:val="none"/>
              </w:rPr>
            </w:pPr>
          </w:p>
        </w:tc>
        <w:tc>
          <w:tcPr>
            <w:tcW w:w="1000" w:type="dxa"/>
            <w:vMerge w:val="continue"/>
            <w:tcBorders>
              <w:left w:val="single" w:color="000000" w:sz="4" w:space="0"/>
              <w:right w:val="single" w:color="000000" w:sz="4" w:space="0"/>
            </w:tcBorders>
            <w:shd w:val="clear" w:color="auto" w:fill="auto"/>
            <w:vAlign w:val="center"/>
          </w:tcPr>
          <w:p w14:paraId="398DFD90">
            <w:pPr>
              <w:keepNext w:val="0"/>
              <w:keepLines w:val="0"/>
              <w:pageBreakBefore w:val="0"/>
              <w:widowControl w:val="0"/>
              <w:kinsoku/>
              <w:wordWrap/>
              <w:overflowPunct/>
              <w:topLinePunct w:val="0"/>
              <w:autoSpaceDE/>
              <w:autoSpaceDN/>
              <w:bidi w:val="0"/>
              <w:adjustRightInd/>
              <w:snapToGrid/>
              <w:spacing w:line="480" w:lineRule="exact"/>
              <w:ind w:firstLine="360" w:firstLineChars="200"/>
              <w:textAlignment w:val="auto"/>
              <w:rPr>
                <w:rFonts w:hint="eastAsia" w:ascii="仿宋_GB2312" w:hAnsi="Times New Roman" w:eastAsia="仿宋_GB2312" w:cs="Times New Roman"/>
                <w:sz w:val="18"/>
                <w:szCs w:val="18"/>
                <w:highlight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AF8E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Times New Roman" w:eastAsia="仿宋_GB2312" w:cs="Times New Roman"/>
                <w:sz w:val="18"/>
                <w:szCs w:val="18"/>
                <w:highlight w:val="none"/>
                <w:lang w:val="en-US" w:eastAsia="zh-CN"/>
              </w:rPr>
            </w:pPr>
            <w:r>
              <w:rPr>
                <w:rFonts w:hint="eastAsia" w:ascii="仿宋_GB2312" w:hAnsi="Times New Roman" w:eastAsia="仿宋_GB2312" w:cs="Times New Roman"/>
                <w:sz w:val="18"/>
                <w:szCs w:val="18"/>
                <w:highlight w:val="none"/>
                <w:lang w:val="en-US" w:eastAsia="zh-CN"/>
              </w:rPr>
              <w:t>服务质量承诺及保障措施、违约责任</w:t>
            </w:r>
            <w:r>
              <w:rPr>
                <w:rFonts w:hint="eastAsia" w:ascii="仿宋_GB2312" w:hAnsi="Times New Roman" w:eastAsia="仿宋_GB2312" w:cs="Times New Roman"/>
                <w:sz w:val="18"/>
                <w:szCs w:val="18"/>
                <w:highlight w:val="none"/>
                <w:lang w:val="en-US" w:eastAsia="zh-CN"/>
              </w:rPr>
              <w:br w:type="textWrapping"/>
            </w:r>
            <w:r>
              <w:rPr>
                <w:rFonts w:hint="eastAsia" w:ascii="仿宋_GB2312" w:hAnsi="Times New Roman" w:eastAsia="仿宋_GB2312" w:cs="Times New Roman"/>
                <w:sz w:val="18"/>
                <w:szCs w:val="18"/>
                <w:highlight w:val="none"/>
                <w:lang w:val="en-US" w:eastAsia="zh-CN"/>
              </w:rPr>
              <w:t>（满分 4 分）</w:t>
            </w:r>
          </w:p>
        </w:tc>
        <w:tc>
          <w:tcPr>
            <w:tcW w:w="6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65CB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Times New Roman" w:eastAsia="仿宋_GB2312" w:cs="Times New Roman"/>
                <w:sz w:val="18"/>
                <w:szCs w:val="18"/>
                <w:highlight w:val="none"/>
                <w:lang w:val="en-US" w:eastAsia="zh-CN"/>
              </w:rPr>
            </w:pPr>
            <w:r>
              <w:rPr>
                <w:rFonts w:hint="eastAsia" w:ascii="仿宋_GB2312" w:hAnsi="Times New Roman" w:eastAsia="仿宋_GB2312" w:cs="Times New Roman"/>
                <w:sz w:val="18"/>
                <w:szCs w:val="18"/>
                <w:highlight w:val="none"/>
                <w:lang w:val="en-US" w:eastAsia="zh-CN"/>
              </w:rPr>
              <w:t>第一档次（4 分）：服务质量承诺、保障措施及违约责任完善具体，针对性强，有明确、详细的违约责任及处罚措施，满足本项目需求。</w:t>
            </w:r>
            <w:r>
              <w:rPr>
                <w:rFonts w:hint="eastAsia" w:ascii="仿宋_GB2312" w:hAnsi="Times New Roman" w:eastAsia="仿宋_GB2312" w:cs="Times New Roman"/>
                <w:sz w:val="18"/>
                <w:szCs w:val="18"/>
                <w:highlight w:val="none"/>
                <w:lang w:val="en-US" w:eastAsia="zh-CN"/>
              </w:rPr>
              <w:br w:type="textWrapping"/>
            </w:r>
            <w:r>
              <w:rPr>
                <w:rFonts w:hint="eastAsia" w:ascii="仿宋_GB2312" w:hAnsi="Times New Roman" w:eastAsia="仿宋_GB2312" w:cs="Times New Roman"/>
                <w:sz w:val="18"/>
                <w:szCs w:val="18"/>
                <w:highlight w:val="none"/>
                <w:lang w:val="en-US" w:eastAsia="zh-CN"/>
              </w:rPr>
              <w:t>第二档次（3 分）：服务质量承诺、保障措施及违约责任具体可行，有一定的针对性，违约责任及处罚措施不够明确、详细的，基本满足本项目需求。</w:t>
            </w:r>
            <w:r>
              <w:rPr>
                <w:rFonts w:hint="eastAsia" w:ascii="仿宋_GB2312" w:hAnsi="Times New Roman" w:eastAsia="仿宋_GB2312" w:cs="Times New Roman"/>
                <w:sz w:val="18"/>
                <w:szCs w:val="18"/>
                <w:highlight w:val="none"/>
                <w:lang w:val="en-US" w:eastAsia="zh-CN"/>
              </w:rPr>
              <w:br w:type="textWrapping"/>
            </w:r>
            <w:r>
              <w:rPr>
                <w:rFonts w:hint="eastAsia" w:ascii="仿宋_GB2312" w:hAnsi="Times New Roman" w:eastAsia="仿宋_GB2312" w:cs="Times New Roman"/>
                <w:sz w:val="18"/>
                <w:szCs w:val="18"/>
                <w:highlight w:val="none"/>
                <w:lang w:val="en-US" w:eastAsia="zh-CN"/>
              </w:rPr>
              <w:t xml:space="preserve">第三档次（2 分）：服务质量承诺、保障措施及违约责任基本可行，但缺乏针对性，违约责任及处罚措施不明确、详细，仅部分满足本项 </w:t>
            </w:r>
            <w:r>
              <w:rPr>
                <w:rFonts w:hint="eastAsia" w:ascii="仿宋_GB2312" w:hAnsi="Times New Roman" w:eastAsia="仿宋_GB2312" w:cs="Times New Roman"/>
                <w:sz w:val="18"/>
                <w:szCs w:val="18"/>
                <w:highlight w:val="none"/>
                <w:lang w:val="en-US" w:eastAsia="zh-CN"/>
              </w:rPr>
              <w:br w:type="textWrapping"/>
            </w:r>
            <w:r>
              <w:rPr>
                <w:rFonts w:hint="eastAsia" w:ascii="仿宋_GB2312" w:hAnsi="Times New Roman" w:eastAsia="仿宋_GB2312" w:cs="Times New Roman"/>
                <w:sz w:val="18"/>
                <w:szCs w:val="18"/>
                <w:highlight w:val="none"/>
                <w:lang w:val="en-US" w:eastAsia="zh-CN"/>
              </w:rPr>
              <w:t>目需求。</w:t>
            </w:r>
          </w:p>
          <w:p w14:paraId="6B3DE7B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Times New Roman" w:eastAsia="仿宋_GB2312" w:cs="Times New Roman"/>
                <w:sz w:val="18"/>
                <w:szCs w:val="18"/>
                <w:highlight w:val="none"/>
                <w:lang w:val="en-US" w:eastAsia="zh-CN"/>
              </w:rPr>
            </w:pPr>
            <w:r>
              <w:rPr>
                <w:rFonts w:hint="eastAsia" w:ascii="仿宋_GB2312" w:hAnsi="Times New Roman" w:eastAsia="仿宋_GB2312" w:cs="Times New Roman"/>
                <w:sz w:val="18"/>
                <w:szCs w:val="18"/>
                <w:highlight w:val="none"/>
                <w:lang w:val="en-US" w:eastAsia="zh-CN"/>
              </w:rPr>
              <w:t>注：无服务质量承诺、保障措施及违约责任不得分。</w:t>
            </w:r>
          </w:p>
        </w:tc>
      </w:tr>
      <w:tr w14:paraId="08BCE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0" w:hRule="atLeast"/>
        </w:trPr>
        <w:tc>
          <w:tcPr>
            <w:tcW w:w="474" w:type="dxa"/>
            <w:vMerge w:val="continue"/>
            <w:tcBorders>
              <w:top w:val="nil"/>
              <w:left w:val="single" w:color="000000" w:sz="4" w:space="0"/>
              <w:bottom w:val="single" w:color="000000" w:sz="4" w:space="0"/>
              <w:right w:val="single" w:color="000000" w:sz="4" w:space="0"/>
            </w:tcBorders>
            <w:shd w:val="clear" w:color="auto" w:fill="auto"/>
            <w:noWrap/>
            <w:vAlign w:val="center"/>
          </w:tcPr>
          <w:p w14:paraId="091C7E0E">
            <w:pPr>
              <w:keepNext w:val="0"/>
              <w:keepLines w:val="0"/>
              <w:pageBreakBefore w:val="0"/>
              <w:widowControl w:val="0"/>
              <w:kinsoku/>
              <w:wordWrap/>
              <w:overflowPunct/>
              <w:topLinePunct w:val="0"/>
              <w:autoSpaceDE/>
              <w:autoSpaceDN/>
              <w:bidi w:val="0"/>
              <w:adjustRightInd/>
              <w:snapToGrid/>
              <w:spacing w:line="480" w:lineRule="exact"/>
              <w:ind w:firstLine="360" w:firstLineChars="200"/>
              <w:textAlignment w:val="auto"/>
              <w:rPr>
                <w:rFonts w:hint="eastAsia" w:ascii="仿宋_GB2312" w:hAnsi="Times New Roman" w:eastAsia="仿宋_GB2312" w:cs="Times New Roman"/>
                <w:sz w:val="18"/>
                <w:szCs w:val="18"/>
                <w:highlight w:val="none"/>
              </w:rPr>
            </w:pPr>
          </w:p>
        </w:tc>
        <w:tc>
          <w:tcPr>
            <w:tcW w:w="1000" w:type="dxa"/>
            <w:vMerge w:val="continue"/>
            <w:tcBorders>
              <w:left w:val="single" w:color="000000" w:sz="4" w:space="0"/>
              <w:right w:val="single" w:color="000000" w:sz="4" w:space="0"/>
            </w:tcBorders>
            <w:shd w:val="clear" w:color="auto" w:fill="auto"/>
            <w:vAlign w:val="center"/>
          </w:tcPr>
          <w:p w14:paraId="043E08E4">
            <w:pPr>
              <w:keepNext w:val="0"/>
              <w:keepLines w:val="0"/>
              <w:pageBreakBefore w:val="0"/>
              <w:widowControl w:val="0"/>
              <w:kinsoku/>
              <w:wordWrap/>
              <w:overflowPunct/>
              <w:topLinePunct w:val="0"/>
              <w:autoSpaceDE/>
              <w:autoSpaceDN/>
              <w:bidi w:val="0"/>
              <w:adjustRightInd/>
              <w:snapToGrid/>
              <w:spacing w:line="480" w:lineRule="exact"/>
              <w:ind w:firstLine="360" w:firstLineChars="200"/>
              <w:textAlignment w:val="auto"/>
              <w:rPr>
                <w:rFonts w:hint="eastAsia" w:ascii="仿宋_GB2312" w:hAnsi="Times New Roman" w:eastAsia="仿宋_GB2312" w:cs="Times New Roman"/>
                <w:sz w:val="18"/>
                <w:szCs w:val="18"/>
                <w:highlight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2020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Times New Roman" w:eastAsia="仿宋_GB2312" w:cs="Times New Roman"/>
                <w:sz w:val="18"/>
                <w:szCs w:val="18"/>
                <w:highlight w:val="none"/>
                <w:lang w:val="en-US" w:eastAsia="zh-CN"/>
              </w:rPr>
            </w:pPr>
            <w:r>
              <w:rPr>
                <w:rFonts w:hint="eastAsia" w:ascii="仿宋_GB2312" w:hAnsi="Times New Roman" w:eastAsia="仿宋_GB2312" w:cs="Times New Roman"/>
                <w:sz w:val="18"/>
                <w:szCs w:val="18"/>
                <w:highlight w:val="none"/>
                <w:lang w:val="en-US" w:eastAsia="zh-CN"/>
              </w:rPr>
              <w:t>产品质量承诺及保障措施、违约责任</w:t>
            </w:r>
            <w:r>
              <w:rPr>
                <w:rFonts w:hint="eastAsia" w:ascii="仿宋_GB2312" w:hAnsi="Times New Roman" w:eastAsia="仿宋_GB2312" w:cs="Times New Roman"/>
                <w:sz w:val="18"/>
                <w:szCs w:val="18"/>
                <w:highlight w:val="none"/>
                <w:lang w:val="en-US" w:eastAsia="zh-CN"/>
              </w:rPr>
              <w:br w:type="textWrapping"/>
            </w:r>
            <w:r>
              <w:rPr>
                <w:rFonts w:hint="eastAsia" w:ascii="仿宋_GB2312" w:hAnsi="Times New Roman" w:eastAsia="仿宋_GB2312" w:cs="Times New Roman"/>
                <w:sz w:val="18"/>
                <w:szCs w:val="18"/>
                <w:highlight w:val="none"/>
                <w:lang w:val="en-US" w:eastAsia="zh-CN"/>
              </w:rPr>
              <w:t>（满分 4 分）</w:t>
            </w:r>
          </w:p>
        </w:tc>
        <w:tc>
          <w:tcPr>
            <w:tcW w:w="6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15C8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Times New Roman" w:eastAsia="仿宋_GB2312" w:cs="Times New Roman"/>
                <w:sz w:val="18"/>
                <w:szCs w:val="18"/>
                <w:highlight w:val="none"/>
                <w:lang w:val="en-US" w:eastAsia="zh-CN"/>
              </w:rPr>
            </w:pPr>
            <w:r>
              <w:rPr>
                <w:rFonts w:hint="eastAsia" w:ascii="仿宋_GB2312" w:hAnsi="Times New Roman" w:eastAsia="仿宋_GB2312" w:cs="Times New Roman"/>
                <w:sz w:val="18"/>
                <w:szCs w:val="18"/>
                <w:highlight w:val="none"/>
                <w:lang w:val="en-US" w:eastAsia="zh-CN"/>
              </w:rPr>
              <w:t>第一档次（4 分）：产品质量承诺、保障措施及违约责任完善具体，针对性强，有明确、详细的违约责任及处罚措施，满足本项目需求。</w:t>
            </w:r>
            <w:r>
              <w:rPr>
                <w:rFonts w:hint="eastAsia" w:ascii="仿宋_GB2312" w:hAnsi="Times New Roman" w:eastAsia="仿宋_GB2312" w:cs="Times New Roman"/>
                <w:sz w:val="18"/>
                <w:szCs w:val="18"/>
                <w:highlight w:val="none"/>
                <w:lang w:val="en-US" w:eastAsia="zh-CN"/>
              </w:rPr>
              <w:br w:type="textWrapping"/>
            </w:r>
            <w:r>
              <w:rPr>
                <w:rFonts w:hint="eastAsia" w:ascii="仿宋_GB2312" w:hAnsi="Times New Roman" w:eastAsia="仿宋_GB2312" w:cs="Times New Roman"/>
                <w:sz w:val="18"/>
                <w:szCs w:val="18"/>
                <w:highlight w:val="none"/>
                <w:lang w:val="en-US" w:eastAsia="zh-CN"/>
              </w:rPr>
              <w:t xml:space="preserve">第二档次（3 分）：产品质量承诺、保障措施及违约责任具体可行，有一定的针对性，违约责任及处罚措施不够明确、详细的，基本满足本项目需求。 </w:t>
            </w:r>
            <w:r>
              <w:rPr>
                <w:rFonts w:hint="eastAsia" w:ascii="仿宋_GB2312" w:hAnsi="Times New Roman" w:eastAsia="仿宋_GB2312" w:cs="Times New Roman"/>
                <w:sz w:val="18"/>
                <w:szCs w:val="18"/>
                <w:highlight w:val="none"/>
                <w:lang w:val="en-US" w:eastAsia="zh-CN"/>
              </w:rPr>
              <w:br w:type="textWrapping"/>
            </w:r>
            <w:r>
              <w:rPr>
                <w:rFonts w:hint="eastAsia" w:ascii="仿宋_GB2312" w:hAnsi="Times New Roman" w:eastAsia="仿宋_GB2312" w:cs="Times New Roman"/>
                <w:sz w:val="18"/>
                <w:szCs w:val="18"/>
                <w:highlight w:val="none"/>
                <w:lang w:val="en-US" w:eastAsia="zh-CN"/>
              </w:rPr>
              <w:t>第三档次（2 分）：产品质量承诺、保障措施及违约责任基本可行，但缺乏针对性，违约责任及处罚措施不明确、详细，仅部分满足本项目需求。</w:t>
            </w:r>
            <w:r>
              <w:rPr>
                <w:rFonts w:hint="eastAsia" w:ascii="仿宋_GB2312" w:hAnsi="Times New Roman" w:eastAsia="仿宋_GB2312" w:cs="Times New Roman"/>
                <w:sz w:val="18"/>
                <w:szCs w:val="18"/>
                <w:highlight w:val="none"/>
                <w:lang w:val="en-US" w:eastAsia="zh-CN"/>
              </w:rPr>
              <w:br w:type="textWrapping"/>
            </w:r>
            <w:r>
              <w:rPr>
                <w:rFonts w:hint="eastAsia" w:ascii="仿宋_GB2312" w:hAnsi="Times New Roman" w:eastAsia="仿宋_GB2312" w:cs="Times New Roman"/>
                <w:sz w:val="18"/>
                <w:szCs w:val="18"/>
                <w:highlight w:val="none"/>
                <w:lang w:val="en-US" w:eastAsia="zh-CN"/>
              </w:rPr>
              <w:t>注：无服务质量承诺、保障措施及违约责任不得分。</w:t>
            </w:r>
          </w:p>
        </w:tc>
      </w:tr>
      <w:tr w14:paraId="17A58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8" w:hRule="atLeast"/>
        </w:trPr>
        <w:tc>
          <w:tcPr>
            <w:tcW w:w="474" w:type="dxa"/>
            <w:vMerge w:val="restart"/>
            <w:tcBorders>
              <w:top w:val="single" w:color="000000" w:sz="4" w:space="0"/>
              <w:left w:val="single" w:color="000000" w:sz="4" w:space="0"/>
              <w:right w:val="single" w:color="000000" w:sz="4" w:space="0"/>
            </w:tcBorders>
            <w:shd w:val="clear" w:color="auto" w:fill="auto"/>
            <w:noWrap/>
            <w:vAlign w:val="center"/>
          </w:tcPr>
          <w:p w14:paraId="212BC1FA">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Times New Roman" w:eastAsia="仿宋_GB2312" w:cs="Times New Roman"/>
                <w:sz w:val="18"/>
                <w:szCs w:val="18"/>
                <w:highlight w:val="none"/>
                <w:lang w:val="en-US" w:eastAsia="zh-CN"/>
              </w:rPr>
            </w:pPr>
          </w:p>
        </w:tc>
        <w:tc>
          <w:tcPr>
            <w:tcW w:w="1000" w:type="dxa"/>
            <w:vMerge w:val="continue"/>
            <w:tcBorders>
              <w:left w:val="single" w:color="000000" w:sz="4" w:space="0"/>
              <w:right w:val="single" w:color="000000" w:sz="4" w:space="0"/>
            </w:tcBorders>
            <w:shd w:val="clear" w:color="auto" w:fill="auto"/>
            <w:vAlign w:val="center"/>
          </w:tcPr>
          <w:p w14:paraId="6230F003">
            <w:pPr>
              <w:keepNext w:val="0"/>
              <w:keepLines w:val="0"/>
              <w:pageBreakBefore w:val="0"/>
              <w:widowControl w:val="0"/>
              <w:kinsoku/>
              <w:wordWrap/>
              <w:overflowPunct/>
              <w:topLinePunct w:val="0"/>
              <w:autoSpaceDE/>
              <w:autoSpaceDN/>
              <w:bidi w:val="0"/>
              <w:adjustRightInd/>
              <w:snapToGrid/>
              <w:spacing w:line="480" w:lineRule="exact"/>
              <w:ind w:firstLine="360" w:firstLineChars="200"/>
              <w:textAlignment w:val="auto"/>
              <w:rPr>
                <w:rFonts w:hint="eastAsia" w:ascii="仿宋_GB2312" w:hAnsi="Times New Roman" w:eastAsia="仿宋_GB2312" w:cs="Times New Roman"/>
                <w:sz w:val="18"/>
                <w:szCs w:val="18"/>
                <w:highlight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20AB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Times New Roman" w:eastAsia="仿宋_GB2312" w:cs="Times New Roman"/>
                <w:sz w:val="18"/>
                <w:szCs w:val="18"/>
                <w:highlight w:val="none"/>
                <w:lang w:val="en-US" w:eastAsia="zh-CN"/>
              </w:rPr>
            </w:pPr>
            <w:r>
              <w:rPr>
                <w:rFonts w:hint="eastAsia" w:ascii="仿宋_GB2312" w:hAnsi="Times New Roman" w:eastAsia="仿宋_GB2312" w:cs="Times New Roman"/>
                <w:sz w:val="18"/>
                <w:szCs w:val="18"/>
                <w:highlight w:val="none"/>
                <w:lang w:val="en-US" w:eastAsia="zh-CN"/>
              </w:rPr>
              <w:t>类似业绩</w:t>
            </w:r>
            <w:r>
              <w:rPr>
                <w:rFonts w:hint="eastAsia" w:ascii="仿宋_GB2312" w:hAnsi="Times New Roman" w:eastAsia="仿宋_GB2312" w:cs="Times New Roman"/>
                <w:sz w:val="18"/>
                <w:szCs w:val="18"/>
                <w:highlight w:val="none"/>
                <w:lang w:val="en-US" w:eastAsia="zh-CN"/>
              </w:rPr>
              <w:br w:type="textWrapping"/>
            </w:r>
            <w:r>
              <w:rPr>
                <w:rFonts w:hint="eastAsia" w:ascii="仿宋_GB2312" w:hAnsi="Times New Roman" w:eastAsia="仿宋_GB2312" w:cs="Times New Roman"/>
                <w:sz w:val="18"/>
                <w:szCs w:val="18"/>
                <w:highlight w:val="none"/>
                <w:lang w:val="en-US" w:eastAsia="zh-CN"/>
              </w:rPr>
              <w:t>（满分4分）</w:t>
            </w:r>
          </w:p>
        </w:tc>
        <w:tc>
          <w:tcPr>
            <w:tcW w:w="6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D389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Times New Roman" w:eastAsia="仿宋_GB2312" w:cs="Times New Roman"/>
                <w:sz w:val="18"/>
                <w:szCs w:val="18"/>
                <w:highlight w:val="none"/>
                <w:lang w:val="en-US" w:eastAsia="zh-CN"/>
              </w:rPr>
            </w:pPr>
            <w:r>
              <w:rPr>
                <w:rFonts w:hint="eastAsia" w:ascii="仿宋_GB2312" w:hAnsi="Times New Roman" w:eastAsia="仿宋_GB2312" w:cs="Times New Roman"/>
                <w:sz w:val="18"/>
                <w:szCs w:val="18"/>
                <w:highlight w:val="none"/>
                <w:lang w:val="en-US" w:eastAsia="zh-CN"/>
              </w:rPr>
              <w:t>根据招标文件中提供的业绩进行打分：供应商近三年服务过 1 个类似业绩（类似业绩指：食品供货服务项目）的得基本分 2 分，每增加一个类似业绩的加 2 分，分数加满为止（证明材料须提供 成交通知书及采购合同的原件扫描件或复印件）。</w:t>
            </w:r>
            <w:r>
              <w:rPr>
                <w:rFonts w:hint="eastAsia" w:ascii="仿宋_GB2312" w:hAnsi="Times New Roman" w:eastAsia="仿宋_GB2312" w:cs="Times New Roman"/>
                <w:sz w:val="18"/>
                <w:szCs w:val="18"/>
                <w:highlight w:val="none"/>
                <w:lang w:val="en-US" w:eastAsia="zh-CN"/>
              </w:rPr>
              <w:br w:type="textWrapping"/>
            </w:r>
            <w:r>
              <w:rPr>
                <w:rFonts w:hint="eastAsia" w:ascii="仿宋_GB2312" w:hAnsi="Times New Roman" w:eastAsia="仿宋_GB2312" w:cs="Times New Roman"/>
                <w:sz w:val="18"/>
                <w:szCs w:val="18"/>
                <w:highlight w:val="none"/>
                <w:lang w:val="en-US" w:eastAsia="zh-CN"/>
              </w:rPr>
              <w:t xml:space="preserve">满分得分4分 </w:t>
            </w:r>
            <w:r>
              <w:rPr>
                <w:rFonts w:hint="eastAsia" w:ascii="仿宋_GB2312" w:hAnsi="Times New Roman" w:eastAsia="仿宋_GB2312" w:cs="Times New Roman"/>
                <w:sz w:val="18"/>
                <w:szCs w:val="18"/>
                <w:highlight w:val="none"/>
                <w:lang w:val="en-US" w:eastAsia="zh-CN"/>
              </w:rPr>
              <w:br w:type="textWrapping"/>
            </w:r>
            <w:r>
              <w:rPr>
                <w:rFonts w:hint="eastAsia" w:ascii="仿宋_GB2312" w:hAnsi="Times New Roman" w:eastAsia="仿宋_GB2312" w:cs="Times New Roman"/>
                <w:sz w:val="18"/>
                <w:szCs w:val="18"/>
                <w:highlight w:val="none"/>
                <w:lang w:val="en-US" w:eastAsia="zh-CN"/>
              </w:rPr>
              <w:t>注：无类似业绩或类似证明材料的不得分</w:t>
            </w:r>
          </w:p>
        </w:tc>
      </w:tr>
      <w:tr w14:paraId="25B7B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0" w:hRule="atLeast"/>
        </w:trPr>
        <w:tc>
          <w:tcPr>
            <w:tcW w:w="474" w:type="dxa"/>
            <w:vMerge w:val="continue"/>
            <w:tcBorders>
              <w:left w:val="single" w:color="000000" w:sz="4" w:space="0"/>
              <w:bottom w:val="single" w:color="000000" w:sz="4" w:space="0"/>
              <w:right w:val="single" w:color="000000" w:sz="4" w:space="0"/>
            </w:tcBorders>
            <w:shd w:val="clear" w:color="auto" w:fill="auto"/>
            <w:noWrap/>
            <w:vAlign w:val="center"/>
          </w:tcPr>
          <w:p w14:paraId="0A5164F5">
            <w:pPr>
              <w:keepNext w:val="0"/>
              <w:keepLines w:val="0"/>
              <w:pageBreakBefore w:val="0"/>
              <w:widowControl w:val="0"/>
              <w:kinsoku/>
              <w:wordWrap/>
              <w:overflowPunct/>
              <w:topLinePunct w:val="0"/>
              <w:autoSpaceDE/>
              <w:autoSpaceDN/>
              <w:bidi w:val="0"/>
              <w:adjustRightInd/>
              <w:snapToGrid/>
              <w:spacing w:line="480" w:lineRule="exact"/>
              <w:ind w:firstLine="360" w:firstLineChars="200"/>
              <w:textAlignment w:val="auto"/>
              <w:rPr>
                <w:rFonts w:hint="eastAsia" w:ascii="仿宋_GB2312" w:hAnsi="Times New Roman" w:eastAsia="仿宋_GB2312" w:cs="Times New Roman"/>
                <w:sz w:val="18"/>
                <w:szCs w:val="18"/>
                <w:highlight w:val="none"/>
                <w:lang w:val="en-US" w:eastAsia="zh-CN"/>
              </w:rPr>
            </w:pPr>
          </w:p>
        </w:tc>
        <w:tc>
          <w:tcPr>
            <w:tcW w:w="1000" w:type="dxa"/>
            <w:vMerge w:val="continue"/>
            <w:tcBorders>
              <w:left w:val="single" w:color="000000" w:sz="4" w:space="0"/>
              <w:bottom w:val="single" w:color="000000" w:sz="4" w:space="0"/>
              <w:right w:val="single" w:color="000000" w:sz="4" w:space="0"/>
            </w:tcBorders>
            <w:shd w:val="clear" w:color="auto" w:fill="auto"/>
            <w:vAlign w:val="center"/>
          </w:tcPr>
          <w:p w14:paraId="1A6297F9">
            <w:pPr>
              <w:keepNext w:val="0"/>
              <w:keepLines w:val="0"/>
              <w:pageBreakBefore w:val="0"/>
              <w:widowControl w:val="0"/>
              <w:kinsoku/>
              <w:wordWrap/>
              <w:overflowPunct/>
              <w:topLinePunct w:val="0"/>
              <w:autoSpaceDE/>
              <w:autoSpaceDN/>
              <w:bidi w:val="0"/>
              <w:adjustRightInd/>
              <w:snapToGrid/>
              <w:spacing w:line="480" w:lineRule="exact"/>
              <w:ind w:firstLine="360" w:firstLineChars="200"/>
              <w:textAlignment w:val="auto"/>
              <w:rPr>
                <w:rFonts w:hint="eastAsia" w:ascii="仿宋_GB2312" w:hAnsi="Times New Roman" w:eastAsia="仿宋_GB2312" w:cs="Times New Roman"/>
                <w:sz w:val="18"/>
                <w:szCs w:val="18"/>
                <w:highlight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DCD0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Times New Roman" w:eastAsia="仿宋_GB2312" w:cs="Times New Roman"/>
                <w:sz w:val="18"/>
                <w:szCs w:val="18"/>
                <w:highlight w:val="none"/>
                <w:lang w:val="en-US" w:eastAsia="zh-CN"/>
              </w:rPr>
            </w:pPr>
            <w:r>
              <w:rPr>
                <w:rFonts w:hint="eastAsia" w:ascii="仿宋_GB2312" w:hAnsi="Times New Roman" w:eastAsia="仿宋_GB2312" w:cs="Times New Roman"/>
                <w:sz w:val="18"/>
                <w:szCs w:val="18"/>
                <w:highlight w:val="none"/>
                <w:lang w:val="en-US" w:eastAsia="zh-CN"/>
              </w:rPr>
              <w:t>技术响应</w:t>
            </w:r>
            <w:r>
              <w:rPr>
                <w:rFonts w:hint="eastAsia" w:ascii="仿宋_GB2312" w:hAnsi="Times New Roman" w:eastAsia="仿宋_GB2312" w:cs="Times New Roman"/>
                <w:sz w:val="18"/>
                <w:szCs w:val="18"/>
                <w:highlight w:val="none"/>
                <w:lang w:val="en-US" w:eastAsia="zh-CN"/>
              </w:rPr>
              <w:br w:type="textWrapping"/>
            </w:r>
            <w:r>
              <w:rPr>
                <w:rFonts w:hint="eastAsia" w:ascii="仿宋_GB2312" w:hAnsi="Times New Roman" w:eastAsia="仿宋_GB2312" w:cs="Times New Roman"/>
                <w:sz w:val="18"/>
                <w:szCs w:val="18"/>
                <w:highlight w:val="none"/>
                <w:lang w:val="en-US" w:eastAsia="zh-CN"/>
              </w:rPr>
              <w:t>（满分15分）</w:t>
            </w:r>
          </w:p>
        </w:tc>
        <w:tc>
          <w:tcPr>
            <w:tcW w:w="6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024E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Times New Roman" w:eastAsia="仿宋_GB2312" w:cs="Times New Roman"/>
                <w:sz w:val="18"/>
                <w:szCs w:val="18"/>
                <w:highlight w:val="none"/>
                <w:lang w:val="en-US" w:eastAsia="zh-CN"/>
              </w:rPr>
            </w:pPr>
            <w:r>
              <w:rPr>
                <w:rFonts w:hint="eastAsia" w:ascii="仿宋_GB2312" w:hAnsi="Times New Roman" w:eastAsia="仿宋_GB2312" w:cs="Times New Roman"/>
                <w:sz w:val="18"/>
                <w:szCs w:val="18"/>
                <w:highlight w:val="none"/>
                <w:lang w:val="en-US" w:eastAsia="zh-CN"/>
              </w:rPr>
              <w:t>供应商所投产品技术指标或参数完全符合或优于招标文件要求得满分15分。</w:t>
            </w:r>
            <w:r>
              <w:rPr>
                <w:rFonts w:hint="eastAsia" w:ascii="仿宋_GB2312" w:hAnsi="Times New Roman" w:eastAsia="仿宋_GB2312" w:cs="Times New Roman"/>
                <w:sz w:val="18"/>
                <w:szCs w:val="18"/>
                <w:highlight w:val="none"/>
                <w:lang w:val="en-US" w:eastAsia="zh-CN"/>
              </w:rPr>
              <w:br w:type="textWrapping"/>
            </w:r>
            <w:r>
              <w:rPr>
                <w:rFonts w:hint="eastAsia" w:ascii="仿宋_GB2312" w:hAnsi="Times New Roman" w:eastAsia="仿宋_GB2312" w:cs="Times New Roman"/>
                <w:sz w:val="18"/>
                <w:szCs w:val="18"/>
                <w:highlight w:val="none"/>
                <w:lang w:val="en-US" w:eastAsia="zh-CN"/>
              </w:rPr>
              <w:t>若有一项偏离即扣分，扣完为止。</w:t>
            </w:r>
          </w:p>
        </w:tc>
      </w:tr>
    </w:tbl>
    <w:p w14:paraId="35DF270E">
      <w:pPr>
        <w:pStyle w:val="36"/>
        <w:ind w:left="0" w:leftChars="0" w:firstLine="0" w:firstLineChars="0"/>
      </w:pPr>
    </w:p>
    <w:p w14:paraId="7BF6578F">
      <w:pPr>
        <w:rPr>
          <w:b/>
          <w:bCs/>
        </w:rPr>
      </w:pPr>
      <w:r>
        <w:rPr>
          <w:rFonts w:hint="eastAsia" w:cs="宋体"/>
          <w:b/>
          <w:bCs/>
          <w:color w:val="FF0000"/>
        </w:rPr>
        <w:t>注：提供以上所需证明文件须真实有效，否则按废标处理。</w:t>
      </w:r>
    </w:p>
    <w:p w14:paraId="7E371153">
      <w:pPr>
        <w:pStyle w:val="23"/>
        <w:adjustRightInd w:val="0"/>
        <w:snapToGrid w:val="0"/>
        <w:spacing w:beforeLines="50" w:line="360" w:lineRule="auto"/>
        <w:jc w:val="left"/>
        <w:rPr>
          <w:rFonts w:hAnsi="宋体" w:cs="Times New Roman"/>
          <w:b/>
          <w:bCs/>
          <w:sz w:val="22"/>
          <w:szCs w:val="22"/>
        </w:rPr>
      </w:pPr>
      <w:r>
        <w:rPr>
          <w:rFonts w:hAnsi="宋体"/>
          <w:b/>
          <w:bCs/>
          <w:sz w:val="22"/>
          <w:szCs w:val="22"/>
        </w:rPr>
        <w:t>4</w:t>
      </w:r>
      <w:r>
        <w:rPr>
          <w:rFonts w:hint="eastAsia" w:hAnsi="宋体"/>
          <w:b/>
          <w:bCs/>
          <w:sz w:val="22"/>
          <w:szCs w:val="22"/>
        </w:rPr>
        <w:t>、中标供应商的确定</w:t>
      </w:r>
    </w:p>
    <w:p w14:paraId="0717694E">
      <w:pPr>
        <w:pStyle w:val="110"/>
        <w:ind w:left="656" w:leftChars="102" w:hanging="442" w:hangingChars="200"/>
        <w:rPr>
          <w:rFonts w:hAnsi="宋体" w:cs="Times New Roman"/>
          <w:kern w:val="2"/>
          <w:sz w:val="21"/>
          <w:szCs w:val="21"/>
          <w:lang w:val="zh-CN" w:eastAsia="zh-CN"/>
        </w:rPr>
      </w:pPr>
      <w:r>
        <w:rPr>
          <w:rFonts w:hAnsi="宋体"/>
          <w:b/>
          <w:bCs/>
          <w:sz w:val="22"/>
          <w:szCs w:val="22"/>
          <w:lang w:eastAsia="zh-CN"/>
        </w:rPr>
        <w:t xml:space="preserve">   </w:t>
      </w:r>
      <w:r>
        <w:rPr>
          <w:rFonts w:hint="eastAsia" w:hAnsi="宋体"/>
          <w:kern w:val="2"/>
          <w:sz w:val="21"/>
          <w:szCs w:val="21"/>
          <w:lang w:val="zh-CN" w:eastAsia="zh-CN"/>
        </w:rPr>
        <w:t>由评标委员会推荐，采购单位按照评标报告推荐的顺序确定中标单位。</w:t>
      </w:r>
    </w:p>
    <w:p w14:paraId="64919119">
      <w:pPr>
        <w:pStyle w:val="23"/>
        <w:adjustRightInd w:val="0"/>
        <w:snapToGrid w:val="0"/>
        <w:spacing w:beforeLines="50" w:line="360" w:lineRule="auto"/>
        <w:ind w:firstLine="450"/>
        <w:jc w:val="left"/>
        <w:rPr>
          <w:rFonts w:hAnsi="宋体" w:cs="Times New Roman"/>
          <w:sz w:val="22"/>
          <w:szCs w:val="22"/>
        </w:rPr>
      </w:pPr>
      <w:r>
        <w:rPr>
          <w:rFonts w:hint="eastAsia" w:hAnsi="宋体"/>
          <w:sz w:val="22"/>
          <w:szCs w:val="22"/>
        </w:rPr>
        <w:t>中标人确定后，由采购人发布中标结果，同时向中标供应商发出中标通知书，</w:t>
      </w:r>
      <w:r>
        <w:rPr>
          <w:rFonts w:hint="eastAsia" w:hAnsi="宋体"/>
          <w:b/>
          <w:bCs/>
          <w:sz w:val="22"/>
          <w:szCs w:val="22"/>
        </w:rPr>
        <w:t>按照陇南市财政局关于优化政府采购领域办事程序促进公平竞争的通知陇财采〔</w:t>
      </w:r>
      <w:r>
        <w:rPr>
          <w:rFonts w:hAnsi="宋体"/>
          <w:b/>
          <w:bCs/>
          <w:sz w:val="22"/>
          <w:szCs w:val="22"/>
        </w:rPr>
        <w:t>2022</w:t>
      </w:r>
      <w:r>
        <w:rPr>
          <w:rFonts w:hint="eastAsia" w:hAnsi="宋体"/>
          <w:b/>
          <w:bCs/>
          <w:sz w:val="22"/>
          <w:szCs w:val="22"/>
        </w:rPr>
        <w:t>〕</w:t>
      </w:r>
      <w:r>
        <w:rPr>
          <w:rFonts w:hAnsi="宋体"/>
          <w:b/>
          <w:bCs/>
          <w:sz w:val="22"/>
          <w:szCs w:val="22"/>
        </w:rPr>
        <w:t>30</w:t>
      </w:r>
      <w:r>
        <w:rPr>
          <w:rFonts w:hint="eastAsia" w:hAnsi="宋体"/>
          <w:b/>
          <w:bCs/>
          <w:sz w:val="22"/>
          <w:szCs w:val="22"/>
        </w:rPr>
        <w:t>号政府采购合同签订期限由法定</w:t>
      </w:r>
      <w:r>
        <w:rPr>
          <w:rFonts w:hAnsi="宋体"/>
          <w:b/>
          <w:bCs/>
          <w:sz w:val="22"/>
          <w:szCs w:val="22"/>
        </w:rPr>
        <w:t>30</w:t>
      </w:r>
      <w:r>
        <w:rPr>
          <w:rFonts w:hint="eastAsia" w:hAnsi="宋体"/>
          <w:b/>
          <w:bCs/>
          <w:sz w:val="22"/>
          <w:szCs w:val="22"/>
        </w:rPr>
        <w:t>日内压缩至</w:t>
      </w:r>
      <w:r>
        <w:rPr>
          <w:rFonts w:hAnsi="宋体"/>
          <w:b/>
          <w:bCs/>
          <w:sz w:val="22"/>
          <w:szCs w:val="22"/>
        </w:rPr>
        <w:t>10</w:t>
      </w:r>
      <w:r>
        <w:rPr>
          <w:rFonts w:hint="eastAsia" w:hAnsi="宋体"/>
          <w:b/>
          <w:bCs/>
          <w:sz w:val="22"/>
          <w:szCs w:val="22"/>
        </w:rPr>
        <w:t>日内，合同备案由法定</w:t>
      </w:r>
      <w:r>
        <w:rPr>
          <w:rFonts w:hAnsi="宋体"/>
          <w:b/>
          <w:bCs/>
          <w:sz w:val="22"/>
          <w:szCs w:val="22"/>
        </w:rPr>
        <w:t>7</w:t>
      </w:r>
      <w:r>
        <w:rPr>
          <w:rFonts w:hint="eastAsia" w:hAnsi="宋体"/>
          <w:b/>
          <w:bCs/>
          <w:sz w:val="22"/>
          <w:szCs w:val="22"/>
        </w:rPr>
        <w:t>个工作日以内压缩至</w:t>
      </w:r>
      <w:r>
        <w:rPr>
          <w:rFonts w:hAnsi="宋体"/>
          <w:b/>
          <w:bCs/>
          <w:sz w:val="22"/>
          <w:szCs w:val="22"/>
        </w:rPr>
        <w:t>2</w:t>
      </w:r>
      <w:r>
        <w:rPr>
          <w:rFonts w:hint="eastAsia" w:hAnsi="宋体"/>
          <w:b/>
          <w:bCs/>
          <w:sz w:val="22"/>
          <w:szCs w:val="22"/>
        </w:rPr>
        <w:t>个工作日以内。</w:t>
      </w:r>
      <w:r>
        <w:rPr>
          <w:rFonts w:hint="eastAsia" w:hAnsi="宋体"/>
          <w:sz w:val="22"/>
          <w:szCs w:val="22"/>
        </w:rPr>
        <w:t>并在中标通知书发出之日起</w:t>
      </w:r>
      <w:r>
        <w:rPr>
          <w:rFonts w:hAnsi="宋体"/>
          <w:sz w:val="22"/>
          <w:szCs w:val="22"/>
        </w:rPr>
        <w:t>10</w:t>
      </w:r>
      <w:r>
        <w:rPr>
          <w:rFonts w:hint="eastAsia" w:hAnsi="宋体"/>
          <w:sz w:val="22"/>
          <w:szCs w:val="22"/>
        </w:rPr>
        <w:t>日内与中标人签订书面合同。</w:t>
      </w:r>
      <w:bookmarkStart w:id="72" w:name="_Toc17580"/>
      <w:bookmarkStart w:id="73" w:name="_Toc385671119"/>
      <w:bookmarkStart w:id="74" w:name="_Toc1347"/>
    </w:p>
    <w:p w14:paraId="0A2B921C">
      <w:pPr>
        <w:pStyle w:val="23"/>
        <w:pageBreakBefore/>
        <w:adjustRightInd w:val="0"/>
        <w:snapToGrid w:val="0"/>
        <w:spacing w:beforeLines="50" w:line="360" w:lineRule="auto"/>
        <w:ind w:firstLine="3373" w:firstLineChars="1050"/>
        <w:jc w:val="left"/>
        <w:outlineLvl w:val="1"/>
        <w:rPr>
          <w:rFonts w:hAnsi="宋体" w:cs="Times New Roman"/>
          <w:b/>
          <w:bCs/>
          <w:sz w:val="32"/>
          <w:szCs w:val="32"/>
        </w:rPr>
      </w:pPr>
      <w:bookmarkStart w:id="75" w:name="_Toc29266"/>
      <w:r>
        <w:rPr>
          <w:rFonts w:hint="eastAsia" w:hAnsi="宋体"/>
          <w:b/>
          <w:bCs/>
          <w:sz w:val="32"/>
          <w:szCs w:val="32"/>
        </w:rPr>
        <w:t>二、评标程序</w:t>
      </w:r>
      <w:bookmarkEnd w:id="72"/>
      <w:bookmarkEnd w:id="73"/>
      <w:bookmarkEnd w:id="74"/>
      <w:bookmarkEnd w:id="75"/>
    </w:p>
    <w:p w14:paraId="37965997">
      <w:pPr>
        <w:spacing w:line="360" w:lineRule="auto"/>
        <w:ind w:firstLine="442" w:firstLineChars="200"/>
        <w:jc w:val="left"/>
        <w:rPr>
          <w:rFonts w:ascii="宋体"/>
          <w:sz w:val="22"/>
          <w:szCs w:val="22"/>
        </w:rPr>
      </w:pPr>
      <w:r>
        <w:rPr>
          <w:rFonts w:ascii="宋体" w:hAnsi="宋体" w:cs="宋体"/>
          <w:b/>
          <w:bCs/>
          <w:sz w:val="22"/>
          <w:szCs w:val="22"/>
        </w:rPr>
        <w:t>1.</w:t>
      </w:r>
      <w:r>
        <w:rPr>
          <w:rFonts w:hint="eastAsia" w:ascii="宋体" w:hAnsi="宋体" w:cs="宋体"/>
          <w:b/>
          <w:bCs/>
          <w:sz w:val="22"/>
          <w:szCs w:val="22"/>
        </w:rPr>
        <w:t>初步评审（资格后审）</w:t>
      </w:r>
      <w:r>
        <w:rPr>
          <w:rFonts w:hint="eastAsia" w:ascii="宋体" w:hAnsi="宋体" w:cs="宋体"/>
          <w:sz w:val="22"/>
          <w:szCs w:val="22"/>
        </w:rPr>
        <w:t>：</w:t>
      </w:r>
    </w:p>
    <w:p w14:paraId="328981F4">
      <w:pPr>
        <w:adjustRightInd w:val="0"/>
        <w:snapToGrid w:val="0"/>
        <w:spacing w:line="360" w:lineRule="auto"/>
        <w:ind w:firstLine="440" w:firstLineChars="200"/>
        <w:rPr>
          <w:rFonts w:ascii="宋体"/>
          <w:sz w:val="22"/>
          <w:szCs w:val="22"/>
        </w:rPr>
      </w:pPr>
      <w:r>
        <w:rPr>
          <w:rFonts w:hint="eastAsia" w:ascii="宋体" w:hAnsi="宋体" w:cs="宋体"/>
          <w:sz w:val="22"/>
          <w:szCs w:val="22"/>
        </w:rPr>
        <w:t>资格性审查表：</w:t>
      </w:r>
    </w:p>
    <w:tbl>
      <w:tblPr>
        <w:tblStyle w:val="46"/>
        <w:tblW w:w="89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68"/>
        <w:gridCol w:w="2450"/>
        <w:gridCol w:w="5110"/>
      </w:tblGrid>
      <w:tr w14:paraId="0542AE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1368" w:type="dxa"/>
            <w:vAlign w:val="center"/>
          </w:tcPr>
          <w:p w14:paraId="686A483D">
            <w:pPr>
              <w:spacing w:line="280" w:lineRule="exact"/>
              <w:jc w:val="center"/>
              <w:rPr>
                <w:rFonts w:ascii="宋体"/>
                <w:kern w:val="0"/>
                <w:sz w:val="22"/>
                <w:szCs w:val="22"/>
              </w:rPr>
            </w:pPr>
            <w:r>
              <w:rPr>
                <w:rFonts w:hint="eastAsia" w:ascii="宋体" w:hAnsi="宋体" w:cs="宋体"/>
                <w:kern w:val="0"/>
                <w:sz w:val="22"/>
                <w:szCs w:val="22"/>
              </w:rPr>
              <w:t>评审内容</w:t>
            </w:r>
          </w:p>
        </w:tc>
        <w:tc>
          <w:tcPr>
            <w:tcW w:w="2450" w:type="dxa"/>
            <w:vAlign w:val="center"/>
          </w:tcPr>
          <w:p w14:paraId="1BAF431D">
            <w:pPr>
              <w:spacing w:line="280" w:lineRule="exact"/>
              <w:jc w:val="center"/>
              <w:rPr>
                <w:rFonts w:ascii="宋体"/>
                <w:kern w:val="0"/>
                <w:sz w:val="22"/>
                <w:szCs w:val="22"/>
              </w:rPr>
            </w:pPr>
            <w:r>
              <w:rPr>
                <w:rFonts w:hint="eastAsia" w:ascii="宋体" w:hAnsi="宋体" w:cs="宋体"/>
                <w:kern w:val="0"/>
                <w:sz w:val="22"/>
                <w:szCs w:val="22"/>
              </w:rPr>
              <w:t>评审因素</w:t>
            </w:r>
          </w:p>
        </w:tc>
        <w:tc>
          <w:tcPr>
            <w:tcW w:w="5110" w:type="dxa"/>
            <w:vAlign w:val="center"/>
          </w:tcPr>
          <w:p w14:paraId="1F395EEC">
            <w:pPr>
              <w:spacing w:line="280" w:lineRule="exact"/>
              <w:jc w:val="center"/>
              <w:rPr>
                <w:rFonts w:ascii="宋体"/>
                <w:kern w:val="0"/>
                <w:sz w:val="22"/>
                <w:szCs w:val="22"/>
              </w:rPr>
            </w:pPr>
            <w:r>
              <w:rPr>
                <w:rFonts w:hint="eastAsia" w:ascii="宋体" w:hAnsi="宋体" w:cs="宋体"/>
                <w:kern w:val="0"/>
                <w:sz w:val="22"/>
                <w:szCs w:val="22"/>
              </w:rPr>
              <w:t>评审标准</w:t>
            </w:r>
          </w:p>
        </w:tc>
      </w:tr>
      <w:tr w14:paraId="064991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7" w:hRule="exact"/>
          <w:jc w:val="center"/>
        </w:trPr>
        <w:tc>
          <w:tcPr>
            <w:tcW w:w="1368" w:type="dxa"/>
            <w:vMerge w:val="restart"/>
            <w:vAlign w:val="center"/>
          </w:tcPr>
          <w:p w14:paraId="0886F4AD">
            <w:pPr>
              <w:spacing w:line="280" w:lineRule="exact"/>
              <w:jc w:val="center"/>
              <w:rPr>
                <w:rFonts w:ascii="宋体"/>
                <w:kern w:val="0"/>
                <w:sz w:val="22"/>
                <w:szCs w:val="22"/>
              </w:rPr>
            </w:pPr>
            <w:r>
              <w:rPr>
                <w:rFonts w:hint="eastAsia" w:ascii="宋体" w:hAnsi="宋体" w:cs="宋体"/>
                <w:kern w:val="0"/>
                <w:sz w:val="22"/>
                <w:szCs w:val="22"/>
              </w:rPr>
              <w:t>资格性</w:t>
            </w:r>
          </w:p>
          <w:p w14:paraId="56148DCD">
            <w:pPr>
              <w:spacing w:line="280" w:lineRule="exact"/>
              <w:jc w:val="center"/>
              <w:rPr>
                <w:rFonts w:ascii="宋体"/>
                <w:kern w:val="0"/>
                <w:sz w:val="22"/>
                <w:szCs w:val="22"/>
              </w:rPr>
            </w:pPr>
            <w:r>
              <w:rPr>
                <w:rFonts w:hint="eastAsia" w:ascii="宋体" w:hAnsi="宋体" w:cs="宋体"/>
                <w:kern w:val="0"/>
                <w:sz w:val="22"/>
                <w:szCs w:val="22"/>
              </w:rPr>
              <w:t>检查</w:t>
            </w:r>
          </w:p>
        </w:tc>
        <w:tc>
          <w:tcPr>
            <w:tcW w:w="2450" w:type="dxa"/>
            <w:vAlign w:val="center"/>
          </w:tcPr>
          <w:p w14:paraId="363EF9C1">
            <w:pPr>
              <w:spacing w:line="280" w:lineRule="exact"/>
              <w:jc w:val="left"/>
              <w:rPr>
                <w:rFonts w:ascii="宋体"/>
                <w:kern w:val="0"/>
                <w:sz w:val="22"/>
                <w:szCs w:val="22"/>
              </w:rPr>
            </w:pPr>
            <w:r>
              <w:rPr>
                <w:rFonts w:hint="eastAsia" w:ascii="宋体" w:hAnsi="宋体" w:cs="宋体"/>
                <w:kern w:val="0"/>
                <w:sz w:val="22"/>
                <w:szCs w:val="22"/>
              </w:rPr>
              <w:t>具有独立承担民事责任的能力</w:t>
            </w:r>
          </w:p>
        </w:tc>
        <w:tc>
          <w:tcPr>
            <w:tcW w:w="5110" w:type="dxa"/>
            <w:vAlign w:val="center"/>
          </w:tcPr>
          <w:p w14:paraId="5C3D2EBC">
            <w:pPr>
              <w:spacing w:line="280" w:lineRule="exact"/>
              <w:jc w:val="left"/>
              <w:rPr>
                <w:rFonts w:ascii="宋体"/>
                <w:kern w:val="0"/>
                <w:sz w:val="22"/>
                <w:szCs w:val="22"/>
              </w:rPr>
            </w:pPr>
            <w:r>
              <w:rPr>
                <w:rFonts w:hint="eastAsia" w:ascii="宋体" w:hAnsi="宋体" w:cs="宋体"/>
                <w:kern w:val="0"/>
                <w:sz w:val="22"/>
                <w:szCs w:val="22"/>
              </w:rPr>
              <w:t>审查法人或其他组织的营业执照、税务登记证、组织机构代码证；【</w:t>
            </w:r>
            <w:r>
              <w:rPr>
                <w:rFonts w:hint="eastAsia" w:ascii="宋体" w:hAnsi="宋体" w:cs="宋体"/>
                <w:sz w:val="22"/>
                <w:szCs w:val="22"/>
              </w:rPr>
              <w:t>“三证合一”的证件为有效证件</w:t>
            </w:r>
            <w:r>
              <w:rPr>
                <w:rFonts w:hint="eastAsia" w:ascii="宋体" w:hAnsi="宋体" w:cs="宋体"/>
                <w:kern w:val="0"/>
                <w:sz w:val="22"/>
                <w:szCs w:val="22"/>
              </w:rPr>
              <w:t>】等资格证明文件，确认供应商具有独立承担民事责任的能力。</w:t>
            </w:r>
          </w:p>
        </w:tc>
      </w:tr>
      <w:tr w14:paraId="2D1B02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9" w:hRule="atLeast"/>
          <w:jc w:val="center"/>
        </w:trPr>
        <w:tc>
          <w:tcPr>
            <w:tcW w:w="1368" w:type="dxa"/>
            <w:vMerge w:val="continue"/>
            <w:vAlign w:val="center"/>
          </w:tcPr>
          <w:p w14:paraId="56AD78E3">
            <w:pPr>
              <w:spacing w:line="280" w:lineRule="exact"/>
              <w:jc w:val="left"/>
              <w:rPr>
                <w:rFonts w:ascii="宋体"/>
                <w:kern w:val="0"/>
                <w:sz w:val="22"/>
                <w:szCs w:val="22"/>
              </w:rPr>
            </w:pPr>
          </w:p>
        </w:tc>
        <w:tc>
          <w:tcPr>
            <w:tcW w:w="2450" w:type="dxa"/>
            <w:vAlign w:val="center"/>
          </w:tcPr>
          <w:p w14:paraId="5CD52602">
            <w:pPr>
              <w:spacing w:line="280" w:lineRule="exact"/>
              <w:jc w:val="left"/>
              <w:rPr>
                <w:rFonts w:ascii="宋体"/>
                <w:kern w:val="0"/>
                <w:sz w:val="22"/>
                <w:szCs w:val="22"/>
              </w:rPr>
            </w:pPr>
            <w:r>
              <w:rPr>
                <w:rFonts w:hint="eastAsia" w:ascii="宋体" w:hAnsi="宋体" w:cs="宋体"/>
                <w:kern w:val="0"/>
                <w:sz w:val="22"/>
                <w:szCs w:val="22"/>
              </w:rPr>
              <w:t>具有履行合同所必需的设备和专业技术能力</w:t>
            </w:r>
          </w:p>
        </w:tc>
        <w:tc>
          <w:tcPr>
            <w:tcW w:w="5110" w:type="dxa"/>
            <w:vAlign w:val="center"/>
          </w:tcPr>
          <w:p w14:paraId="09D0DD40">
            <w:pPr>
              <w:spacing w:line="280" w:lineRule="exact"/>
              <w:jc w:val="left"/>
              <w:rPr>
                <w:rFonts w:ascii="宋体"/>
                <w:kern w:val="0"/>
                <w:sz w:val="22"/>
                <w:szCs w:val="22"/>
              </w:rPr>
            </w:pPr>
            <w:r>
              <w:rPr>
                <w:rFonts w:hint="eastAsia" w:ascii="宋体" w:hAnsi="宋体" w:cs="宋体"/>
                <w:sz w:val="22"/>
                <w:szCs w:val="22"/>
              </w:rPr>
              <w:t>审查</w:t>
            </w:r>
            <w:r>
              <w:rPr>
                <w:rFonts w:hint="eastAsia" w:ascii="宋体" w:hAnsi="宋体" w:cs="宋体"/>
                <w:kern w:val="0"/>
                <w:sz w:val="22"/>
                <w:szCs w:val="22"/>
              </w:rPr>
              <w:t>具备履行合同所必需的设备和专业技术能力的证明材料，确认具有履行合同所必须的设备和专业技术能力。</w:t>
            </w:r>
          </w:p>
        </w:tc>
      </w:tr>
      <w:tr w14:paraId="711D6E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1" w:hRule="atLeast"/>
          <w:jc w:val="center"/>
        </w:trPr>
        <w:tc>
          <w:tcPr>
            <w:tcW w:w="1368" w:type="dxa"/>
            <w:vMerge w:val="continue"/>
            <w:vAlign w:val="center"/>
          </w:tcPr>
          <w:p w14:paraId="60624B79">
            <w:pPr>
              <w:spacing w:line="280" w:lineRule="exact"/>
              <w:jc w:val="left"/>
              <w:rPr>
                <w:rFonts w:ascii="宋体"/>
                <w:kern w:val="0"/>
                <w:sz w:val="22"/>
                <w:szCs w:val="22"/>
              </w:rPr>
            </w:pPr>
          </w:p>
        </w:tc>
        <w:tc>
          <w:tcPr>
            <w:tcW w:w="2450" w:type="dxa"/>
            <w:vAlign w:val="center"/>
          </w:tcPr>
          <w:p w14:paraId="5304C6F7">
            <w:pPr>
              <w:spacing w:line="280" w:lineRule="exact"/>
              <w:jc w:val="left"/>
              <w:rPr>
                <w:rFonts w:ascii="宋体"/>
                <w:kern w:val="0"/>
                <w:sz w:val="22"/>
                <w:szCs w:val="22"/>
              </w:rPr>
            </w:pPr>
            <w:r>
              <w:rPr>
                <w:rFonts w:hint="eastAsia" w:ascii="宋体" w:hAnsi="宋体" w:cs="宋体"/>
                <w:kern w:val="0"/>
                <w:sz w:val="22"/>
                <w:szCs w:val="22"/>
              </w:rPr>
              <w:t>参加政府采购活动前</w:t>
            </w:r>
            <w:r>
              <w:rPr>
                <w:rFonts w:ascii="宋体" w:hAnsi="宋体" w:cs="宋体"/>
                <w:kern w:val="0"/>
                <w:sz w:val="22"/>
                <w:szCs w:val="22"/>
              </w:rPr>
              <w:t>3</w:t>
            </w:r>
            <w:r>
              <w:rPr>
                <w:rFonts w:hint="eastAsia" w:ascii="宋体" w:hAnsi="宋体" w:cs="宋体"/>
                <w:kern w:val="0"/>
                <w:sz w:val="22"/>
                <w:szCs w:val="22"/>
              </w:rPr>
              <w:t>年内，在经营活动中没有重大违法记录</w:t>
            </w:r>
          </w:p>
        </w:tc>
        <w:tc>
          <w:tcPr>
            <w:tcW w:w="5110" w:type="dxa"/>
            <w:vAlign w:val="center"/>
          </w:tcPr>
          <w:p w14:paraId="3A1E5C1C">
            <w:pPr>
              <w:spacing w:line="280" w:lineRule="exact"/>
              <w:jc w:val="left"/>
              <w:rPr>
                <w:rFonts w:ascii="宋体"/>
                <w:sz w:val="22"/>
                <w:szCs w:val="22"/>
              </w:rPr>
            </w:pPr>
            <w:r>
              <w:rPr>
                <w:rFonts w:hint="eastAsia" w:ascii="宋体" w:hAnsi="宋体" w:cs="宋体"/>
                <w:kern w:val="0"/>
                <w:sz w:val="22"/>
                <w:szCs w:val="22"/>
              </w:rPr>
              <w:t>审查参加政府采购活动前</w:t>
            </w:r>
            <w:r>
              <w:rPr>
                <w:rFonts w:ascii="宋体" w:hAnsi="宋体" w:cs="宋体"/>
                <w:kern w:val="0"/>
                <w:sz w:val="22"/>
                <w:szCs w:val="22"/>
              </w:rPr>
              <w:t>3</w:t>
            </w:r>
            <w:r>
              <w:rPr>
                <w:rFonts w:hint="eastAsia" w:ascii="宋体" w:hAnsi="宋体" w:cs="宋体"/>
                <w:kern w:val="0"/>
                <w:sz w:val="22"/>
                <w:szCs w:val="22"/>
              </w:rPr>
              <w:t>年内在经营活动中没有重大违法记录、严重违约及重大质量问题的书面声明。</w:t>
            </w:r>
          </w:p>
        </w:tc>
      </w:tr>
      <w:tr w14:paraId="528D57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3" w:hRule="atLeast"/>
          <w:jc w:val="center"/>
        </w:trPr>
        <w:tc>
          <w:tcPr>
            <w:tcW w:w="1368" w:type="dxa"/>
            <w:vMerge w:val="continue"/>
            <w:vAlign w:val="center"/>
          </w:tcPr>
          <w:p w14:paraId="43AD3F4F">
            <w:pPr>
              <w:spacing w:line="280" w:lineRule="exact"/>
              <w:jc w:val="left"/>
              <w:rPr>
                <w:rFonts w:ascii="宋体"/>
                <w:kern w:val="0"/>
                <w:sz w:val="22"/>
                <w:szCs w:val="22"/>
              </w:rPr>
            </w:pPr>
          </w:p>
        </w:tc>
        <w:tc>
          <w:tcPr>
            <w:tcW w:w="2450" w:type="dxa"/>
            <w:vAlign w:val="center"/>
          </w:tcPr>
          <w:p w14:paraId="5505C252">
            <w:pPr>
              <w:spacing w:line="280" w:lineRule="exact"/>
              <w:jc w:val="left"/>
              <w:rPr>
                <w:rFonts w:ascii="宋体"/>
                <w:kern w:val="0"/>
                <w:sz w:val="22"/>
                <w:szCs w:val="22"/>
              </w:rPr>
            </w:pPr>
            <w:r>
              <w:rPr>
                <w:rFonts w:hint="eastAsia" w:ascii="宋体" w:hAnsi="宋体" w:cs="宋体"/>
                <w:kern w:val="0"/>
                <w:sz w:val="22"/>
                <w:szCs w:val="22"/>
              </w:rPr>
              <w:t>营业执照</w:t>
            </w:r>
          </w:p>
        </w:tc>
        <w:tc>
          <w:tcPr>
            <w:tcW w:w="5110" w:type="dxa"/>
            <w:vAlign w:val="center"/>
          </w:tcPr>
          <w:p w14:paraId="7078B42C">
            <w:pPr>
              <w:spacing w:line="280" w:lineRule="exact"/>
              <w:jc w:val="left"/>
              <w:rPr>
                <w:rFonts w:ascii="宋体"/>
                <w:kern w:val="0"/>
                <w:sz w:val="22"/>
                <w:szCs w:val="22"/>
              </w:rPr>
            </w:pPr>
            <w:r>
              <w:rPr>
                <w:rFonts w:hint="eastAsia" w:ascii="宋体" w:hAnsi="宋体" w:cs="宋体"/>
                <w:kern w:val="0"/>
                <w:sz w:val="22"/>
                <w:szCs w:val="22"/>
              </w:rPr>
              <w:t>具备有效的营业执照，经营范围符合本项目招标内容要求。</w:t>
            </w:r>
          </w:p>
        </w:tc>
      </w:tr>
      <w:tr w14:paraId="260C65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1" w:hRule="exact"/>
          <w:jc w:val="center"/>
        </w:trPr>
        <w:tc>
          <w:tcPr>
            <w:tcW w:w="1368" w:type="dxa"/>
            <w:vMerge w:val="continue"/>
            <w:vAlign w:val="center"/>
          </w:tcPr>
          <w:p w14:paraId="3AD887E3">
            <w:pPr>
              <w:spacing w:line="280" w:lineRule="exact"/>
              <w:jc w:val="left"/>
              <w:rPr>
                <w:rFonts w:ascii="宋体"/>
                <w:kern w:val="0"/>
                <w:sz w:val="22"/>
                <w:szCs w:val="22"/>
              </w:rPr>
            </w:pPr>
          </w:p>
        </w:tc>
        <w:tc>
          <w:tcPr>
            <w:tcW w:w="2450" w:type="dxa"/>
            <w:vAlign w:val="center"/>
          </w:tcPr>
          <w:p w14:paraId="34E38C47">
            <w:pPr>
              <w:spacing w:line="280" w:lineRule="exact"/>
              <w:jc w:val="left"/>
              <w:rPr>
                <w:rFonts w:ascii="宋体"/>
                <w:kern w:val="0"/>
                <w:sz w:val="22"/>
                <w:szCs w:val="22"/>
              </w:rPr>
            </w:pPr>
            <w:r>
              <w:rPr>
                <w:rFonts w:hint="eastAsia" w:ascii="宋体" w:hAnsi="宋体" w:cs="宋体"/>
                <w:kern w:val="0"/>
                <w:sz w:val="22"/>
                <w:szCs w:val="22"/>
              </w:rPr>
              <w:t>投标资格、企业经营权</w:t>
            </w:r>
          </w:p>
        </w:tc>
        <w:tc>
          <w:tcPr>
            <w:tcW w:w="5110" w:type="dxa"/>
            <w:vAlign w:val="center"/>
          </w:tcPr>
          <w:p w14:paraId="09EA8CA8">
            <w:pPr>
              <w:spacing w:line="280" w:lineRule="exact"/>
              <w:jc w:val="left"/>
              <w:rPr>
                <w:rFonts w:ascii="宋体"/>
                <w:kern w:val="0"/>
                <w:sz w:val="22"/>
                <w:szCs w:val="22"/>
              </w:rPr>
            </w:pPr>
            <w:r>
              <w:rPr>
                <w:rFonts w:hint="eastAsia" w:ascii="宋体" w:hAnsi="宋体" w:cs="宋体"/>
                <w:kern w:val="0"/>
                <w:sz w:val="22"/>
                <w:szCs w:val="22"/>
              </w:rPr>
              <w:t>投标资格、企业经营权有效，投标资格没有被取消或暂停，没有处于被责令停业，财产被接管，冻结、破产状态。</w:t>
            </w:r>
          </w:p>
        </w:tc>
      </w:tr>
      <w:tr w14:paraId="14A0C6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66" w:hRule="exact"/>
          <w:jc w:val="center"/>
        </w:trPr>
        <w:tc>
          <w:tcPr>
            <w:tcW w:w="1368" w:type="dxa"/>
            <w:vMerge w:val="continue"/>
            <w:vAlign w:val="center"/>
          </w:tcPr>
          <w:p w14:paraId="78C0BBE8">
            <w:pPr>
              <w:spacing w:line="280" w:lineRule="exact"/>
              <w:jc w:val="left"/>
              <w:rPr>
                <w:rFonts w:ascii="宋体"/>
                <w:kern w:val="0"/>
                <w:sz w:val="22"/>
                <w:szCs w:val="22"/>
              </w:rPr>
            </w:pPr>
          </w:p>
        </w:tc>
        <w:tc>
          <w:tcPr>
            <w:tcW w:w="2450" w:type="dxa"/>
            <w:vAlign w:val="center"/>
          </w:tcPr>
          <w:p w14:paraId="02E13C76">
            <w:pPr>
              <w:spacing w:line="280" w:lineRule="exact"/>
              <w:jc w:val="left"/>
              <w:rPr>
                <w:rFonts w:ascii="宋体"/>
                <w:kern w:val="0"/>
                <w:sz w:val="22"/>
                <w:szCs w:val="22"/>
              </w:rPr>
            </w:pPr>
            <w:r>
              <w:rPr>
                <w:rFonts w:hint="eastAsia" w:ascii="宋体" w:hAnsi="宋体" w:cs="宋体"/>
                <w:kern w:val="0"/>
                <w:sz w:val="22"/>
                <w:szCs w:val="22"/>
              </w:rPr>
              <w:t>信用查询</w:t>
            </w:r>
          </w:p>
        </w:tc>
        <w:tc>
          <w:tcPr>
            <w:tcW w:w="5110" w:type="dxa"/>
            <w:vAlign w:val="center"/>
          </w:tcPr>
          <w:p w14:paraId="08A612C1">
            <w:pPr>
              <w:spacing w:line="280" w:lineRule="exact"/>
              <w:jc w:val="left"/>
              <w:rPr>
                <w:rFonts w:ascii="宋体"/>
                <w:kern w:val="0"/>
                <w:sz w:val="22"/>
                <w:szCs w:val="22"/>
              </w:rPr>
            </w:pPr>
            <w:r>
              <w:rPr>
                <w:rFonts w:hint="eastAsia" w:ascii="宋体" w:hAnsi="宋体" w:cs="宋体"/>
                <w:kern w:val="0"/>
                <w:sz w:val="22"/>
                <w:szCs w:val="22"/>
              </w:rPr>
              <w:t>供应商未被列入“信用中国”网站</w:t>
            </w:r>
            <w:r>
              <w:rPr>
                <w:rFonts w:ascii="宋体" w:hAnsi="宋体" w:cs="宋体"/>
                <w:kern w:val="0"/>
                <w:sz w:val="22"/>
                <w:szCs w:val="22"/>
              </w:rPr>
              <w:t>(www.creditchina.gov.cn)</w:t>
            </w:r>
            <w:r>
              <w:rPr>
                <w:rFonts w:hint="eastAsia" w:ascii="宋体" w:hAnsi="宋体" w:cs="宋体"/>
                <w:kern w:val="0"/>
                <w:sz w:val="22"/>
                <w:szCs w:val="22"/>
              </w:rPr>
              <w:t>记录失信被执行人或重大税收违法案件当事人名单或政府采购严重违法失信行为记录名单；不处于中国政府采购网</w:t>
            </w:r>
            <w:r>
              <w:rPr>
                <w:rFonts w:ascii="宋体" w:hAnsi="宋体" w:cs="宋体"/>
                <w:kern w:val="0"/>
                <w:sz w:val="22"/>
                <w:szCs w:val="22"/>
              </w:rPr>
              <w:t>(www.ccgp.gov.cn)</w:t>
            </w:r>
            <w:r>
              <w:rPr>
                <w:rFonts w:hint="eastAsia" w:ascii="宋体" w:hAnsi="宋体" w:cs="宋体"/>
                <w:kern w:val="0"/>
                <w:sz w:val="22"/>
                <w:szCs w:val="22"/>
              </w:rPr>
              <w:t>政府采购严重违法失信行为信息记录中的禁止参加政府采购活动期间的方可参加本项目的投标；</w:t>
            </w:r>
          </w:p>
        </w:tc>
      </w:tr>
      <w:tr w14:paraId="41A0CA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1" w:hRule="exact"/>
          <w:jc w:val="center"/>
        </w:trPr>
        <w:tc>
          <w:tcPr>
            <w:tcW w:w="1368" w:type="dxa"/>
            <w:vMerge w:val="continue"/>
            <w:vAlign w:val="center"/>
          </w:tcPr>
          <w:p w14:paraId="70721C3E">
            <w:pPr>
              <w:spacing w:line="280" w:lineRule="exact"/>
              <w:jc w:val="left"/>
              <w:rPr>
                <w:rFonts w:ascii="宋体"/>
                <w:kern w:val="0"/>
                <w:sz w:val="22"/>
                <w:szCs w:val="22"/>
              </w:rPr>
            </w:pPr>
          </w:p>
        </w:tc>
        <w:tc>
          <w:tcPr>
            <w:tcW w:w="2450" w:type="dxa"/>
            <w:shd w:val="clear" w:color="auto" w:fill="auto"/>
            <w:vAlign w:val="center"/>
          </w:tcPr>
          <w:p w14:paraId="2B744A98">
            <w:pPr>
              <w:spacing w:line="280" w:lineRule="exact"/>
              <w:jc w:val="left"/>
              <w:rPr>
                <w:rFonts w:hint="eastAsia" w:ascii="宋体" w:hAnsi="宋体" w:eastAsia="宋体" w:cs="仿宋_GB2312"/>
                <w:kern w:val="0"/>
                <w:sz w:val="22"/>
                <w:szCs w:val="22"/>
                <w:lang w:val="en-US" w:eastAsia="zh-CN" w:bidi="ar-SA"/>
              </w:rPr>
            </w:pPr>
            <w:r>
              <w:rPr>
                <w:rFonts w:hint="eastAsia" w:ascii="宋体" w:hAnsi="宋体" w:cs="仿宋_GB2312"/>
                <w:kern w:val="0"/>
                <w:sz w:val="22"/>
                <w:szCs w:val="22"/>
                <w:lang w:val="en-US" w:eastAsia="zh-CN"/>
              </w:rPr>
              <w:t>非联合体声明</w:t>
            </w:r>
          </w:p>
        </w:tc>
        <w:tc>
          <w:tcPr>
            <w:tcW w:w="5110" w:type="dxa"/>
            <w:shd w:val="clear" w:color="auto" w:fill="auto"/>
            <w:vAlign w:val="center"/>
          </w:tcPr>
          <w:p w14:paraId="40DF5265">
            <w:pPr>
              <w:spacing w:line="280" w:lineRule="exact"/>
              <w:jc w:val="left"/>
              <w:rPr>
                <w:rFonts w:hint="eastAsia" w:ascii="宋体" w:hAnsi="宋体" w:eastAsia="宋体" w:cs="仿宋_GB2312"/>
                <w:kern w:val="0"/>
                <w:sz w:val="22"/>
                <w:szCs w:val="22"/>
                <w:lang w:val="en-US" w:eastAsia="zh-CN" w:bidi="ar-SA"/>
              </w:rPr>
            </w:pPr>
            <w:r>
              <w:rPr>
                <w:rFonts w:hint="eastAsia" w:ascii="宋体" w:hAnsi="宋体" w:cs="宋体"/>
                <w:kern w:val="0"/>
                <w:sz w:val="22"/>
                <w:szCs w:val="22"/>
                <w:lang w:val="en-US" w:eastAsia="zh-CN"/>
              </w:rPr>
              <w:t>本项目不接受联合体投标。</w:t>
            </w:r>
          </w:p>
        </w:tc>
      </w:tr>
      <w:tr w14:paraId="75DC63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exact"/>
          <w:jc w:val="center"/>
        </w:trPr>
        <w:tc>
          <w:tcPr>
            <w:tcW w:w="1368" w:type="dxa"/>
            <w:vMerge w:val="continue"/>
            <w:vAlign w:val="center"/>
          </w:tcPr>
          <w:p w14:paraId="1BF2A44A">
            <w:pPr>
              <w:spacing w:line="280" w:lineRule="exact"/>
              <w:jc w:val="left"/>
              <w:rPr>
                <w:rFonts w:ascii="宋体"/>
                <w:kern w:val="0"/>
                <w:sz w:val="22"/>
                <w:szCs w:val="22"/>
              </w:rPr>
            </w:pPr>
          </w:p>
        </w:tc>
        <w:tc>
          <w:tcPr>
            <w:tcW w:w="2450" w:type="dxa"/>
            <w:vAlign w:val="center"/>
          </w:tcPr>
          <w:p w14:paraId="2E140169">
            <w:pPr>
              <w:spacing w:line="280" w:lineRule="exact"/>
              <w:jc w:val="left"/>
              <w:rPr>
                <w:rFonts w:ascii="宋体"/>
                <w:kern w:val="0"/>
                <w:sz w:val="22"/>
                <w:szCs w:val="22"/>
              </w:rPr>
            </w:pPr>
            <w:r>
              <w:rPr>
                <w:rFonts w:hint="eastAsia" w:ascii="宋体" w:hAnsi="宋体" w:cs="宋体"/>
                <w:kern w:val="0"/>
                <w:sz w:val="22"/>
                <w:szCs w:val="22"/>
              </w:rPr>
              <w:t>其它要求</w:t>
            </w:r>
          </w:p>
        </w:tc>
        <w:tc>
          <w:tcPr>
            <w:tcW w:w="5110" w:type="dxa"/>
            <w:vAlign w:val="center"/>
          </w:tcPr>
          <w:p w14:paraId="680F6495">
            <w:pPr>
              <w:spacing w:line="280" w:lineRule="exact"/>
              <w:jc w:val="left"/>
              <w:rPr>
                <w:rFonts w:ascii="宋体"/>
                <w:kern w:val="0"/>
                <w:sz w:val="22"/>
                <w:szCs w:val="22"/>
              </w:rPr>
            </w:pPr>
            <w:r>
              <w:rPr>
                <w:rFonts w:hint="eastAsia" w:ascii="宋体" w:hAnsi="宋体" w:cs="宋体"/>
                <w:kern w:val="0"/>
                <w:sz w:val="22"/>
                <w:szCs w:val="22"/>
              </w:rPr>
              <w:t>符合</w:t>
            </w:r>
            <w:r>
              <w:rPr>
                <w:rFonts w:ascii="宋体" w:hAnsi="宋体" w:cs="宋体"/>
                <w:kern w:val="0"/>
                <w:sz w:val="22"/>
                <w:szCs w:val="22"/>
              </w:rPr>
              <w:t xml:space="preserve"> </w:t>
            </w:r>
            <w:r>
              <w:rPr>
                <w:rFonts w:hint="eastAsia" w:ascii="宋体" w:hAnsi="宋体" w:cs="宋体"/>
                <w:kern w:val="0"/>
                <w:sz w:val="22"/>
                <w:szCs w:val="22"/>
              </w:rPr>
              <w:t>“供应商须知”其它规定。</w:t>
            </w:r>
          </w:p>
        </w:tc>
      </w:tr>
    </w:tbl>
    <w:p w14:paraId="142A9874">
      <w:pPr>
        <w:adjustRightInd w:val="0"/>
        <w:snapToGrid w:val="0"/>
        <w:spacing w:before="240" w:line="360" w:lineRule="auto"/>
        <w:ind w:firstLine="442" w:firstLineChars="200"/>
        <w:rPr>
          <w:rFonts w:ascii="宋体"/>
          <w:sz w:val="22"/>
          <w:szCs w:val="22"/>
        </w:rPr>
      </w:pPr>
      <w:r>
        <w:rPr>
          <w:rFonts w:ascii="宋体" w:hAnsi="宋体" w:cs="宋体"/>
          <w:b/>
          <w:bCs/>
          <w:sz w:val="22"/>
          <w:szCs w:val="22"/>
        </w:rPr>
        <w:t>2.2</w:t>
      </w:r>
      <w:r>
        <w:rPr>
          <w:rFonts w:hint="eastAsia" w:ascii="宋体" w:hAnsi="宋体" w:cs="宋体"/>
          <w:b/>
          <w:bCs/>
          <w:sz w:val="22"/>
          <w:szCs w:val="22"/>
        </w:rPr>
        <w:t>符合性审查：</w:t>
      </w:r>
      <w:r>
        <w:rPr>
          <w:rFonts w:hint="eastAsia" w:ascii="宋体" w:hAnsi="宋体" w:cs="宋体"/>
          <w:sz w:val="22"/>
          <w:szCs w:val="22"/>
        </w:rPr>
        <w:t>依据《招标文件》的规定，从《投标文件》的有效性、完整性和对《招标文件》的响应程度进行审查，以确定是否对《招标文件》的实质性要求做出响应。</w:t>
      </w:r>
    </w:p>
    <w:p w14:paraId="69799ED0">
      <w:pPr>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符合性审查表：</w:t>
      </w:r>
    </w:p>
    <w:tbl>
      <w:tblPr>
        <w:tblStyle w:val="46"/>
        <w:tblW w:w="8633"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2866"/>
        <w:gridCol w:w="5026"/>
      </w:tblGrid>
      <w:tr w14:paraId="0D5C6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1" w:type="dxa"/>
            <w:tcBorders>
              <w:top w:val="single" w:color="auto" w:sz="4" w:space="0"/>
              <w:left w:val="single" w:color="auto" w:sz="4" w:space="0"/>
              <w:bottom w:val="single" w:color="auto" w:sz="4" w:space="0"/>
              <w:right w:val="single" w:color="auto" w:sz="4" w:space="0"/>
            </w:tcBorders>
            <w:vAlign w:val="top"/>
          </w:tcPr>
          <w:p w14:paraId="2557E888">
            <w:pPr>
              <w:pStyle w:val="36"/>
              <w:ind w:left="0" w:leftChars="0" w:firstLine="0" w:firstLineChars="0"/>
              <w:rPr>
                <w:rFonts w:hint="eastAsia" w:ascii="宋体" w:hAnsi="宋体" w:eastAsia="宋体" w:cs="宋体"/>
                <w:smallCaps w:val="0"/>
                <w:kern w:val="2"/>
                <w:sz w:val="22"/>
                <w:szCs w:val="22"/>
                <w:lang w:val="en-US" w:eastAsia="zh-CN" w:bidi="ar-SA"/>
              </w:rPr>
            </w:pPr>
            <w:r>
              <w:rPr>
                <w:rFonts w:hint="eastAsia" w:ascii="宋体" w:hAnsi="宋体" w:eastAsia="宋体" w:cs="宋体"/>
                <w:smallCaps w:val="0"/>
                <w:kern w:val="2"/>
                <w:sz w:val="22"/>
                <w:szCs w:val="22"/>
                <w:lang w:val="en-US" w:eastAsia="zh-CN" w:bidi="ar-SA"/>
              </w:rPr>
              <w:t>序号</w:t>
            </w:r>
          </w:p>
        </w:tc>
        <w:tc>
          <w:tcPr>
            <w:tcW w:w="2866" w:type="dxa"/>
            <w:tcBorders>
              <w:top w:val="single" w:color="auto" w:sz="4" w:space="0"/>
              <w:left w:val="single" w:color="auto" w:sz="4" w:space="0"/>
              <w:bottom w:val="single" w:color="auto" w:sz="4" w:space="0"/>
              <w:right w:val="single" w:color="auto" w:sz="4" w:space="0"/>
            </w:tcBorders>
            <w:vAlign w:val="top"/>
          </w:tcPr>
          <w:p w14:paraId="79825367">
            <w:pPr>
              <w:pStyle w:val="36"/>
              <w:rPr>
                <w:rFonts w:hint="eastAsia" w:ascii="宋体" w:hAnsi="宋体" w:eastAsia="宋体" w:cs="宋体"/>
                <w:smallCaps w:val="0"/>
                <w:kern w:val="2"/>
                <w:sz w:val="22"/>
                <w:szCs w:val="22"/>
                <w:lang w:val="en-US" w:eastAsia="zh-CN" w:bidi="ar-SA"/>
              </w:rPr>
            </w:pPr>
            <w:r>
              <w:rPr>
                <w:rFonts w:hint="eastAsia" w:ascii="宋体" w:hAnsi="宋体" w:eastAsia="宋体" w:cs="宋体"/>
                <w:smallCaps w:val="0"/>
                <w:kern w:val="2"/>
                <w:sz w:val="22"/>
                <w:szCs w:val="22"/>
                <w:lang w:val="en-US" w:eastAsia="zh-CN" w:bidi="ar-SA"/>
              </w:rPr>
              <w:t>内 容</w:t>
            </w:r>
          </w:p>
        </w:tc>
        <w:tc>
          <w:tcPr>
            <w:tcW w:w="5026" w:type="dxa"/>
            <w:tcBorders>
              <w:top w:val="single" w:color="auto" w:sz="4" w:space="0"/>
              <w:left w:val="single" w:color="auto" w:sz="4" w:space="0"/>
              <w:bottom w:val="single" w:color="auto" w:sz="4" w:space="0"/>
              <w:right w:val="single" w:color="auto" w:sz="4" w:space="0"/>
            </w:tcBorders>
            <w:vAlign w:val="top"/>
          </w:tcPr>
          <w:p w14:paraId="61AE2397">
            <w:pPr>
              <w:pStyle w:val="36"/>
              <w:rPr>
                <w:rFonts w:hint="eastAsia" w:ascii="宋体" w:hAnsi="宋体" w:eastAsia="宋体" w:cs="宋体"/>
                <w:smallCaps w:val="0"/>
                <w:kern w:val="2"/>
                <w:sz w:val="22"/>
                <w:szCs w:val="22"/>
                <w:lang w:val="en-US" w:eastAsia="zh-CN" w:bidi="ar-SA"/>
              </w:rPr>
            </w:pPr>
            <w:r>
              <w:rPr>
                <w:rFonts w:hint="eastAsia" w:ascii="宋体" w:hAnsi="宋体" w:eastAsia="宋体" w:cs="宋体"/>
                <w:smallCaps w:val="0"/>
                <w:kern w:val="2"/>
                <w:sz w:val="22"/>
                <w:szCs w:val="22"/>
                <w:lang w:val="en-US" w:eastAsia="zh-CN" w:bidi="ar-SA"/>
              </w:rPr>
              <w:t>标 准</w:t>
            </w:r>
          </w:p>
        </w:tc>
      </w:tr>
      <w:tr w14:paraId="2A065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741" w:type="dxa"/>
            <w:tcBorders>
              <w:top w:val="single" w:color="auto" w:sz="4" w:space="0"/>
              <w:left w:val="single" w:color="auto" w:sz="4" w:space="0"/>
              <w:bottom w:val="single" w:color="auto" w:sz="4" w:space="0"/>
              <w:right w:val="single" w:color="auto" w:sz="4" w:space="0"/>
            </w:tcBorders>
            <w:vAlign w:val="center"/>
          </w:tcPr>
          <w:p w14:paraId="2475ED2C">
            <w:pPr>
              <w:pStyle w:val="36"/>
              <w:rPr>
                <w:rFonts w:hint="eastAsia" w:ascii="宋体" w:hAnsi="宋体" w:eastAsia="宋体" w:cs="宋体"/>
                <w:smallCaps w:val="0"/>
                <w:kern w:val="2"/>
                <w:sz w:val="22"/>
                <w:szCs w:val="22"/>
                <w:lang w:val="en-US" w:eastAsia="zh-CN" w:bidi="ar-SA"/>
              </w:rPr>
            </w:pPr>
            <w:r>
              <w:rPr>
                <w:rFonts w:hint="eastAsia" w:ascii="宋体" w:hAnsi="宋体" w:eastAsia="宋体" w:cs="宋体"/>
                <w:smallCaps w:val="0"/>
                <w:kern w:val="2"/>
                <w:sz w:val="22"/>
                <w:szCs w:val="22"/>
                <w:lang w:val="en-US" w:eastAsia="zh-CN" w:bidi="ar-SA"/>
              </w:rPr>
              <w:t>1</w:t>
            </w:r>
          </w:p>
        </w:tc>
        <w:tc>
          <w:tcPr>
            <w:tcW w:w="2866" w:type="dxa"/>
            <w:tcBorders>
              <w:top w:val="single" w:color="auto" w:sz="4" w:space="0"/>
              <w:left w:val="single" w:color="auto" w:sz="4" w:space="0"/>
              <w:bottom w:val="single" w:color="auto" w:sz="4" w:space="0"/>
              <w:right w:val="single" w:color="auto" w:sz="4" w:space="0"/>
            </w:tcBorders>
            <w:vAlign w:val="center"/>
          </w:tcPr>
          <w:p w14:paraId="64E17AE7">
            <w:pPr>
              <w:pStyle w:val="36"/>
              <w:rPr>
                <w:rFonts w:hint="eastAsia" w:ascii="宋体" w:hAnsi="宋体" w:eastAsia="宋体" w:cs="宋体"/>
                <w:smallCaps w:val="0"/>
                <w:kern w:val="2"/>
                <w:sz w:val="22"/>
                <w:szCs w:val="22"/>
                <w:lang w:val="en-US" w:eastAsia="zh-CN" w:bidi="ar-SA"/>
              </w:rPr>
            </w:pPr>
            <w:r>
              <w:rPr>
                <w:rFonts w:hint="eastAsia" w:ascii="宋体" w:hAnsi="宋体" w:eastAsia="宋体" w:cs="宋体"/>
                <w:smallCaps w:val="0"/>
                <w:kern w:val="2"/>
                <w:sz w:val="22"/>
                <w:szCs w:val="22"/>
                <w:lang w:val="en-US" w:eastAsia="zh-CN" w:bidi="ar-SA"/>
              </w:rPr>
              <w:t>电子投标文件的</w:t>
            </w:r>
          </w:p>
          <w:p w14:paraId="35442736">
            <w:pPr>
              <w:pStyle w:val="36"/>
              <w:rPr>
                <w:rFonts w:hint="eastAsia" w:ascii="宋体" w:hAnsi="宋体" w:eastAsia="宋体" w:cs="宋体"/>
                <w:smallCaps w:val="0"/>
                <w:kern w:val="2"/>
                <w:sz w:val="22"/>
                <w:szCs w:val="22"/>
                <w:lang w:val="en-US" w:eastAsia="zh-CN" w:bidi="ar-SA"/>
              </w:rPr>
            </w:pPr>
            <w:r>
              <w:rPr>
                <w:rFonts w:hint="eastAsia" w:ascii="宋体" w:hAnsi="宋体" w:eastAsia="宋体" w:cs="宋体"/>
                <w:smallCaps w:val="0"/>
                <w:kern w:val="2"/>
                <w:sz w:val="22"/>
                <w:szCs w:val="22"/>
                <w:lang w:val="en-US" w:eastAsia="zh-CN" w:bidi="ar-SA"/>
              </w:rPr>
              <w:t>签署、盖章</w:t>
            </w:r>
          </w:p>
        </w:tc>
        <w:tc>
          <w:tcPr>
            <w:tcW w:w="5026" w:type="dxa"/>
            <w:tcBorders>
              <w:top w:val="single" w:color="auto" w:sz="4" w:space="0"/>
              <w:left w:val="single" w:color="auto" w:sz="4" w:space="0"/>
              <w:bottom w:val="single" w:color="auto" w:sz="4" w:space="0"/>
              <w:right w:val="single" w:color="auto" w:sz="4" w:space="0"/>
            </w:tcBorders>
            <w:vAlign w:val="center"/>
          </w:tcPr>
          <w:p w14:paraId="264F638C">
            <w:pPr>
              <w:pStyle w:val="36"/>
              <w:rPr>
                <w:rFonts w:hint="eastAsia" w:ascii="宋体" w:hAnsi="宋体" w:eastAsia="宋体" w:cs="宋体"/>
                <w:smallCaps w:val="0"/>
                <w:kern w:val="2"/>
                <w:sz w:val="22"/>
                <w:szCs w:val="22"/>
                <w:lang w:val="en-US" w:eastAsia="zh-CN" w:bidi="ar-SA"/>
              </w:rPr>
            </w:pPr>
            <w:r>
              <w:rPr>
                <w:rFonts w:hint="eastAsia" w:ascii="宋体" w:hAnsi="宋体" w:eastAsia="宋体" w:cs="宋体"/>
                <w:smallCaps w:val="0"/>
                <w:kern w:val="2"/>
                <w:sz w:val="22"/>
                <w:szCs w:val="22"/>
                <w:lang w:val="en-US" w:eastAsia="zh-CN" w:bidi="ar-SA"/>
              </w:rPr>
              <w:t>是否按招标文件要求签署、盖章</w:t>
            </w:r>
          </w:p>
        </w:tc>
      </w:tr>
      <w:tr w14:paraId="26941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tcBorders>
              <w:top w:val="single" w:color="auto" w:sz="4" w:space="0"/>
              <w:left w:val="single" w:color="auto" w:sz="4" w:space="0"/>
              <w:bottom w:val="single" w:color="auto" w:sz="4" w:space="0"/>
              <w:right w:val="single" w:color="auto" w:sz="4" w:space="0"/>
            </w:tcBorders>
            <w:vAlign w:val="center"/>
          </w:tcPr>
          <w:p w14:paraId="31BACE40">
            <w:pPr>
              <w:pStyle w:val="36"/>
              <w:rPr>
                <w:rFonts w:hint="eastAsia" w:ascii="宋体" w:hAnsi="宋体" w:eastAsia="宋体" w:cs="宋体"/>
                <w:smallCaps w:val="0"/>
                <w:kern w:val="2"/>
                <w:sz w:val="22"/>
                <w:szCs w:val="22"/>
                <w:lang w:val="en-US" w:eastAsia="zh-CN" w:bidi="ar-SA"/>
              </w:rPr>
            </w:pPr>
            <w:r>
              <w:rPr>
                <w:rFonts w:hint="eastAsia" w:ascii="宋体" w:hAnsi="宋体" w:eastAsia="宋体" w:cs="宋体"/>
                <w:smallCaps w:val="0"/>
                <w:kern w:val="2"/>
                <w:sz w:val="22"/>
                <w:szCs w:val="22"/>
                <w:lang w:val="en-US" w:eastAsia="zh-CN" w:bidi="ar-SA"/>
              </w:rPr>
              <w:t>2</w:t>
            </w:r>
          </w:p>
        </w:tc>
        <w:tc>
          <w:tcPr>
            <w:tcW w:w="2866" w:type="dxa"/>
            <w:tcBorders>
              <w:top w:val="single" w:color="auto" w:sz="4" w:space="0"/>
              <w:left w:val="single" w:color="auto" w:sz="4" w:space="0"/>
              <w:bottom w:val="single" w:color="auto" w:sz="4" w:space="0"/>
              <w:right w:val="single" w:color="auto" w:sz="4" w:space="0"/>
            </w:tcBorders>
            <w:vAlign w:val="center"/>
          </w:tcPr>
          <w:p w14:paraId="4ECC54F5">
            <w:pPr>
              <w:pStyle w:val="36"/>
              <w:rPr>
                <w:rFonts w:hint="eastAsia" w:ascii="宋体" w:hAnsi="宋体" w:eastAsia="宋体" w:cs="宋体"/>
                <w:smallCaps w:val="0"/>
                <w:kern w:val="2"/>
                <w:sz w:val="22"/>
                <w:szCs w:val="22"/>
                <w:lang w:val="en-US" w:eastAsia="zh-CN" w:bidi="ar-SA"/>
              </w:rPr>
            </w:pPr>
            <w:r>
              <w:rPr>
                <w:rFonts w:hint="eastAsia" w:ascii="宋体" w:hAnsi="宋体" w:eastAsia="宋体" w:cs="宋体"/>
                <w:smallCaps w:val="0"/>
                <w:kern w:val="2"/>
                <w:sz w:val="22"/>
                <w:szCs w:val="22"/>
                <w:lang w:val="en-US" w:eastAsia="zh-CN" w:bidi="ar-SA"/>
              </w:rPr>
              <w:t>投标函、商务响应表、</w:t>
            </w:r>
          </w:p>
          <w:p w14:paraId="652542A1">
            <w:pPr>
              <w:pStyle w:val="36"/>
              <w:rPr>
                <w:rFonts w:hint="eastAsia" w:ascii="宋体" w:hAnsi="宋体" w:eastAsia="宋体" w:cs="宋体"/>
                <w:smallCaps w:val="0"/>
                <w:kern w:val="2"/>
                <w:sz w:val="22"/>
                <w:szCs w:val="22"/>
                <w:lang w:val="en-US" w:eastAsia="zh-CN" w:bidi="ar-SA"/>
              </w:rPr>
            </w:pPr>
            <w:r>
              <w:rPr>
                <w:rFonts w:hint="eastAsia" w:ascii="宋体" w:hAnsi="宋体" w:eastAsia="宋体" w:cs="宋体"/>
                <w:smallCaps w:val="0"/>
                <w:kern w:val="2"/>
                <w:sz w:val="22"/>
                <w:szCs w:val="22"/>
                <w:lang w:val="en-US" w:eastAsia="zh-CN" w:bidi="ar-SA"/>
              </w:rPr>
              <w:t>技术响应表</w:t>
            </w:r>
          </w:p>
        </w:tc>
        <w:tc>
          <w:tcPr>
            <w:tcW w:w="5026" w:type="dxa"/>
            <w:tcBorders>
              <w:top w:val="single" w:color="auto" w:sz="4" w:space="0"/>
              <w:left w:val="single" w:color="auto" w:sz="4" w:space="0"/>
              <w:bottom w:val="single" w:color="auto" w:sz="4" w:space="0"/>
              <w:right w:val="single" w:color="auto" w:sz="4" w:space="0"/>
            </w:tcBorders>
            <w:vAlign w:val="center"/>
          </w:tcPr>
          <w:p w14:paraId="6264B86D">
            <w:pPr>
              <w:pStyle w:val="36"/>
              <w:rPr>
                <w:rFonts w:hint="eastAsia" w:ascii="宋体" w:hAnsi="宋体" w:eastAsia="宋体" w:cs="宋体"/>
                <w:smallCaps w:val="0"/>
                <w:kern w:val="2"/>
                <w:sz w:val="22"/>
                <w:szCs w:val="22"/>
                <w:lang w:val="en-US" w:eastAsia="zh-CN" w:bidi="ar-SA"/>
              </w:rPr>
            </w:pPr>
            <w:r>
              <w:rPr>
                <w:rFonts w:hint="eastAsia" w:ascii="宋体" w:hAnsi="宋体" w:eastAsia="宋体" w:cs="宋体"/>
                <w:smallCaps w:val="0"/>
                <w:kern w:val="2"/>
                <w:sz w:val="22"/>
                <w:szCs w:val="22"/>
                <w:lang w:val="en-US" w:eastAsia="zh-CN" w:bidi="ar-SA"/>
              </w:rPr>
              <w:t>是否提供（如有一项不提供视为无效投标），是否按招标文件要求填写，如未按招标文件要求填写视为无效投标。</w:t>
            </w:r>
          </w:p>
        </w:tc>
      </w:tr>
      <w:tr w14:paraId="2F5B2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3" w:hRule="atLeast"/>
        </w:trPr>
        <w:tc>
          <w:tcPr>
            <w:tcW w:w="741" w:type="dxa"/>
            <w:tcBorders>
              <w:top w:val="single" w:color="auto" w:sz="4" w:space="0"/>
              <w:left w:val="single" w:color="auto" w:sz="4" w:space="0"/>
              <w:bottom w:val="single" w:color="auto" w:sz="4" w:space="0"/>
              <w:right w:val="single" w:color="auto" w:sz="4" w:space="0"/>
            </w:tcBorders>
            <w:vAlign w:val="center"/>
          </w:tcPr>
          <w:p w14:paraId="0BC0ED4B">
            <w:pPr>
              <w:pStyle w:val="36"/>
              <w:rPr>
                <w:rFonts w:hint="eastAsia" w:ascii="宋体" w:hAnsi="宋体" w:eastAsia="宋体" w:cs="宋体"/>
                <w:smallCaps w:val="0"/>
                <w:kern w:val="2"/>
                <w:sz w:val="22"/>
                <w:szCs w:val="22"/>
                <w:lang w:val="en-US" w:eastAsia="zh-CN" w:bidi="ar-SA"/>
              </w:rPr>
            </w:pPr>
            <w:r>
              <w:rPr>
                <w:rFonts w:hint="eastAsia" w:ascii="宋体" w:hAnsi="宋体" w:eastAsia="宋体" w:cs="宋体"/>
                <w:smallCaps w:val="0"/>
                <w:kern w:val="2"/>
                <w:sz w:val="22"/>
                <w:szCs w:val="22"/>
                <w:lang w:val="en-US" w:eastAsia="zh-CN" w:bidi="ar-SA"/>
              </w:rPr>
              <w:t>3</w:t>
            </w:r>
          </w:p>
        </w:tc>
        <w:tc>
          <w:tcPr>
            <w:tcW w:w="2866" w:type="dxa"/>
            <w:tcBorders>
              <w:top w:val="single" w:color="auto" w:sz="4" w:space="0"/>
              <w:left w:val="single" w:color="auto" w:sz="4" w:space="0"/>
              <w:bottom w:val="single" w:color="auto" w:sz="4" w:space="0"/>
              <w:right w:val="single" w:color="auto" w:sz="4" w:space="0"/>
            </w:tcBorders>
            <w:vAlign w:val="center"/>
          </w:tcPr>
          <w:p w14:paraId="3D5F7195">
            <w:pPr>
              <w:pStyle w:val="36"/>
              <w:rPr>
                <w:rFonts w:hint="eastAsia" w:ascii="宋体" w:hAnsi="宋体" w:eastAsia="宋体" w:cs="宋体"/>
                <w:smallCaps w:val="0"/>
                <w:kern w:val="2"/>
                <w:sz w:val="22"/>
                <w:szCs w:val="22"/>
                <w:lang w:val="en-US" w:eastAsia="zh-CN" w:bidi="ar-SA"/>
              </w:rPr>
            </w:pPr>
            <w:r>
              <w:rPr>
                <w:rFonts w:hint="eastAsia" w:ascii="宋体" w:hAnsi="宋体" w:eastAsia="宋体" w:cs="宋体"/>
                <w:smallCaps w:val="0"/>
                <w:kern w:val="2"/>
                <w:sz w:val="22"/>
                <w:szCs w:val="22"/>
                <w:lang w:val="en-US" w:eastAsia="zh-CN" w:bidi="ar-SA"/>
              </w:rPr>
              <w:t>招标文件规定的</w:t>
            </w:r>
          </w:p>
          <w:p w14:paraId="4A8635A5">
            <w:pPr>
              <w:pStyle w:val="36"/>
              <w:rPr>
                <w:rFonts w:hint="eastAsia" w:ascii="宋体" w:hAnsi="宋体" w:eastAsia="宋体" w:cs="宋体"/>
                <w:smallCaps w:val="0"/>
                <w:kern w:val="2"/>
                <w:sz w:val="22"/>
                <w:szCs w:val="22"/>
                <w:lang w:val="en-US" w:eastAsia="zh-CN" w:bidi="ar-SA"/>
              </w:rPr>
            </w:pPr>
            <w:r>
              <w:rPr>
                <w:rFonts w:hint="eastAsia" w:ascii="宋体" w:hAnsi="宋体" w:eastAsia="宋体" w:cs="宋体"/>
                <w:smallCaps w:val="0"/>
                <w:kern w:val="2"/>
                <w:sz w:val="22"/>
                <w:szCs w:val="22"/>
                <w:lang w:val="en-US" w:eastAsia="zh-CN" w:bidi="ar-SA"/>
              </w:rPr>
              <w:t>实质性条款</w:t>
            </w:r>
          </w:p>
        </w:tc>
        <w:tc>
          <w:tcPr>
            <w:tcW w:w="5026" w:type="dxa"/>
            <w:tcBorders>
              <w:top w:val="single" w:color="auto" w:sz="4" w:space="0"/>
              <w:left w:val="single" w:color="auto" w:sz="4" w:space="0"/>
              <w:bottom w:val="single" w:color="auto" w:sz="4" w:space="0"/>
              <w:right w:val="single" w:color="auto" w:sz="4" w:space="0"/>
            </w:tcBorders>
            <w:vAlign w:val="center"/>
          </w:tcPr>
          <w:p w14:paraId="08C394CE">
            <w:pPr>
              <w:pStyle w:val="36"/>
              <w:rPr>
                <w:rFonts w:hint="eastAsia" w:ascii="宋体" w:hAnsi="宋体" w:eastAsia="宋体" w:cs="宋体"/>
                <w:smallCaps w:val="0"/>
                <w:kern w:val="2"/>
                <w:sz w:val="22"/>
                <w:szCs w:val="22"/>
                <w:lang w:val="en-US" w:eastAsia="zh-CN" w:bidi="ar-SA"/>
              </w:rPr>
            </w:pPr>
            <w:r>
              <w:rPr>
                <w:rFonts w:hint="eastAsia" w:ascii="宋体" w:hAnsi="宋体" w:eastAsia="宋体" w:cs="宋体"/>
                <w:smallCaps w:val="0"/>
                <w:kern w:val="2"/>
                <w:sz w:val="22"/>
                <w:szCs w:val="22"/>
                <w:lang w:val="en-US" w:eastAsia="zh-CN" w:bidi="ar-SA"/>
              </w:rPr>
              <w:t>加注“●”号条款（除国家相关强制性标准外）是否实质性响应招标文件</w:t>
            </w:r>
          </w:p>
          <w:p w14:paraId="1504EC1A">
            <w:pPr>
              <w:pStyle w:val="36"/>
              <w:rPr>
                <w:rFonts w:hint="eastAsia" w:ascii="宋体" w:hAnsi="宋体" w:eastAsia="宋体" w:cs="宋体"/>
                <w:smallCaps w:val="0"/>
                <w:kern w:val="2"/>
                <w:sz w:val="22"/>
                <w:szCs w:val="22"/>
                <w:lang w:val="en-US" w:eastAsia="zh-CN" w:bidi="ar-SA"/>
              </w:rPr>
            </w:pPr>
            <w:r>
              <w:rPr>
                <w:rFonts w:hint="eastAsia" w:ascii="宋体" w:hAnsi="宋体" w:eastAsia="宋体" w:cs="宋体"/>
                <w:smallCaps w:val="0"/>
                <w:kern w:val="2"/>
                <w:sz w:val="22"/>
                <w:szCs w:val="22"/>
                <w:lang w:val="en-US" w:eastAsia="zh-CN" w:bidi="ar-SA"/>
              </w:rPr>
              <w:t>（注：如果招标文件没有设置加注“●”号的条款，则视为本项目无实质性条款，评标专家对本项不进行评审。）</w:t>
            </w:r>
          </w:p>
        </w:tc>
      </w:tr>
      <w:tr w14:paraId="53AE2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741" w:type="dxa"/>
            <w:tcBorders>
              <w:top w:val="single" w:color="auto" w:sz="4" w:space="0"/>
              <w:left w:val="single" w:color="auto" w:sz="4" w:space="0"/>
              <w:bottom w:val="single" w:color="auto" w:sz="4" w:space="0"/>
              <w:right w:val="single" w:color="auto" w:sz="4" w:space="0"/>
            </w:tcBorders>
            <w:vAlign w:val="center"/>
          </w:tcPr>
          <w:p w14:paraId="4C6B4B8B">
            <w:pPr>
              <w:pStyle w:val="36"/>
              <w:rPr>
                <w:rFonts w:hint="eastAsia" w:ascii="宋体" w:hAnsi="宋体" w:eastAsia="宋体" w:cs="宋体"/>
                <w:smallCaps w:val="0"/>
                <w:kern w:val="2"/>
                <w:sz w:val="22"/>
                <w:szCs w:val="22"/>
                <w:lang w:val="en-US" w:eastAsia="zh-CN" w:bidi="ar-SA"/>
              </w:rPr>
            </w:pPr>
            <w:r>
              <w:rPr>
                <w:rFonts w:hint="eastAsia" w:ascii="宋体" w:hAnsi="宋体" w:eastAsia="宋体" w:cs="宋体"/>
                <w:smallCaps w:val="0"/>
                <w:kern w:val="2"/>
                <w:sz w:val="22"/>
                <w:szCs w:val="22"/>
                <w:lang w:val="en-US" w:eastAsia="zh-CN" w:bidi="ar-SA"/>
              </w:rPr>
              <w:t>4</w:t>
            </w:r>
          </w:p>
        </w:tc>
        <w:tc>
          <w:tcPr>
            <w:tcW w:w="2866" w:type="dxa"/>
            <w:tcBorders>
              <w:top w:val="single" w:color="auto" w:sz="4" w:space="0"/>
              <w:left w:val="single" w:color="auto" w:sz="4" w:space="0"/>
              <w:bottom w:val="single" w:color="auto" w:sz="4" w:space="0"/>
              <w:right w:val="single" w:color="auto" w:sz="4" w:space="0"/>
            </w:tcBorders>
            <w:vAlign w:val="center"/>
          </w:tcPr>
          <w:p w14:paraId="05EB75E7">
            <w:pPr>
              <w:pStyle w:val="36"/>
              <w:rPr>
                <w:rFonts w:hint="eastAsia" w:ascii="宋体" w:hAnsi="宋体" w:eastAsia="宋体" w:cs="宋体"/>
                <w:smallCaps w:val="0"/>
                <w:kern w:val="2"/>
                <w:sz w:val="22"/>
                <w:szCs w:val="22"/>
                <w:lang w:val="en-US" w:eastAsia="zh-CN" w:bidi="ar-SA"/>
              </w:rPr>
            </w:pPr>
            <w:r>
              <w:rPr>
                <w:rFonts w:hint="eastAsia" w:ascii="宋体" w:hAnsi="宋体" w:eastAsia="宋体" w:cs="宋体"/>
                <w:smallCaps w:val="0"/>
                <w:kern w:val="2"/>
                <w:sz w:val="22"/>
                <w:szCs w:val="22"/>
                <w:lang w:val="en-US" w:eastAsia="zh-CN" w:bidi="ar-SA"/>
              </w:rPr>
              <w:t>国家相关强制性标准</w:t>
            </w:r>
          </w:p>
        </w:tc>
        <w:tc>
          <w:tcPr>
            <w:tcW w:w="5026" w:type="dxa"/>
            <w:tcBorders>
              <w:top w:val="single" w:color="auto" w:sz="4" w:space="0"/>
              <w:left w:val="single" w:color="auto" w:sz="4" w:space="0"/>
              <w:bottom w:val="single" w:color="auto" w:sz="4" w:space="0"/>
              <w:right w:val="single" w:color="auto" w:sz="4" w:space="0"/>
            </w:tcBorders>
            <w:vAlign w:val="center"/>
          </w:tcPr>
          <w:p w14:paraId="2F44BD3B">
            <w:pPr>
              <w:pStyle w:val="36"/>
              <w:rPr>
                <w:rFonts w:hint="eastAsia" w:ascii="宋体" w:hAnsi="宋体" w:eastAsia="宋体" w:cs="宋体"/>
                <w:smallCaps w:val="0"/>
                <w:kern w:val="2"/>
                <w:sz w:val="22"/>
                <w:szCs w:val="22"/>
                <w:lang w:val="en-US" w:eastAsia="zh-CN" w:bidi="ar-SA"/>
              </w:rPr>
            </w:pPr>
            <w:r>
              <w:rPr>
                <w:rFonts w:hint="eastAsia" w:ascii="宋体" w:hAnsi="宋体" w:eastAsia="宋体" w:cs="宋体"/>
                <w:smallCaps w:val="0"/>
                <w:kern w:val="2"/>
                <w:sz w:val="22"/>
                <w:szCs w:val="22"/>
                <w:lang w:val="en-US" w:eastAsia="zh-CN" w:bidi="ar-SA"/>
              </w:rPr>
              <w:t>投标内容是否符合国家相关强制性标准</w:t>
            </w:r>
          </w:p>
          <w:p w14:paraId="06E20F11">
            <w:pPr>
              <w:pStyle w:val="36"/>
              <w:rPr>
                <w:rFonts w:hint="eastAsia" w:ascii="宋体" w:hAnsi="宋体" w:eastAsia="宋体" w:cs="宋体"/>
                <w:smallCaps w:val="0"/>
                <w:kern w:val="2"/>
                <w:sz w:val="22"/>
                <w:szCs w:val="22"/>
                <w:lang w:val="en-US" w:eastAsia="zh-CN" w:bidi="ar-SA"/>
              </w:rPr>
            </w:pPr>
            <w:r>
              <w:rPr>
                <w:rFonts w:hint="eastAsia" w:ascii="宋体" w:hAnsi="宋体" w:eastAsia="宋体" w:cs="宋体"/>
                <w:smallCaps w:val="0"/>
                <w:kern w:val="2"/>
                <w:sz w:val="22"/>
                <w:szCs w:val="22"/>
                <w:lang w:val="en-US" w:eastAsia="zh-CN" w:bidi="ar-SA"/>
              </w:rPr>
              <w:t>（注：如果本项目所采购标的物没有国家强制性标准，评标专家对本项不进行评审。）</w:t>
            </w:r>
          </w:p>
        </w:tc>
      </w:tr>
      <w:tr w14:paraId="3EBCC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741" w:type="dxa"/>
            <w:tcBorders>
              <w:top w:val="single" w:color="auto" w:sz="4" w:space="0"/>
              <w:left w:val="single" w:color="auto" w:sz="4" w:space="0"/>
              <w:bottom w:val="single" w:color="auto" w:sz="4" w:space="0"/>
              <w:right w:val="single" w:color="auto" w:sz="4" w:space="0"/>
            </w:tcBorders>
            <w:vAlign w:val="center"/>
          </w:tcPr>
          <w:p w14:paraId="0AE141F0">
            <w:pPr>
              <w:pStyle w:val="36"/>
              <w:rPr>
                <w:rFonts w:hint="eastAsia" w:ascii="宋体" w:hAnsi="宋体" w:eastAsia="宋体" w:cs="宋体"/>
                <w:smallCaps w:val="0"/>
                <w:kern w:val="2"/>
                <w:sz w:val="22"/>
                <w:szCs w:val="22"/>
                <w:lang w:val="en-US" w:eastAsia="zh-CN" w:bidi="ar-SA"/>
              </w:rPr>
            </w:pPr>
            <w:r>
              <w:rPr>
                <w:rFonts w:hint="eastAsia" w:ascii="宋体" w:hAnsi="宋体" w:eastAsia="宋体" w:cs="宋体"/>
                <w:smallCaps w:val="0"/>
                <w:kern w:val="2"/>
                <w:sz w:val="22"/>
                <w:szCs w:val="22"/>
                <w:lang w:val="en-US" w:eastAsia="zh-CN" w:bidi="ar-SA"/>
              </w:rPr>
              <w:t>5</w:t>
            </w:r>
          </w:p>
        </w:tc>
        <w:tc>
          <w:tcPr>
            <w:tcW w:w="2866" w:type="dxa"/>
            <w:tcBorders>
              <w:top w:val="single" w:color="auto" w:sz="4" w:space="0"/>
              <w:left w:val="single" w:color="auto" w:sz="4" w:space="0"/>
              <w:bottom w:val="single" w:color="auto" w:sz="4" w:space="0"/>
              <w:right w:val="single" w:color="auto" w:sz="4" w:space="0"/>
            </w:tcBorders>
            <w:vAlign w:val="center"/>
          </w:tcPr>
          <w:p w14:paraId="3D8D8027">
            <w:pPr>
              <w:pStyle w:val="36"/>
              <w:rPr>
                <w:rFonts w:hint="eastAsia" w:ascii="宋体" w:hAnsi="宋体" w:eastAsia="宋体" w:cs="宋体"/>
                <w:smallCaps w:val="0"/>
                <w:kern w:val="2"/>
                <w:sz w:val="22"/>
                <w:szCs w:val="22"/>
                <w:lang w:val="en-US" w:eastAsia="zh-CN" w:bidi="ar-SA"/>
              </w:rPr>
            </w:pPr>
            <w:r>
              <w:rPr>
                <w:rFonts w:hint="eastAsia" w:ascii="宋体" w:hAnsi="宋体" w:eastAsia="宋体" w:cs="宋体"/>
                <w:smallCaps w:val="0"/>
                <w:kern w:val="2"/>
                <w:sz w:val="22"/>
                <w:szCs w:val="22"/>
                <w:lang w:val="en-US" w:eastAsia="zh-CN" w:bidi="ar-SA"/>
              </w:rPr>
              <w:t>采购预算或最高限价</w:t>
            </w:r>
          </w:p>
        </w:tc>
        <w:tc>
          <w:tcPr>
            <w:tcW w:w="5026" w:type="dxa"/>
            <w:tcBorders>
              <w:top w:val="single" w:color="auto" w:sz="4" w:space="0"/>
              <w:left w:val="single" w:color="auto" w:sz="4" w:space="0"/>
              <w:bottom w:val="single" w:color="auto" w:sz="4" w:space="0"/>
              <w:right w:val="single" w:color="auto" w:sz="4" w:space="0"/>
            </w:tcBorders>
            <w:vAlign w:val="center"/>
          </w:tcPr>
          <w:p w14:paraId="76B474DD">
            <w:pPr>
              <w:pStyle w:val="36"/>
              <w:rPr>
                <w:rFonts w:hint="eastAsia" w:ascii="宋体" w:hAnsi="宋体" w:eastAsia="宋体" w:cs="宋体"/>
                <w:smallCaps w:val="0"/>
                <w:kern w:val="2"/>
                <w:sz w:val="22"/>
                <w:szCs w:val="22"/>
                <w:lang w:val="en-US" w:eastAsia="zh-CN" w:bidi="ar-SA"/>
              </w:rPr>
            </w:pPr>
            <w:r>
              <w:rPr>
                <w:rFonts w:hint="eastAsia" w:ascii="宋体" w:hAnsi="宋体" w:eastAsia="宋体" w:cs="宋体"/>
                <w:smallCaps w:val="0"/>
                <w:kern w:val="2"/>
                <w:sz w:val="22"/>
                <w:szCs w:val="22"/>
                <w:lang w:val="en-US" w:eastAsia="zh-CN" w:bidi="ar-SA"/>
              </w:rPr>
              <w:t>报价是否超过招标文件中规定的预算金额或者最高限价</w:t>
            </w:r>
          </w:p>
        </w:tc>
      </w:tr>
      <w:tr w14:paraId="24A9C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741" w:type="dxa"/>
            <w:tcBorders>
              <w:top w:val="single" w:color="auto" w:sz="4" w:space="0"/>
              <w:left w:val="single" w:color="auto" w:sz="4" w:space="0"/>
              <w:bottom w:val="single" w:color="auto" w:sz="4" w:space="0"/>
              <w:right w:val="single" w:color="auto" w:sz="4" w:space="0"/>
            </w:tcBorders>
            <w:vAlign w:val="center"/>
          </w:tcPr>
          <w:p w14:paraId="63968495">
            <w:pPr>
              <w:pStyle w:val="36"/>
              <w:rPr>
                <w:rFonts w:hint="eastAsia" w:ascii="宋体" w:hAnsi="宋体" w:eastAsia="宋体" w:cs="宋体"/>
                <w:smallCaps w:val="0"/>
                <w:kern w:val="2"/>
                <w:sz w:val="22"/>
                <w:szCs w:val="22"/>
                <w:lang w:val="en-US" w:eastAsia="zh-CN" w:bidi="ar-SA"/>
              </w:rPr>
            </w:pPr>
            <w:r>
              <w:rPr>
                <w:rFonts w:hint="eastAsia" w:ascii="宋体" w:hAnsi="宋体" w:eastAsia="宋体" w:cs="宋体"/>
                <w:smallCaps w:val="0"/>
                <w:kern w:val="2"/>
                <w:sz w:val="22"/>
                <w:szCs w:val="22"/>
                <w:lang w:val="en-US" w:eastAsia="zh-CN" w:bidi="ar-SA"/>
              </w:rPr>
              <w:t>6</w:t>
            </w:r>
          </w:p>
        </w:tc>
        <w:tc>
          <w:tcPr>
            <w:tcW w:w="2866" w:type="dxa"/>
            <w:tcBorders>
              <w:top w:val="single" w:color="auto" w:sz="4" w:space="0"/>
              <w:left w:val="single" w:color="auto" w:sz="4" w:space="0"/>
              <w:bottom w:val="single" w:color="auto" w:sz="4" w:space="0"/>
              <w:right w:val="single" w:color="auto" w:sz="4" w:space="0"/>
            </w:tcBorders>
            <w:vAlign w:val="top"/>
          </w:tcPr>
          <w:p w14:paraId="5B9BA16C">
            <w:pPr>
              <w:pStyle w:val="36"/>
              <w:rPr>
                <w:rFonts w:hint="eastAsia" w:ascii="宋体" w:hAnsi="宋体" w:eastAsia="宋体" w:cs="宋体"/>
                <w:smallCaps w:val="0"/>
                <w:kern w:val="2"/>
                <w:sz w:val="22"/>
                <w:szCs w:val="22"/>
                <w:lang w:val="en-US" w:eastAsia="zh-CN" w:bidi="ar-SA"/>
              </w:rPr>
            </w:pPr>
            <w:r>
              <w:rPr>
                <w:rFonts w:hint="eastAsia" w:ascii="宋体" w:hAnsi="宋体" w:eastAsia="宋体" w:cs="宋体"/>
                <w:smallCaps w:val="0"/>
                <w:kern w:val="2"/>
                <w:sz w:val="22"/>
                <w:szCs w:val="22"/>
                <w:lang w:val="en-US" w:eastAsia="zh-CN" w:bidi="ar-SA"/>
              </w:rPr>
              <w:t>采购人不能接受的</w:t>
            </w:r>
          </w:p>
          <w:p w14:paraId="6A52C4F8">
            <w:pPr>
              <w:pStyle w:val="36"/>
              <w:rPr>
                <w:rFonts w:hint="eastAsia" w:ascii="宋体" w:hAnsi="宋体" w:eastAsia="宋体" w:cs="宋体"/>
                <w:smallCaps w:val="0"/>
                <w:kern w:val="2"/>
                <w:sz w:val="22"/>
                <w:szCs w:val="22"/>
                <w:lang w:val="en-US" w:eastAsia="zh-CN" w:bidi="ar-SA"/>
              </w:rPr>
            </w:pPr>
            <w:r>
              <w:rPr>
                <w:rFonts w:hint="eastAsia" w:ascii="宋体" w:hAnsi="宋体" w:eastAsia="宋体" w:cs="宋体"/>
                <w:smallCaps w:val="0"/>
                <w:kern w:val="2"/>
                <w:sz w:val="22"/>
                <w:szCs w:val="22"/>
                <w:lang w:val="en-US" w:eastAsia="zh-CN" w:bidi="ar-SA"/>
              </w:rPr>
              <w:t>附加条件</w:t>
            </w:r>
          </w:p>
        </w:tc>
        <w:tc>
          <w:tcPr>
            <w:tcW w:w="5026" w:type="dxa"/>
            <w:tcBorders>
              <w:top w:val="single" w:color="auto" w:sz="4" w:space="0"/>
              <w:left w:val="single" w:color="auto" w:sz="4" w:space="0"/>
              <w:bottom w:val="single" w:color="auto" w:sz="4" w:space="0"/>
              <w:right w:val="single" w:color="auto" w:sz="4" w:space="0"/>
            </w:tcBorders>
            <w:vAlign w:val="top"/>
          </w:tcPr>
          <w:p w14:paraId="189F249D">
            <w:pPr>
              <w:pStyle w:val="36"/>
              <w:rPr>
                <w:rFonts w:hint="eastAsia" w:ascii="宋体" w:hAnsi="宋体" w:eastAsia="宋体" w:cs="宋体"/>
                <w:smallCaps w:val="0"/>
                <w:kern w:val="2"/>
                <w:sz w:val="22"/>
                <w:szCs w:val="22"/>
                <w:lang w:val="en-US" w:eastAsia="zh-CN" w:bidi="ar-SA"/>
              </w:rPr>
            </w:pPr>
            <w:r>
              <w:rPr>
                <w:rFonts w:hint="eastAsia" w:ascii="宋体" w:hAnsi="宋体" w:eastAsia="宋体" w:cs="宋体"/>
                <w:smallCaps w:val="0"/>
                <w:kern w:val="2"/>
                <w:sz w:val="22"/>
                <w:szCs w:val="22"/>
                <w:lang w:val="en-US" w:eastAsia="zh-CN" w:bidi="ar-SA"/>
              </w:rPr>
              <w:t>电子投标文件是否含有采购人不能接受的附加条件</w:t>
            </w:r>
          </w:p>
        </w:tc>
      </w:tr>
      <w:tr w14:paraId="3FF64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41" w:type="dxa"/>
            <w:tcBorders>
              <w:top w:val="single" w:color="auto" w:sz="4" w:space="0"/>
              <w:left w:val="single" w:color="auto" w:sz="4" w:space="0"/>
              <w:bottom w:val="single" w:color="auto" w:sz="4" w:space="0"/>
              <w:right w:val="single" w:color="auto" w:sz="4" w:space="0"/>
            </w:tcBorders>
            <w:vAlign w:val="center"/>
          </w:tcPr>
          <w:p w14:paraId="389E3883">
            <w:pPr>
              <w:pStyle w:val="36"/>
              <w:rPr>
                <w:rFonts w:hint="eastAsia" w:ascii="宋体" w:hAnsi="宋体" w:eastAsia="宋体" w:cs="宋体"/>
                <w:smallCaps w:val="0"/>
                <w:kern w:val="2"/>
                <w:sz w:val="22"/>
                <w:szCs w:val="22"/>
                <w:lang w:val="en-US" w:eastAsia="zh-CN" w:bidi="ar-SA"/>
              </w:rPr>
            </w:pPr>
            <w:r>
              <w:rPr>
                <w:rFonts w:hint="eastAsia" w:ascii="宋体" w:hAnsi="宋体" w:eastAsia="宋体" w:cs="宋体"/>
                <w:smallCaps w:val="0"/>
                <w:kern w:val="2"/>
                <w:sz w:val="22"/>
                <w:szCs w:val="22"/>
                <w:lang w:val="en-US" w:eastAsia="zh-CN" w:bidi="ar-SA"/>
              </w:rPr>
              <w:t>7</w:t>
            </w:r>
          </w:p>
        </w:tc>
        <w:tc>
          <w:tcPr>
            <w:tcW w:w="2866" w:type="dxa"/>
            <w:tcBorders>
              <w:top w:val="single" w:color="auto" w:sz="4" w:space="0"/>
              <w:left w:val="single" w:color="auto" w:sz="4" w:space="0"/>
              <w:bottom w:val="single" w:color="auto" w:sz="4" w:space="0"/>
              <w:right w:val="single" w:color="auto" w:sz="4" w:space="0"/>
            </w:tcBorders>
            <w:vAlign w:val="center"/>
          </w:tcPr>
          <w:p w14:paraId="232020B1">
            <w:pPr>
              <w:pStyle w:val="36"/>
              <w:rPr>
                <w:rFonts w:hint="eastAsia" w:ascii="宋体" w:hAnsi="宋体" w:eastAsia="宋体" w:cs="宋体"/>
                <w:smallCaps w:val="0"/>
                <w:kern w:val="2"/>
                <w:sz w:val="22"/>
                <w:szCs w:val="22"/>
                <w:lang w:val="en-US" w:eastAsia="zh-CN" w:bidi="ar-SA"/>
              </w:rPr>
            </w:pPr>
            <w:r>
              <w:rPr>
                <w:rFonts w:hint="eastAsia" w:ascii="宋体" w:hAnsi="宋体" w:eastAsia="宋体" w:cs="宋体"/>
                <w:smallCaps w:val="0"/>
                <w:kern w:val="2"/>
                <w:sz w:val="22"/>
                <w:szCs w:val="22"/>
                <w:lang w:val="en-US" w:eastAsia="zh-CN" w:bidi="ar-SA"/>
              </w:rPr>
              <w:t>法律、法规和招标文件规定的其他无效情形</w:t>
            </w:r>
          </w:p>
        </w:tc>
        <w:tc>
          <w:tcPr>
            <w:tcW w:w="5026" w:type="dxa"/>
            <w:tcBorders>
              <w:top w:val="single" w:color="auto" w:sz="4" w:space="0"/>
              <w:left w:val="single" w:color="auto" w:sz="4" w:space="0"/>
              <w:bottom w:val="single" w:color="auto" w:sz="4" w:space="0"/>
              <w:right w:val="single" w:color="auto" w:sz="4" w:space="0"/>
            </w:tcBorders>
            <w:vAlign w:val="top"/>
          </w:tcPr>
          <w:p w14:paraId="205940E4">
            <w:pPr>
              <w:pStyle w:val="36"/>
              <w:rPr>
                <w:rFonts w:hint="eastAsia" w:ascii="宋体" w:hAnsi="宋体" w:eastAsia="宋体" w:cs="宋体"/>
                <w:smallCaps w:val="0"/>
                <w:kern w:val="2"/>
                <w:sz w:val="22"/>
                <w:szCs w:val="22"/>
                <w:lang w:val="en-US" w:eastAsia="zh-CN" w:bidi="ar-SA"/>
              </w:rPr>
            </w:pPr>
            <w:r>
              <w:rPr>
                <w:rFonts w:hint="eastAsia" w:ascii="宋体" w:hAnsi="宋体" w:eastAsia="宋体" w:cs="宋体"/>
                <w:smallCaps w:val="0"/>
                <w:kern w:val="2"/>
                <w:sz w:val="22"/>
                <w:szCs w:val="22"/>
                <w:lang w:val="en-US" w:eastAsia="zh-CN" w:bidi="ar-SA"/>
              </w:rPr>
              <w:t xml:space="preserve">1.不同投标人的电子投标文件是否由同一单位或者个人编制； </w:t>
            </w:r>
          </w:p>
          <w:p w14:paraId="2226D998">
            <w:pPr>
              <w:pStyle w:val="36"/>
              <w:rPr>
                <w:rFonts w:hint="eastAsia" w:ascii="宋体" w:hAnsi="宋体" w:eastAsia="宋体" w:cs="宋体"/>
                <w:smallCaps w:val="0"/>
                <w:kern w:val="2"/>
                <w:sz w:val="22"/>
                <w:szCs w:val="22"/>
                <w:lang w:val="en-US" w:eastAsia="zh-CN" w:bidi="ar-SA"/>
              </w:rPr>
            </w:pPr>
            <w:r>
              <w:rPr>
                <w:rFonts w:hint="eastAsia" w:ascii="宋体" w:hAnsi="宋体" w:eastAsia="宋体" w:cs="宋体"/>
                <w:smallCaps w:val="0"/>
                <w:kern w:val="2"/>
                <w:sz w:val="22"/>
                <w:szCs w:val="22"/>
                <w:lang w:val="en-US" w:eastAsia="zh-CN" w:bidi="ar-SA"/>
              </w:rPr>
              <w:t xml:space="preserve">2.不同投标人是否委托同一单位或者个人办理投标事宜； </w:t>
            </w:r>
          </w:p>
          <w:p w14:paraId="5B7ED02B">
            <w:pPr>
              <w:pStyle w:val="36"/>
              <w:rPr>
                <w:rFonts w:hint="eastAsia" w:ascii="宋体" w:hAnsi="宋体" w:eastAsia="宋体" w:cs="宋体"/>
                <w:smallCaps w:val="0"/>
                <w:kern w:val="2"/>
                <w:sz w:val="22"/>
                <w:szCs w:val="22"/>
                <w:lang w:val="en-US" w:eastAsia="zh-CN" w:bidi="ar-SA"/>
              </w:rPr>
            </w:pPr>
            <w:r>
              <w:rPr>
                <w:rFonts w:hint="eastAsia" w:ascii="宋体" w:hAnsi="宋体" w:eastAsia="宋体" w:cs="宋体"/>
                <w:smallCaps w:val="0"/>
                <w:kern w:val="2"/>
                <w:sz w:val="22"/>
                <w:szCs w:val="22"/>
                <w:lang w:val="en-US" w:eastAsia="zh-CN" w:bidi="ar-SA"/>
              </w:rPr>
              <w:t xml:space="preserve">3.不同投标人的电子投标文件载明的项目管理成员或者联系人员是否为同一人； </w:t>
            </w:r>
          </w:p>
          <w:p w14:paraId="16D5ED2B">
            <w:pPr>
              <w:pStyle w:val="36"/>
              <w:rPr>
                <w:rFonts w:hint="eastAsia" w:ascii="宋体" w:hAnsi="宋体" w:eastAsia="宋体" w:cs="宋体"/>
                <w:smallCaps w:val="0"/>
                <w:kern w:val="2"/>
                <w:sz w:val="22"/>
                <w:szCs w:val="22"/>
                <w:lang w:val="en-US" w:eastAsia="zh-CN" w:bidi="ar-SA"/>
              </w:rPr>
            </w:pPr>
            <w:r>
              <w:rPr>
                <w:rFonts w:hint="eastAsia" w:ascii="宋体" w:hAnsi="宋体" w:eastAsia="宋体" w:cs="宋体"/>
                <w:smallCaps w:val="0"/>
                <w:kern w:val="2"/>
                <w:sz w:val="22"/>
                <w:szCs w:val="22"/>
                <w:lang w:val="en-US" w:eastAsia="zh-CN" w:bidi="ar-SA"/>
              </w:rPr>
              <w:t xml:space="preserve">4.不同投标人的电子投标文件是否异常一致或者投标报价是否呈规律性差异； </w:t>
            </w:r>
          </w:p>
          <w:p w14:paraId="7A4EC177">
            <w:pPr>
              <w:pStyle w:val="36"/>
              <w:rPr>
                <w:rFonts w:hint="eastAsia" w:ascii="宋体" w:hAnsi="宋体" w:eastAsia="宋体" w:cs="宋体"/>
                <w:smallCaps w:val="0"/>
                <w:kern w:val="2"/>
                <w:sz w:val="22"/>
                <w:szCs w:val="22"/>
                <w:lang w:val="en-US" w:eastAsia="zh-CN" w:bidi="ar-SA"/>
              </w:rPr>
            </w:pPr>
            <w:r>
              <w:rPr>
                <w:rFonts w:hint="eastAsia" w:ascii="宋体" w:hAnsi="宋体" w:eastAsia="宋体" w:cs="宋体"/>
                <w:smallCaps w:val="0"/>
                <w:kern w:val="2"/>
                <w:sz w:val="22"/>
                <w:szCs w:val="22"/>
                <w:lang w:val="en-US" w:eastAsia="zh-CN" w:bidi="ar-SA"/>
              </w:rPr>
              <w:t xml:space="preserve">5.不同投标人的电子投标文件是否相互混装； </w:t>
            </w:r>
          </w:p>
          <w:p w14:paraId="73AF9E36">
            <w:pPr>
              <w:pStyle w:val="36"/>
              <w:rPr>
                <w:rFonts w:hint="eastAsia" w:ascii="宋体" w:hAnsi="宋体" w:eastAsia="宋体" w:cs="宋体"/>
                <w:smallCaps w:val="0"/>
                <w:kern w:val="2"/>
                <w:sz w:val="22"/>
                <w:szCs w:val="22"/>
                <w:lang w:val="en-US" w:eastAsia="zh-CN" w:bidi="ar-SA"/>
              </w:rPr>
            </w:pPr>
            <w:r>
              <w:rPr>
                <w:rFonts w:hint="eastAsia" w:ascii="宋体" w:hAnsi="宋体" w:eastAsia="宋体" w:cs="宋体"/>
                <w:smallCaps w:val="0"/>
                <w:kern w:val="2"/>
                <w:sz w:val="22"/>
                <w:szCs w:val="22"/>
                <w:lang w:val="en-US" w:eastAsia="zh-CN" w:bidi="ar-SA"/>
              </w:rPr>
              <w:t>6. 其他无效情形。</w:t>
            </w:r>
          </w:p>
        </w:tc>
      </w:tr>
    </w:tbl>
    <w:p w14:paraId="45DF1211">
      <w:pPr>
        <w:pStyle w:val="36"/>
        <w:ind w:left="0" w:leftChars="0" w:firstLine="0" w:firstLineChars="0"/>
        <w:rPr>
          <w:rFonts w:hint="eastAsia"/>
        </w:rPr>
      </w:pPr>
    </w:p>
    <w:p w14:paraId="0CD4328F"/>
    <w:p w14:paraId="08480440">
      <w:pPr>
        <w:adjustRightInd w:val="0"/>
        <w:snapToGrid w:val="0"/>
        <w:spacing w:line="360" w:lineRule="auto"/>
        <w:ind w:firstLine="442" w:firstLineChars="200"/>
        <w:rPr>
          <w:rFonts w:ascii="宋体"/>
          <w:b/>
          <w:bCs/>
          <w:sz w:val="22"/>
          <w:szCs w:val="22"/>
        </w:rPr>
      </w:pPr>
      <w:r>
        <w:rPr>
          <w:rFonts w:ascii="宋体" w:hAnsi="宋体" w:cs="宋体"/>
          <w:b/>
          <w:bCs/>
          <w:sz w:val="22"/>
          <w:szCs w:val="22"/>
        </w:rPr>
        <w:t>3.</w:t>
      </w:r>
      <w:r>
        <w:rPr>
          <w:rFonts w:hint="eastAsia" w:ascii="宋体" w:hAnsi="宋体" w:cs="宋体"/>
          <w:b/>
          <w:bCs/>
          <w:sz w:val="22"/>
          <w:szCs w:val="22"/>
        </w:rPr>
        <w:t>详细评审：</w:t>
      </w:r>
    </w:p>
    <w:p w14:paraId="759F52B4">
      <w:pPr>
        <w:adjustRightInd w:val="0"/>
        <w:snapToGrid w:val="0"/>
        <w:spacing w:line="360" w:lineRule="auto"/>
        <w:ind w:firstLine="440" w:firstLineChars="200"/>
        <w:rPr>
          <w:rFonts w:ascii="宋体"/>
          <w:b/>
          <w:bCs/>
          <w:sz w:val="22"/>
          <w:szCs w:val="22"/>
        </w:rPr>
      </w:pPr>
      <w:r>
        <w:rPr>
          <w:rFonts w:ascii="宋体" w:hAnsi="宋体" w:cs="宋体"/>
          <w:sz w:val="22"/>
          <w:szCs w:val="22"/>
        </w:rPr>
        <w:t>3.1</w:t>
      </w:r>
      <w:r>
        <w:rPr>
          <w:rFonts w:hint="eastAsia" w:ascii="宋体" w:hAnsi="宋体" w:cs="宋体"/>
          <w:sz w:val="22"/>
          <w:szCs w:val="22"/>
        </w:rPr>
        <w:t>评标委员会将只对通过了“初审”的确定为实质上响应《招标文件》要求的《投标文件》进行详细评审。</w:t>
      </w:r>
    </w:p>
    <w:p w14:paraId="5E201E91">
      <w:pPr>
        <w:adjustRightInd w:val="0"/>
        <w:snapToGrid w:val="0"/>
        <w:spacing w:line="360" w:lineRule="auto"/>
        <w:ind w:firstLine="440" w:firstLineChars="200"/>
        <w:rPr>
          <w:rFonts w:ascii="宋体"/>
          <w:b/>
          <w:bCs/>
          <w:sz w:val="22"/>
          <w:szCs w:val="22"/>
        </w:rPr>
      </w:pPr>
      <w:r>
        <w:rPr>
          <w:rFonts w:ascii="宋体" w:hAnsi="宋体" w:cs="宋体"/>
          <w:sz w:val="22"/>
          <w:szCs w:val="22"/>
        </w:rPr>
        <w:t>3.2</w:t>
      </w:r>
      <w:r>
        <w:rPr>
          <w:rFonts w:hint="eastAsia" w:ascii="宋体" w:hAnsi="宋体" w:cs="宋体"/>
          <w:sz w:val="22"/>
          <w:szCs w:val="22"/>
        </w:rPr>
        <w:t>评标委员会要审查每份《投标文件》是否实质上响应了《招标文件》的要求。实质上响应的投标文件应该是与招标文件要求的全部条款、条件和技术参数相符。对关键条款的偏离、保留或反对将被认为是实质上的偏离。评标委员会决定评标的响应性只根据《投标文件》本身的内容，而不寻求外部的任何证据。</w:t>
      </w:r>
    </w:p>
    <w:p w14:paraId="475F1D0C">
      <w:pPr>
        <w:adjustRightInd w:val="0"/>
        <w:snapToGrid w:val="0"/>
        <w:spacing w:line="360" w:lineRule="auto"/>
        <w:ind w:firstLine="440" w:firstLineChars="200"/>
        <w:rPr>
          <w:rFonts w:ascii="宋体"/>
          <w:b/>
          <w:bCs/>
          <w:sz w:val="22"/>
          <w:szCs w:val="22"/>
        </w:rPr>
      </w:pPr>
      <w:r>
        <w:rPr>
          <w:rFonts w:ascii="宋体" w:hAnsi="宋体" w:cs="宋体"/>
          <w:sz w:val="22"/>
          <w:szCs w:val="22"/>
          <w:lang w:val="zh-CN"/>
        </w:rPr>
        <w:t>3.3</w:t>
      </w:r>
      <w:r>
        <w:rPr>
          <w:rFonts w:hint="eastAsia" w:ascii="宋体" w:hAnsi="宋体" w:cs="宋体"/>
          <w:sz w:val="22"/>
          <w:szCs w:val="22"/>
          <w:lang w:val="zh-CN"/>
        </w:rPr>
        <w:t>对于投标文件中不构成实质性偏差的小的不正规、不一致或不规则，评标委员会可以接受。</w:t>
      </w:r>
    </w:p>
    <w:p w14:paraId="11D739A0">
      <w:pPr>
        <w:adjustRightInd w:val="0"/>
        <w:snapToGrid w:val="0"/>
        <w:spacing w:line="360" w:lineRule="auto"/>
        <w:ind w:firstLine="440" w:firstLineChars="200"/>
        <w:rPr>
          <w:rFonts w:ascii="宋体"/>
          <w:b/>
          <w:bCs/>
          <w:sz w:val="22"/>
          <w:szCs w:val="22"/>
        </w:rPr>
      </w:pPr>
      <w:r>
        <w:rPr>
          <w:rFonts w:ascii="宋体" w:hAnsi="宋体" w:cs="宋体"/>
          <w:sz w:val="22"/>
          <w:szCs w:val="22"/>
        </w:rPr>
        <w:t>3.4</w:t>
      </w:r>
      <w:r>
        <w:rPr>
          <w:rFonts w:hint="eastAsia" w:ascii="宋体" w:hAnsi="宋体" w:cs="宋体"/>
          <w:sz w:val="22"/>
          <w:szCs w:val="22"/>
        </w:rPr>
        <w:t>评标委员会可以对确定为实质上响应招标文件要求的投标文件进行校对、审核，对出现的算术错误，由评标委员会予以改正，并让供应商澄清确认。修正计算错误按如下原则进行：</w:t>
      </w:r>
    </w:p>
    <w:p w14:paraId="587CC400">
      <w:pPr>
        <w:adjustRightInd w:val="0"/>
        <w:snapToGrid w:val="0"/>
        <w:spacing w:line="360" w:lineRule="auto"/>
        <w:ind w:firstLine="440" w:firstLineChars="200"/>
        <w:rPr>
          <w:rFonts w:ascii="宋体"/>
          <w:b/>
          <w:bCs/>
          <w:sz w:val="22"/>
          <w:szCs w:val="22"/>
        </w:rPr>
      </w:pPr>
      <w:r>
        <w:rPr>
          <w:rFonts w:hint="eastAsia" w:ascii="宋体" w:hAnsi="宋体" w:cs="宋体"/>
          <w:sz w:val="22"/>
          <w:szCs w:val="22"/>
        </w:rPr>
        <w:t>《投标文件》的大写金额和小写金额不一致的，以大写金额为准；总价金额与单项单价汇总金额不一致的，以单价金额计算结果为准；单价金额小数点有明显错位的，应以总价为准，并修改单价；对不同文字文本《投标文件》的解释发生异议的，以中文文本为准。</w:t>
      </w:r>
    </w:p>
    <w:p w14:paraId="713029C4">
      <w:pPr>
        <w:adjustRightInd w:val="0"/>
        <w:snapToGrid w:val="0"/>
        <w:spacing w:line="360" w:lineRule="auto"/>
        <w:ind w:firstLine="440" w:firstLineChars="200"/>
        <w:rPr>
          <w:rFonts w:ascii="宋体"/>
          <w:sz w:val="22"/>
          <w:szCs w:val="22"/>
        </w:rPr>
      </w:pPr>
      <w:r>
        <w:rPr>
          <w:rFonts w:hint="eastAsia" w:ascii="宋体" w:hAnsi="宋体" w:cs="宋体"/>
          <w:sz w:val="22"/>
          <w:szCs w:val="22"/>
        </w:rPr>
        <w:t>若供应商不接受对其错误的更正，其投标将被视为无效投标。</w:t>
      </w:r>
    </w:p>
    <w:p w14:paraId="591247E0">
      <w:pPr>
        <w:pStyle w:val="23"/>
        <w:numPr>
          <w:ilvl w:val="0"/>
          <w:numId w:val="11"/>
        </w:numPr>
        <w:adjustRightInd w:val="0"/>
        <w:snapToGrid w:val="0"/>
        <w:spacing w:beforeLines="50" w:line="360" w:lineRule="auto"/>
        <w:jc w:val="left"/>
        <w:rPr>
          <w:rFonts w:hAnsi="宋体" w:cs="Times New Roman"/>
          <w:b/>
          <w:bCs/>
          <w:sz w:val="22"/>
          <w:szCs w:val="22"/>
        </w:rPr>
      </w:pPr>
      <w:r>
        <w:rPr>
          <w:rFonts w:hint="eastAsia" w:hAnsi="宋体"/>
          <w:b/>
          <w:bCs/>
          <w:sz w:val="22"/>
          <w:szCs w:val="22"/>
        </w:rPr>
        <w:t>推荐中标候选人名单</w:t>
      </w:r>
    </w:p>
    <w:p w14:paraId="14C005F9">
      <w:pPr>
        <w:numPr>
          <w:ilvl w:val="1"/>
          <w:numId w:val="11"/>
        </w:numPr>
        <w:spacing w:line="360" w:lineRule="auto"/>
        <w:rPr>
          <w:rFonts w:ascii="宋体"/>
          <w:sz w:val="22"/>
          <w:szCs w:val="22"/>
        </w:rPr>
      </w:pPr>
      <w:r>
        <w:rPr>
          <w:rFonts w:hint="eastAsia" w:ascii="宋体" w:hAnsi="宋体" w:cs="宋体"/>
          <w:sz w:val="22"/>
          <w:szCs w:val="22"/>
        </w:rPr>
        <w:t>按评审后得分由高到低顺序排列。得分相同的，按投标报价由低到高顺序排列。得分且投标报价相同的，按技术指标优劣顺序排列。</w:t>
      </w:r>
    </w:p>
    <w:p w14:paraId="617BAC1B">
      <w:pPr>
        <w:numPr>
          <w:ilvl w:val="1"/>
          <w:numId w:val="11"/>
        </w:numPr>
        <w:spacing w:line="360" w:lineRule="auto"/>
        <w:rPr>
          <w:rFonts w:ascii="宋体"/>
          <w:sz w:val="22"/>
          <w:szCs w:val="22"/>
        </w:rPr>
      </w:pPr>
      <w:r>
        <w:rPr>
          <w:rFonts w:hint="eastAsia" w:ascii="宋体" w:hAnsi="宋体" w:cs="宋体"/>
          <w:sz w:val="22"/>
          <w:szCs w:val="22"/>
        </w:rPr>
        <w:t>各投标人最后的评标综合得分为分项得分的相加值。评标委员会按评标综合得分从高到低排序推荐中标候选人，评标综合得分高者为优，若评标综合得分相等，以价格分为优，若价格分还相等，以技术性能分高者为优。</w:t>
      </w:r>
    </w:p>
    <w:p w14:paraId="023816F2">
      <w:pPr>
        <w:numPr>
          <w:ilvl w:val="1"/>
          <w:numId w:val="11"/>
        </w:numPr>
        <w:spacing w:line="360" w:lineRule="auto"/>
        <w:rPr>
          <w:rFonts w:ascii="宋体"/>
          <w:b/>
          <w:bCs/>
          <w:sz w:val="22"/>
          <w:szCs w:val="22"/>
        </w:rPr>
      </w:pPr>
      <w:r>
        <w:rPr>
          <w:rFonts w:hint="eastAsia" w:ascii="宋体" w:hAnsi="宋体" w:cs="宋体"/>
          <w:sz w:val="22"/>
          <w:szCs w:val="22"/>
        </w:rPr>
        <w:t>评标委员会按照评分结果进行排名，第一名为中标单位，如第一名因其他原因无法正常履行合同的，由采购单位重新组织采购活动。</w:t>
      </w:r>
    </w:p>
    <w:p w14:paraId="648157DA">
      <w:pPr>
        <w:pStyle w:val="23"/>
        <w:numPr>
          <w:ilvl w:val="0"/>
          <w:numId w:val="11"/>
        </w:numPr>
        <w:adjustRightInd w:val="0"/>
        <w:snapToGrid w:val="0"/>
        <w:spacing w:beforeLines="50" w:line="360" w:lineRule="auto"/>
        <w:jc w:val="left"/>
        <w:rPr>
          <w:rFonts w:hAnsi="宋体" w:cs="Times New Roman"/>
          <w:b/>
          <w:bCs/>
          <w:sz w:val="22"/>
          <w:szCs w:val="22"/>
        </w:rPr>
      </w:pPr>
      <w:r>
        <w:rPr>
          <w:rFonts w:hint="eastAsia" w:hAnsi="宋体"/>
          <w:b/>
          <w:bCs/>
          <w:sz w:val="22"/>
          <w:szCs w:val="22"/>
        </w:rPr>
        <w:t>编写评标报告</w:t>
      </w:r>
    </w:p>
    <w:p w14:paraId="7D0552F7">
      <w:pPr>
        <w:spacing w:line="360" w:lineRule="auto"/>
        <w:ind w:left="425"/>
        <w:rPr>
          <w:rFonts w:ascii="宋体"/>
          <w:color w:val="000000"/>
          <w:kern w:val="0"/>
          <w:sz w:val="22"/>
          <w:szCs w:val="22"/>
        </w:rPr>
      </w:pPr>
      <w:r>
        <w:rPr>
          <w:rFonts w:hint="eastAsia" w:ascii="宋体" w:hAnsi="宋体" w:cs="宋体"/>
          <w:sz w:val="22"/>
          <w:szCs w:val="22"/>
        </w:rPr>
        <w:t>评标报告是评标委员会根据全体评标成员签字的原始评标记录和评标结果编写的</w:t>
      </w:r>
      <w:r>
        <w:rPr>
          <w:rFonts w:hint="eastAsia" w:ascii="宋体" w:hAnsi="宋体" w:cs="宋体"/>
          <w:color w:val="000000"/>
          <w:sz w:val="22"/>
          <w:szCs w:val="22"/>
        </w:rPr>
        <w:t>报告</w:t>
      </w:r>
      <w:r>
        <w:rPr>
          <w:rFonts w:hint="eastAsia" w:ascii="宋体" w:hAnsi="宋体" w:cs="宋体"/>
          <w:color w:val="000000"/>
          <w:kern w:val="0"/>
          <w:sz w:val="22"/>
          <w:szCs w:val="22"/>
        </w:rPr>
        <w:t>。</w:t>
      </w:r>
      <w:r>
        <w:rPr>
          <w:rFonts w:ascii="宋体" w:hAnsi="宋体" w:cs="宋体"/>
          <w:color w:val="000000"/>
          <w:kern w:val="0"/>
          <w:sz w:val="22"/>
          <w:szCs w:val="22"/>
        </w:rPr>
        <w:t xml:space="preserve"> </w:t>
      </w:r>
    </w:p>
    <w:p w14:paraId="515AC35B">
      <w:pPr>
        <w:pStyle w:val="44"/>
        <w:spacing w:line="360" w:lineRule="auto"/>
        <w:ind w:firstLine="0" w:firstLineChars="0"/>
        <w:rPr>
          <w:rFonts w:ascii="宋体" w:hAnsi="宋体" w:eastAsia="宋体"/>
          <w:sz w:val="22"/>
          <w:szCs w:val="22"/>
        </w:rPr>
      </w:pPr>
    </w:p>
    <w:bookmarkEnd w:id="61"/>
    <w:bookmarkEnd w:id="62"/>
    <w:p w14:paraId="22548C14">
      <w:pPr>
        <w:pageBreakBefore/>
        <w:numPr>
          <w:ilvl w:val="0"/>
          <w:numId w:val="8"/>
        </w:numPr>
        <w:spacing w:line="640" w:lineRule="exact"/>
        <w:jc w:val="center"/>
        <w:outlineLvl w:val="0"/>
        <w:rPr>
          <w:rFonts w:ascii="宋体"/>
          <w:b/>
          <w:bCs/>
          <w:kern w:val="0"/>
          <w:sz w:val="36"/>
          <w:szCs w:val="36"/>
        </w:rPr>
      </w:pPr>
      <w:bookmarkStart w:id="76" w:name="_Toc28390"/>
      <w:bookmarkStart w:id="77" w:name="_Toc241"/>
      <w:bookmarkStart w:id="78" w:name="_Toc14506"/>
      <w:bookmarkStart w:id="79" w:name="_Toc25547"/>
      <w:bookmarkStart w:id="80" w:name="_Toc13880"/>
      <w:bookmarkStart w:id="81" w:name="_Toc20818"/>
      <w:bookmarkStart w:id="82" w:name="_Toc229198098"/>
      <w:bookmarkStart w:id="83" w:name="_Toc274816744"/>
      <w:r>
        <w:rPr>
          <w:rFonts w:hint="eastAsia" w:ascii="宋体" w:hAnsi="宋体" w:cs="宋体"/>
          <w:b/>
          <w:bCs/>
          <w:kern w:val="0"/>
          <w:sz w:val="36"/>
          <w:szCs w:val="36"/>
        </w:rPr>
        <w:t>投标文件格式</w:t>
      </w:r>
      <w:bookmarkEnd w:id="76"/>
      <w:bookmarkEnd w:id="77"/>
      <w:bookmarkEnd w:id="78"/>
      <w:bookmarkEnd w:id="79"/>
      <w:bookmarkEnd w:id="80"/>
      <w:bookmarkEnd w:id="81"/>
      <w:bookmarkStart w:id="84" w:name="_Toc10061"/>
    </w:p>
    <w:p w14:paraId="389203AE">
      <w:pPr>
        <w:spacing w:line="640" w:lineRule="exact"/>
        <w:jc w:val="center"/>
        <w:outlineLvl w:val="1"/>
        <w:rPr>
          <w:rFonts w:ascii="宋体"/>
          <w:sz w:val="28"/>
          <w:szCs w:val="28"/>
        </w:rPr>
      </w:pPr>
      <w:bookmarkStart w:id="85" w:name="_Toc13008"/>
      <w:bookmarkStart w:id="86" w:name="_Toc26944"/>
      <w:r>
        <w:rPr>
          <w:rFonts w:hint="eastAsia" w:ascii="宋体" w:hAnsi="宋体" w:cs="宋体"/>
          <w:sz w:val="28"/>
          <w:szCs w:val="28"/>
        </w:rPr>
        <w:t>一、投标文件封面</w:t>
      </w:r>
      <w:bookmarkEnd w:id="84"/>
      <w:bookmarkEnd w:id="85"/>
      <w:bookmarkEnd w:id="86"/>
    </w:p>
    <w:p w14:paraId="587204B2">
      <w:pPr>
        <w:spacing w:before="111" w:line="185" w:lineRule="auto"/>
        <w:ind w:firstLine="3579"/>
        <w:rPr>
          <w:rFonts w:ascii="宋体"/>
          <w:spacing w:val="-2"/>
          <w:sz w:val="34"/>
          <w:szCs w:val="34"/>
        </w:rPr>
      </w:pPr>
    </w:p>
    <w:p w14:paraId="30C061F0">
      <w:pPr>
        <w:spacing w:before="111" w:line="185" w:lineRule="auto"/>
        <w:ind w:firstLine="3579"/>
        <w:rPr>
          <w:rFonts w:ascii="宋体"/>
          <w:sz w:val="36"/>
          <w:szCs w:val="36"/>
        </w:rPr>
      </w:pPr>
      <w:r>
        <w:rPr>
          <w:rFonts w:ascii="宋体" w:hAnsi="宋体" w:cs="宋体"/>
          <w:spacing w:val="-2"/>
          <w:sz w:val="36"/>
          <w:szCs w:val="36"/>
        </w:rPr>
        <w:t>XXX</w:t>
      </w:r>
      <w:r>
        <w:rPr>
          <w:rFonts w:hint="eastAsia" w:ascii="宋体" w:hAnsi="宋体" w:cs="宋体"/>
          <w:spacing w:val="-2"/>
          <w:sz w:val="36"/>
          <w:szCs w:val="36"/>
        </w:rPr>
        <w:t>项目</w:t>
      </w:r>
    </w:p>
    <w:p w14:paraId="017BDE57">
      <w:pPr>
        <w:spacing w:line="255" w:lineRule="auto"/>
        <w:rPr>
          <w:rFonts w:ascii="宋体"/>
          <w:sz w:val="22"/>
          <w:szCs w:val="22"/>
        </w:rPr>
      </w:pPr>
    </w:p>
    <w:p w14:paraId="6F0B9516">
      <w:pPr>
        <w:spacing w:line="255" w:lineRule="auto"/>
        <w:rPr>
          <w:rFonts w:ascii="宋体"/>
          <w:sz w:val="22"/>
          <w:szCs w:val="22"/>
        </w:rPr>
      </w:pPr>
    </w:p>
    <w:p w14:paraId="18C779DA">
      <w:pPr>
        <w:spacing w:line="255" w:lineRule="auto"/>
        <w:rPr>
          <w:rFonts w:ascii="宋体"/>
          <w:sz w:val="22"/>
          <w:szCs w:val="22"/>
        </w:rPr>
      </w:pPr>
    </w:p>
    <w:p w14:paraId="68474A05">
      <w:pPr>
        <w:keepNext/>
        <w:keepLines/>
        <w:widowControl w:val="0"/>
        <w:numPr>
          <w:ilvl w:val="0"/>
          <w:numId w:val="0"/>
        </w:numPr>
        <w:spacing w:before="0" w:after="0" w:line="240" w:lineRule="auto"/>
        <w:ind w:leftChars="0"/>
        <w:jc w:val="both"/>
        <w:outlineLvl w:val="9"/>
        <w:rPr>
          <w:rFonts w:hint="eastAsia" w:ascii="宋体" w:hAnsi="Times New Roman" w:eastAsia="宋体" w:cs="Times New Roman"/>
          <w:b/>
          <w:color w:val="auto"/>
          <w:kern w:val="0"/>
          <w:sz w:val="28"/>
          <w:szCs w:val="28"/>
          <w:highlight w:val="none"/>
          <w:lang w:val="en-US" w:eastAsia="zh-CN" w:bidi="ar-SA"/>
        </w:rPr>
      </w:pPr>
      <w:bookmarkStart w:id="87" w:name="_Toc383155944"/>
      <w:bookmarkStart w:id="88" w:name="_Toc18291"/>
      <w:bookmarkStart w:id="89" w:name="_Toc9989"/>
      <w:bookmarkStart w:id="90" w:name="_Toc380742995"/>
      <w:bookmarkStart w:id="91" w:name="_Toc387653043"/>
      <w:r>
        <w:rPr>
          <w:rFonts w:hint="eastAsia" w:ascii="宋体" w:hAnsi="Times New Roman" w:eastAsia="宋体" w:cs="Times New Roman"/>
          <w:b/>
          <w:color w:val="auto"/>
          <w:kern w:val="0"/>
          <w:sz w:val="28"/>
          <w:szCs w:val="28"/>
          <w:highlight w:val="none"/>
          <w:lang w:val="en-US" w:eastAsia="zh-CN" w:bidi="ar-SA"/>
        </w:rPr>
        <w:t>项目编号：</w:t>
      </w:r>
    </w:p>
    <w:p w14:paraId="4EEA6683">
      <w:pPr>
        <w:keepNext/>
        <w:keepLines/>
        <w:widowControl w:val="0"/>
        <w:numPr>
          <w:ilvl w:val="0"/>
          <w:numId w:val="0"/>
        </w:numPr>
        <w:spacing w:before="0" w:after="0" w:line="360" w:lineRule="auto"/>
        <w:ind w:leftChars="0"/>
        <w:jc w:val="both"/>
        <w:outlineLvl w:val="9"/>
        <w:rPr>
          <w:rFonts w:hint="eastAsia" w:ascii="宋体" w:hAnsi="Times New Roman" w:eastAsia="宋体" w:cs="Times New Roman"/>
          <w:b/>
          <w:color w:val="auto"/>
          <w:kern w:val="0"/>
          <w:sz w:val="28"/>
          <w:szCs w:val="28"/>
          <w:highlight w:val="none"/>
          <w:lang w:val="en-US" w:eastAsia="zh-CN" w:bidi="ar-SA"/>
        </w:rPr>
      </w:pPr>
      <w:r>
        <w:rPr>
          <w:rFonts w:hint="eastAsia" w:ascii="宋体" w:hAnsi="Times New Roman" w:eastAsia="宋体" w:cs="Times New Roman"/>
          <w:b/>
          <w:color w:val="auto"/>
          <w:kern w:val="0"/>
          <w:sz w:val="28"/>
          <w:szCs w:val="28"/>
          <w:highlight w:val="none"/>
          <w:lang w:val="en-US" w:eastAsia="zh-CN" w:bidi="ar-SA"/>
        </w:rPr>
        <w:t>包  号：</w:t>
      </w:r>
    </w:p>
    <w:p w14:paraId="056A5703">
      <w:pPr>
        <w:keepNext/>
        <w:keepLines/>
        <w:widowControl w:val="0"/>
        <w:numPr>
          <w:ilvl w:val="0"/>
          <w:numId w:val="0"/>
        </w:numPr>
        <w:spacing w:before="0" w:after="0" w:line="360" w:lineRule="auto"/>
        <w:ind w:leftChars="0"/>
        <w:jc w:val="both"/>
        <w:outlineLvl w:val="9"/>
        <w:rPr>
          <w:rFonts w:hint="eastAsia" w:ascii="宋体" w:hAnsi="Times New Roman" w:eastAsia="宋体" w:cs="Times New Roman"/>
          <w:b/>
          <w:color w:val="auto"/>
          <w:kern w:val="0"/>
          <w:sz w:val="28"/>
          <w:szCs w:val="28"/>
          <w:highlight w:val="none"/>
          <w:lang w:val="en-US" w:eastAsia="zh-CN" w:bidi="ar-SA"/>
        </w:rPr>
      </w:pPr>
      <w:r>
        <w:rPr>
          <w:rFonts w:hint="eastAsia" w:ascii="宋体" w:hAnsi="Times New Roman" w:eastAsia="宋体" w:cs="Times New Roman"/>
          <w:b/>
          <w:color w:val="auto"/>
          <w:kern w:val="0"/>
          <w:sz w:val="28"/>
          <w:szCs w:val="28"/>
          <w:highlight w:val="none"/>
          <w:lang w:val="en-US" w:eastAsia="zh-CN" w:bidi="ar-SA"/>
        </w:rPr>
        <w:t>采购人：</w:t>
      </w:r>
    </w:p>
    <w:p w14:paraId="3642CA14">
      <w:pPr>
        <w:keepNext/>
        <w:keepLines/>
        <w:widowControl w:val="0"/>
        <w:numPr>
          <w:ilvl w:val="0"/>
          <w:numId w:val="0"/>
        </w:numPr>
        <w:spacing w:before="0" w:after="0" w:line="360" w:lineRule="auto"/>
        <w:ind w:leftChars="0"/>
        <w:jc w:val="both"/>
        <w:outlineLvl w:val="9"/>
        <w:rPr>
          <w:rFonts w:hint="eastAsia" w:ascii="宋体" w:hAnsi="Times New Roman" w:eastAsia="宋体" w:cs="Times New Roman"/>
          <w:b/>
          <w:color w:val="auto"/>
          <w:kern w:val="0"/>
          <w:sz w:val="28"/>
          <w:szCs w:val="28"/>
          <w:highlight w:val="none"/>
          <w:lang w:val="en-US" w:eastAsia="zh-CN" w:bidi="ar-SA"/>
        </w:rPr>
      </w:pPr>
      <w:r>
        <w:rPr>
          <w:rFonts w:hint="eastAsia" w:ascii="宋体" w:hAnsi="Times New Roman" w:eastAsia="宋体" w:cs="Times New Roman"/>
          <w:b/>
          <w:color w:val="auto"/>
          <w:kern w:val="0"/>
          <w:sz w:val="28"/>
          <w:szCs w:val="28"/>
          <w:highlight w:val="none"/>
          <w:lang w:val="en-US" w:eastAsia="zh-CN" w:bidi="ar-SA"/>
        </w:rPr>
        <w:t>代理机构：</w:t>
      </w:r>
    </w:p>
    <w:p w14:paraId="4225B72F">
      <w:pPr>
        <w:spacing w:beforeLines="30" w:afterLines="70" w:line="540" w:lineRule="exact"/>
        <w:ind w:left="630" w:leftChars="300"/>
        <w:outlineLvl w:val="9"/>
        <w:rPr>
          <w:rFonts w:hint="eastAsia" w:ascii="宋体" w:hAnsi="Times New Roman" w:cs="Times New Roman"/>
          <w:b/>
          <w:color w:val="auto"/>
          <w:kern w:val="0"/>
          <w:sz w:val="28"/>
          <w:szCs w:val="28"/>
          <w:highlight w:val="none"/>
        </w:rPr>
      </w:pPr>
      <w:r>
        <w:rPr>
          <w:rFonts w:hint="eastAsia" w:ascii="宋体" w:hAnsi="Times New Roman" w:cs="Times New Roman"/>
          <w:b/>
          <w:color w:val="auto"/>
          <w:kern w:val="0"/>
          <w:sz w:val="28"/>
          <w:szCs w:val="28"/>
          <w:highlight w:val="none"/>
        </w:rPr>
        <w:t xml:space="preserve"> </w:t>
      </w:r>
    </w:p>
    <w:p w14:paraId="4A009997">
      <w:pPr>
        <w:numPr>
          <w:ilvl w:val="0"/>
          <w:numId w:val="0"/>
        </w:numPr>
        <w:spacing w:beforeLines="30" w:afterLines="70" w:line="540" w:lineRule="exact"/>
        <w:ind w:leftChars="0"/>
        <w:outlineLvl w:val="9"/>
        <w:rPr>
          <w:rFonts w:ascii="黑体" w:hAnsi="黑体" w:eastAsia="黑体" w:cs="黑体"/>
          <w:b/>
          <w:color w:val="auto"/>
          <w:kern w:val="2"/>
          <w:sz w:val="40"/>
          <w:szCs w:val="40"/>
          <w:highlight w:val="none"/>
        </w:rPr>
      </w:pPr>
      <w:r>
        <w:rPr>
          <w:rFonts w:hint="eastAsia" w:ascii="宋体" w:hAnsi="Times New Roman" w:cs="Times New Roman"/>
          <w:b/>
          <w:color w:val="auto"/>
          <w:kern w:val="0"/>
          <w:sz w:val="28"/>
          <w:szCs w:val="28"/>
          <w:highlight w:val="none"/>
        </w:rPr>
        <w:t>投标人名称：（加盖公章）</w:t>
      </w:r>
    </w:p>
    <w:p w14:paraId="4CAED50B">
      <w:pPr>
        <w:numPr>
          <w:ilvl w:val="0"/>
          <w:numId w:val="0"/>
        </w:numPr>
        <w:spacing w:line="240" w:lineRule="auto"/>
        <w:ind w:leftChars="0"/>
        <w:outlineLvl w:val="9"/>
        <w:rPr>
          <w:rFonts w:ascii="宋体" w:hAnsi="Times New Roman" w:cs="Times New Roman"/>
          <w:b/>
          <w:color w:val="auto"/>
          <w:kern w:val="0"/>
          <w:sz w:val="28"/>
          <w:szCs w:val="28"/>
          <w:highlight w:val="none"/>
        </w:rPr>
      </w:pPr>
      <w:r>
        <w:rPr>
          <w:rFonts w:hint="eastAsia" w:ascii="宋体" w:hAnsi="Times New Roman" w:cs="Times New Roman"/>
          <w:b/>
          <w:color w:val="auto"/>
          <w:kern w:val="0"/>
          <w:sz w:val="28"/>
          <w:szCs w:val="28"/>
          <w:highlight w:val="none"/>
        </w:rPr>
        <w:t>投标人详细地址：</w:t>
      </w:r>
    </w:p>
    <w:p w14:paraId="12B18E6D">
      <w:pPr>
        <w:numPr>
          <w:ilvl w:val="0"/>
          <w:numId w:val="0"/>
        </w:numPr>
        <w:spacing w:beforeLines="30" w:afterLines="70" w:line="540" w:lineRule="exact"/>
        <w:ind w:leftChars="0"/>
        <w:outlineLvl w:val="9"/>
        <w:rPr>
          <w:rFonts w:ascii="宋体" w:hAnsi="Times New Roman" w:cs="Times New Roman"/>
          <w:b/>
          <w:color w:val="auto"/>
          <w:kern w:val="0"/>
          <w:sz w:val="28"/>
          <w:szCs w:val="28"/>
          <w:highlight w:val="none"/>
        </w:rPr>
      </w:pPr>
      <w:r>
        <w:rPr>
          <w:rFonts w:hint="eastAsia" w:ascii="宋体" w:hAnsi="Times New Roman" w:cs="Times New Roman"/>
          <w:b/>
          <w:color w:val="auto"/>
          <w:kern w:val="0"/>
          <w:sz w:val="28"/>
          <w:szCs w:val="28"/>
          <w:highlight w:val="none"/>
        </w:rPr>
        <w:t>投标人联系电话：</w:t>
      </w:r>
    </w:p>
    <w:p w14:paraId="12EA6C02">
      <w:pPr>
        <w:numPr>
          <w:ilvl w:val="0"/>
          <w:numId w:val="0"/>
        </w:numPr>
        <w:spacing w:beforeLines="30" w:afterLines="70" w:line="540" w:lineRule="exact"/>
        <w:ind w:leftChars="0"/>
        <w:outlineLvl w:val="9"/>
        <w:rPr>
          <w:rFonts w:ascii="宋体" w:hAnsi="Times New Roman" w:cs="Times New Roman"/>
          <w:b/>
          <w:color w:val="auto"/>
          <w:kern w:val="0"/>
          <w:sz w:val="28"/>
          <w:szCs w:val="28"/>
          <w:highlight w:val="none"/>
        </w:rPr>
      </w:pPr>
      <w:r>
        <w:rPr>
          <w:rFonts w:hint="eastAsia" w:ascii="宋体" w:hAnsi="Times New Roman" w:cs="Times New Roman"/>
          <w:b/>
          <w:color w:val="auto"/>
          <w:kern w:val="0"/>
          <w:sz w:val="28"/>
          <w:szCs w:val="28"/>
          <w:highlight w:val="none"/>
        </w:rPr>
        <w:t>投标人统一的社会信用代码</w:t>
      </w:r>
      <w:r>
        <w:rPr>
          <w:rFonts w:hint="eastAsia" w:ascii="黑体" w:hAnsi="黑体" w:eastAsia="黑体" w:cs="黑体"/>
          <w:b/>
          <w:color w:val="auto"/>
          <w:kern w:val="2"/>
          <w:sz w:val="40"/>
          <w:szCs w:val="40"/>
          <w:highlight w:val="none"/>
        </w:rPr>
        <w:t>：</w:t>
      </w:r>
    </w:p>
    <w:p w14:paraId="2AB72FC8">
      <w:pPr>
        <w:spacing w:beforeLines="30" w:afterLines="70" w:line="540" w:lineRule="exact"/>
        <w:ind w:left="630" w:leftChars="300"/>
        <w:jc w:val="center"/>
        <w:outlineLvl w:val="9"/>
        <w:rPr>
          <w:rFonts w:hint="eastAsia" w:ascii="宋体" w:hAnsi="Times New Roman" w:cs="Times New Roman"/>
          <w:b/>
          <w:color w:val="auto"/>
          <w:kern w:val="0"/>
          <w:sz w:val="28"/>
          <w:szCs w:val="28"/>
          <w:highlight w:val="none"/>
        </w:rPr>
      </w:pPr>
    </w:p>
    <w:p w14:paraId="72C36850">
      <w:pPr>
        <w:spacing w:beforeLines="30" w:afterLines="70" w:line="540" w:lineRule="exact"/>
        <w:ind w:left="630" w:leftChars="300"/>
        <w:jc w:val="center"/>
        <w:outlineLvl w:val="9"/>
        <w:rPr>
          <w:rFonts w:hint="eastAsia" w:ascii="宋体" w:hAnsi="Times New Roman" w:cs="Times New Roman"/>
          <w:b/>
          <w:color w:val="auto"/>
          <w:kern w:val="0"/>
          <w:sz w:val="28"/>
          <w:szCs w:val="28"/>
          <w:highlight w:val="none"/>
        </w:rPr>
      </w:pPr>
      <w:r>
        <w:rPr>
          <w:rFonts w:hint="eastAsia" w:ascii="宋体" w:hAnsi="Times New Roman" w:cs="Times New Roman"/>
          <w:b/>
          <w:color w:val="auto"/>
          <w:kern w:val="0"/>
          <w:sz w:val="28"/>
          <w:szCs w:val="28"/>
          <w:highlight w:val="none"/>
        </w:rPr>
        <w:t>投标日期：   年   月   日</w:t>
      </w:r>
    </w:p>
    <w:p w14:paraId="61E4EA58">
      <w:pPr>
        <w:spacing w:before="68" w:line="184" w:lineRule="auto"/>
        <w:jc w:val="left"/>
        <w:outlineLvl w:val="9"/>
        <w:rPr>
          <w:rFonts w:hint="eastAsia" w:ascii="宋体" w:hAnsi="宋体" w:cs="宋体"/>
          <w:spacing w:val="-2"/>
          <w:sz w:val="24"/>
          <w:szCs w:val="24"/>
        </w:rPr>
      </w:pPr>
    </w:p>
    <w:p w14:paraId="5424B47E">
      <w:pPr>
        <w:spacing w:before="68" w:line="184" w:lineRule="auto"/>
        <w:jc w:val="left"/>
        <w:outlineLvl w:val="9"/>
        <w:rPr>
          <w:rFonts w:ascii="宋体"/>
          <w:sz w:val="24"/>
          <w:szCs w:val="24"/>
        </w:rPr>
      </w:pPr>
      <w:r>
        <w:rPr>
          <w:rFonts w:hint="eastAsia" w:ascii="宋体" w:hAnsi="宋体" w:cs="宋体"/>
          <w:spacing w:val="-2"/>
          <w:sz w:val="24"/>
          <w:szCs w:val="24"/>
        </w:rPr>
        <w:t>供应商郑重承诺：</w:t>
      </w:r>
    </w:p>
    <w:p w14:paraId="5BB777F6">
      <w:pPr>
        <w:spacing w:line="640" w:lineRule="exact"/>
        <w:jc w:val="left"/>
        <w:outlineLvl w:val="9"/>
        <w:rPr>
          <w:rFonts w:hint="eastAsia" w:ascii="宋体" w:hAnsi="宋体" w:cs="宋体"/>
          <w:spacing w:val="-1"/>
          <w:position w:val="14"/>
          <w:sz w:val="24"/>
          <w:szCs w:val="24"/>
        </w:rPr>
      </w:pPr>
      <w:r>
        <w:rPr>
          <w:rFonts w:ascii="宋体"/>
          <w:sz w:val="24"/>
          <w:szCs w:val="24"/>
        </w:rPr>
        <w:tab/>
      </w:r>
      <w:r>
        <w:rPr>
          <w:rFonts w:ascii="宋体" w:hAnsi="宋体" w:cs="宋体"/>
          <w:sz w:val="24"/>
          <w:szCs w:val="24"/>
        </w:rPr>
        <w:t xml:space="preserve">    </w:t>
      </w:r>
      <w:r>
        <w:rPr>
          <w:rFonts w:hint="eastAsia" w:ascii="宋体" w:hAnsi="宋体" w:cs="宋体"/>
          <w:spacing w:val="-1"/>
          <w:position w:val="14"/>
          <w:sz w:val="24"/>
          <w:szCs w:val="24"/>
        </w:rPr>
        <w:t>对本卷所提供资料的真实性、准确性、有效性负全部责任。</w:t>
      </w:r>
    </w:p>
    <w:bookmarkEnd w:id="87"/>
    <w:bookmarkEnd w:id="88"/>
    <w:bookmarkEnd w:id="89"/>
    <w:bookmarkEnd w:id="90"/>
    <w:bookmarkEnd w:id="91"/>
    <w:p w14:paraId="6DE5CB30">
      <w:pPr>
        <w:keepNext w:val="0"/>
        <w:keepLines w:val="0"/>
        <w:pageBreakBefore/>
        <w:widowControl w:val="0"/>
        <w:kinsoku/>
        <w:wordWrap/>
        <w:overflowPunct/>
        <w:topLinePunct w:val="0"/>
        <w:autoSpaceDE/>
        <w:autoSpaceDN/>
        <w:bidi w:val="0"/>
        <w:adjustRightInd/>
        <w:snapToGrid/>
        <w:spacing w:before="0" w:after="0" w:line="360" w:lineRule="auto"/>
        <w:jc w:val="center"/>
        <w:textAlignment w:val="auto"/>
        <w:outlineLvl w:val="1"/>
        <w:rPr>
          <w:rFonts w:ascii="宋体" w:hAnsi="宋体" w:eastAsia="宋体"/>
          <w:color w:val="auto"/>
          <w:szCs w:val="28"/>
          <w:highlight w:val="none"/>
        </w:rPr>
      </w:pPr>
      <w:bookmarkStart w:id="92" w:name="_Toc385671123"/>
      <w:bookmarkStart w:id="93" w:name="_Toc19423"/>
      <w:bookmarkStart w:id="94" w:name="_Toc13151"/>
      <w:bookmarkStart w:id="95" w:name="_Toc4316"/>
      <w:r>
        <w:rPr>
          <w:rFonts w:hint="eastAsia" w:ascii="宋体" w:hAnsi="宋体" w:cs="宋体"/>
          <w:b w:val="0"/>
          <w:bCs w:val="0"/>
          <w:kern w:val="2"/>
          <w:sz w:val="28"/>
          <w:szCs w:val="28"/>
          <w:lang w:val="en-US" w:eastAsia="zh-CN"/>
        </w:rPr>
        <w:t>二</w:t>
      </w:r>
      <w:r>
        <w:rPr>
          <w:rFonts w:hint="eastAsia" w:ascii="宋体" w:hAnsi="宋体" w:cs="宋体"/>
          <w:b w:val="0"/>
          <w:bCs w:val="0"/>
          <w:kern w:val="2"/>
          <w:sz w:val="28"/>
          <w:szCs w:val="28"/>
        </w:rPr>
        <w:t>、</w:t>
      </w:r>
      <w:bookmarkEnd w:id="92"/>
      <w:bookmarkEnd w:id="93"/>
      <w:bookmarkEnd w:id="94"/>
      <w:r>
        <w:rPr>
          <w:rFonts w:hint="eastAsia" w:ascii="宋体" w:hAnsi="宋体" w:eastAsia="宋体" w:cs="宋体"/>
          <w:b w:val="0"/>
          <w:bCs w:val="0"/>
          <w:kern w:val="2"/>
          <w:sz w:val="28"/>
          <w:szCs w:val="28"/>
          <w:lang w:val="en-US" w:eastAsia="zh-CN" w:bidi="ar-SA"/>
        </w:rPr>
        <w:t>投 标 函</w:t>
      </w:r>
      <w:bookmarkEnd w:id="95"/>
    </w:p>
    <w:p w14:paraId="11B774AA">
      <w:pPr>
        <w:pStyle w:val="26"/>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Ansi="宋体"/>
          <w:bCs/>
          <w:color w:val="auto"/>
          <w:sz w:val="22"/>
          <w:szCs w:val="22"/>
          <w:highlight w:val="none"/>
        </w:rPr>
      </w:pPr>
      <w:r>
        <w:rPr>
          <w:rFonts w:hint="eastAsia" w:hAnsi="宋体"/>
          <w:bCs/>
          <w:color w:val="auto"/>
          <w:sz w:val="22"/>
          <w:szCs w:val="22"/>
          <w:highlight w:val="none"/>
        </w:rPr>
        <w:t>__________________（采购人名称）：</w:t>
      </w:r>
    </w:p>
    <w:p w14:paraId="19694C91">
      <w:pPr>
        <w:pStyle w:val="26"/>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Ansi="宋体"/>
          <w:bCs/>
          <w:color w:val="auto"/>
          <w:sz w:val="22"/>
          <w:szCs w:val="22"/>
          <w:highlight w:val="none"/>
        </w:rPr>
      </w:pPr>
      <w:r>
        <w:rPr>
          <w:rFonts w:hint="eastAsia" w:hAnsi="宋体"/>
          <w:bCs/>
          <w:color w:val="auto"/>
          <w:sz w:val="22"/>
          <w:szCs w:val="22"/>
          <w:highlight w:val="none"/>
        </w:rPr>
        <w:t xml:space="preserve">我方全面研究了 </w:t>
      </w:r>
      <w:r>
        <w:rPr>
          <w:rFonts w:hint="eastAsia" w:hAnsi="宋体"/>
          <w:bCs/>
          <w:color w:val="auto"/>
          <w:sz w:val="22"/>
          <w:szCs w:val="22"/>
          <w:highlight w:val="none"/>
          <w:u w:val="single"/>
          <w:lang w:val="en-US" w:eastAsia="zh-CN"/>
        </w:rPr>
        <w:t xml:space="preserve">    </w:t>
      </w:r>
      <w:r>
        <w:rPr>
          <w:rFonts w:hint="default" w:hAnsi="宋体"/>
          <w:bCs/>
          <w:color w:val="auto"/>
          <w:sz w:val="22"/>
          <w:szCs w:val="22"/>
          <w:highlight w:val="none"/>
          <w:u w:val="single"/>
          <w:lang w:val="en" w:eastAsia="zh-CN"/>
        </w:rPr>
        <w:t>（</w:t>
      </w:r>
      <w:r>
        <w:rPr>
          <w:rFonts w:hint="eastAsia" w:hAnsi="宋体"/>
          <w:bCs/>
          <w:color w:val="auto"/>
          <w:sz w:val="22"/>
          <w:szCs w:val="22"/>
          <w:highlight w:val="none"/>
          <w:u w:val="single"/>
          <w:lang w:val="en-US" w:eastAsia="zh-CN"/>
        </w:rPr>
        <w:t>项目名称</w:t>
      </w:r>
      <w:r>
        <w:rPr>
          <w:rFonts w:hint="default" w:hAnsi="宋体"/>
          <w:bCs/>
          <w:color w:val="auto"/>
          <w:sz w:val="22"/>
          <w:szCs w:val="22"/>
          <w:highlight w:val="none"/>
          <w:u w:val="single"/>
          <w:lang w:val="en" w:eastAsia="zh-CN"/>
        </w:rPr>
        <w:t>）</w:t>
      </w:r>
      <w:r>
        <w:rPr>
          <w:rFonts w:hint="eastAsia" w:hAnsi="宋体"/>
          <w:bCs/>
          <w:color w:val="auto"/>
          <w:sz w:val="22"/>
          <w:szCs w:val="22"/>
          <w:highlight w:val="none"/>
          <w:u w:val="single"/>
          <w:lang w:val="en-US" w:eastAsia="zh-CN"/>
        </w:rPr>
        <w:t xml:space="preserve">      </w:t>
      </w:r>
      <w:r>
        <w:rPr>
          <w:rFonts w:hint="eastAsia" w:hAnsi="宋体"/>
          <w:bCs/>
          <w:color w:val="auto"/>
          <w:sz w:val="22"/>
          <w:szCs w:val="22"/>
          <w:highlight w:val="none"/>
        </w:rPr>
        <w:t>招标文件（</w:t>
      </w:r>
      <w:r>
        <w:rPr>
          <w:rFonts w:hint="eastAsia" w:hAnsi="宋体"/>
          <w:bCs/>
          <w:color w:val="auto"/>
          <w:sz w:val="22"/>
          <w:szCs w:val="22"/>
          <w:highlight w:val="none"/>
          <w:u w:val="single"/>
          <w:lang w:val="en-US" w:eastAsia="zh-CN"/>
        </w:rPr>
        <w:t xml:space="preserve">  项目</w:t>
      </w:r>
      <w:r>
        <w:rPr>
          <w:rFonts w:hint="eastAsia" w:hAnsi="宋体"/>
          <w:bCs/>
          <w:color w:val="auto"/>
          <w:sz w:val="22"/>
          <w:szCs w:val="22"/>
          <w:highlight w:val="none"/>
          <w:u w:val="single"/>
        </w:rPr>
        <w:t>编号</w:t>
      </w:r>
      <w:r>
        <w:rPr>
          <w:rFonts w:hint="eastAsia" w:hAnsi="宋体"/>
          <w:bCs/>
          <w:color w:val="auto"/>
          <w:sz w:val="22"/>
          <w:szCs w:val="22"/>
          <w:highlight w:val="none"/>
          <w:u w:val="single"/>
          <w:lang w:val="en-US" w:eastAsia="zh-CN"/>
        </w:rPr>
        <w:t xml:space="preserve">  </w:t>
      </w:r>
      <w:r>
        <w:rPr>
          <w:rFonts w:hint="eastAsia" w:hAnsi="宋体"/>
          <w:bCs/>
          <w:color w:val="auto"/>
          <w:sz w:val="22"/>
          <w:szCs w:val="22"/>
          <w:highlight w:val="none"/>
        </w:rPr>
        <w:t>），决定参加贵单位组织的本项目投标。我方授权</w:t>
      </w:r>
      <w:r>
        <w:rPr>
          <w:rFonts w:hint="eastAsia" w:hAnsi="宋体"/>
          <w:bCs/>
          <w:color w:val="auto"/>
          <w:sz w:val="22"/>
          <w:szCs w:val="22"/>
          <w:highlight w:val="none"/>
          <w:u w:val="single"/>
          <w:lang w:val="en-US" w:eastAsia="zh-CN"/>
        </w:rPr>
        <w:t xml:space="preserve">   </w:t>
      </w:r>
      <w:r>
        <w:rPr>
          <w:rFonts w:hint="eastAsia" w:hAnsi="宋体"/>
          <w:bCs/>
          <w:color w:val="auto"/>
          <w:sz w:val="22"/>
          <w:szCs w:val="22"/>
          <w:highlight w:val="none"/>
          <w:u w:val="single"/>
        </w:rPr>
        <w:t>（姓名、职务）</w:t>
      </w:r>
      <w:r>
        <w:rPr>
          <w:rFonts w:hint="eastAsia" w:hAnsi="宋体"/>
          <w:bCs/>
          <w:color w:val="auto"/>
          <w:sz w:val="22"/>
          <w:szCs w:val="22"/>
          <w:highlight w:val="none"/>
          <w:u w:val="single"/>
          <w:lang w:val="en-US" w:eastAsia="zh-CN"/>
        </w:rPr>
        <w:t xml:space="preserve">      </w:t>
      </w:r>
      <w:r>
        <w:rPr>
          <w:rFonts w:hint="eastAsia" w:hAnsi="宋体"/>
          <w:bCs/>
          <w:color w:val="auto"/>
          <w:sz w:val="22"/>
          <w:szCs w:val="22"/>
          <w:highlight w:val="none"/>
        </w:rPr>
        <w:t>代表我方</w:t>
      </w:r>
      <w:r>
        <w:rPr>
          <w:rFonts w:hint="eastAsia" w:hAnsi="宋体"/>
          <w:bCs/>
          <w:color w:val="auto"/>
          <w:sz w:val="22"/>
          <w:szCs w:val="22"/>
          <w:highlight w:val="none"/>
          <w:u w:val="single"/>
          <w:lang w:val="en-US" w:eastAsia="zh-CN"/>
        </w:rPr>
        <w:t xml:space="preserve">      （</w:t>
      </w:r>
      <w:r>
        <w:rPr>
          <w:rFonts w:hint="eastAsia" w:hAnsi="宋体"/>
          <w:bCs/>
          <w:color w:val="auto"/>
          <w:sz w:val="22"/>
          <w:szCs w:val="22"/>
          <w:highlight w:val="none"/>
          <w:u w:val="single"/>
        </w:rPr>
        <w:t>投标</w:t>
      </w:r>
      <w:r>
        <w:rPr>
          <w:rFonts w:hint="eastAsia" w:hAnsi="宋体"/>
          <w:bCs/>
          <w:color w:val="auto"/>
          <w:sz w:val="22"/>
          <w:szCs w:val="22"/>
          <w:highlight w:val="none"/>
          <w:u w:val="single"/>
          <w:lang w:eastAsia="zh-CN"/>
        </w:rPr>
        <w:t>人</w:t>
      </w:r>
      <w:r>
        <w:rPr>
          <w:rFonts w:hint="eastAsia" w:hAnsi="宋体"/>
          <w:bCs/>
          <w:color w:val="auto"/>
          <w:sz w:val="22"/>
          <w:szCs w:val="22"/>
          <w:highlight w:val="none"/>
          <w:u w:val="single"/>
        </w:rPr>
        <w:t>名称</w:t>
      </w:r>
      <w:r>
        <w:rPr>
          <w:rFonts w:hint="eastAsia" w:hAnsi="宋体"/>
          <w:bCs/>
          <w:color w:val="auto"/>
          <w:sz w:val="22"/>
          <w:szCs w:val="22"/>
          <w:highlight w:val="none"/>
          <w:u w:val="single"/>
          <w:lang w:eastAsia="zh-CN"/>
        </w:rPr>
        <w:t>）</w:t>
      </w:r>
      <w:r>
        <w:rPr>
          <w:rFonts w:hint="eastAsia" w:hAnsi="宋体"/>
          <w:bCs/>
          <w:color w:val="auto"/>
          <w:sz w:val="22"/>
          <w:szCs w:val="22"/>
          <w:highlight w:val="none"/>
          <w:u w:val="single"/>
          <w:lang w:val="en-US" w:eastAsia="zh-CN"/>
        </w:rPr>
        <w:t xml:space="preserve">    </w:t>
      </w:r>
      <w:r>
        <w:rPr>
          <w:rFonts w:hint="eastAsia" w:hAnsi="宋体"/>
          <w:bCs/>
          <w:color w:val="auto"/>
          <w:sz w:val="22"/>
          <w:szCs w:val="22"/>
          <w:highlight w:val="none"/>
        </w:rPr>
        <w:t>全权处理本项目投标的有关事宜。</w:t>
      </w:r>
    </w:p>
    <w:p w14:paraId="1CE004CB">
      <w:pPr>
        <w:pStyle w:val="26"/>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Ansi="宋体"/>
          <w:bCs/>
          <w:color w:val="auto"/>
          <w:sz w:val="22"/>
          <w:szCs w:val="22"/>
          <w:highlight w:val="none"/>
        </w:rPr>
      </w:pPr>
      <w:r>
        <w:rPr>
          <w:rFonts w:hint="eastAsia" w:hAnsi="宋体"/>
          <w:bCs/>
          <w:color w:val="auto"/>
          <w:sz w:val="22"/>
          <w:szCs w:val="22"/>
          <w:highlight w:val="none"/>
        </w:rPr>
        <w:t>1</w:t>
      </w:r>
      <w:r>
        <w:rPr>
          <w:rFonts w:hint="eastAsia" w:hAnsi="宋体"/>
          <w:b/>
          <w:color w:val="auto"/>
          <w:kern w:val="2"/>
          <w:sz w:val="22"/>
          <w:szCs w:val="22"/>
          <w:highlight w:val="none"/>
        </w:rPr>
        <w:t>.</w:t>
      </w:r>
      <w:r>
        <w:rPr>
          <w:rFonts w:hint="eastAsia" w:hAnsi="宋体"/>
          <w:bCs/>
          <w:color w:val="auto"/>
          <w:sz w:val="22"/>
          <w:szCs w:val="22"/>
          <w:highlight w:val="none"/>
        </w:rPr>
        <w:t>我方自愿按照招标文件规定的各项要求向采购人提供所需货物/服务，总投标价为人民币</w:t>
      </w:r>
      <w:r>
        <w:rPr>
          <w:rFonts w:hint="eastAsia" w:hAnsi="宋体"/>
          <w:bCs/>
          <w:color w:val="auto"/>
          <w:sz w:val="22"/>
          <w:szCs w:val="22"/>
          <w:highlight w:val="none"/>
          <w:u w:val="single"/>
          <w:lang w:val="en-US" w:eastAsia="zh-CN"/>
        </w:rPr>
        <w:t xml:space="preserve">               </w:t>
      </w:r>
      <w:r>
        <w:rPr>
          <w:rFonts w:hint="eastAsia" w:hAnsi="宋体"/>
          <w:bCs/>
          <w:color w:val="auto"/>
          <w:sz w:val="22"/>
          <w:szCs w:val="22"/>
          <w:highlight w:val="none"/>
        </w:rPr>
        <w:t>万元（大写：</w:t>
      </w:r>
      <w:r>
        <w:rPr>
          <w:rFonts w:hint="eastAsia" w:hAnsi="宋体"/>
          <w:bCs/>
          <w:color w:val="auto"/>
          <w:sz w:val="22"/>
          <w:szCs w:val="22"/>
          <w:highlight w:val="none"/>
          <w:u w:val="single"/>
          <w:lang w:val="en-US" w:eastAsia="zh-CN"/>
        </w:rPr>
        <w:t xml:space="preserve">          </w:t>
      </w:r>
      <w:r>
        <w:rPr>
          <w:rFonts w:hint="eastAsia" w:hAnsi="宋体"/>
          <w:bCs/>
          <w:color w:val="auto"/>
          <w:sz w:val="22"/>
          <w:szCs w:val="22"/>
          <w:highlight w:val="none"/>
        </w:rPr>
        <w:t>）。</w:t>
      </w:r>
    </w:p>
    <w:p w14:paraId="783366C3">
      <w:pPr>
        <w:pStyle w:val="26"/>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hAnsi="宋体"/>
          <w:bCs/>
          <w:color w:val="auto"/>
          <w:sz w:val="22"/>
          <w:szCs w:val="22"/>
          <w:highlight w:val="none"/>
        </w:rPr>
      </w:pPr>
      <w:r>
        <w:rPr>
          <w:rFonts w:hint="eastAsia" w:hAnsi="宋体"/>
          <w:bCs/>
          <w:color w:val="auto"/>
          <w:sz w:val="22"/>
          <w:szCs w:val="22"/>
          <w:highlight w:val="none"/>
        </w:rPr>
        <w:t>2.一旦我方中标，我方将严格履行合同规定的责任和义务，保证于合同签字生效后</w:t>
      </w:r>
    </w:p>
    <w:p w14:paraId="221350A8">
      <w:pPr>
        <w:pStyle w:val="26"/>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Ansi="宋体"/>
          <w:bCs/>
          <w:color w:val="auto"/>
          <w:sz w:val="22"/>
          <w:szCs w:val="22"/>
          <w:highlight w:val="none"/>
        </w:rPr>
      </w:pPr>
      <w:r>
        <w:rPr>
          <w:rFonts w:hint="eastAsia" w:hAnsi="宋体"/>
          <w:bCs/>
          <w:color w:val="auto"/>
          <w:sz w:val="22"/>
          <w:szCs w:val="22"/>
          <w:highlight w:val="none"/>
          <w:u w:val="single"/>
          <w:lang w:val="en-US" w:eastAsia="zh-CN"/>
        </w:rPr>
        <w:t xml:space="preserve">      </w:t>
      </w:r>
      <w:r>
        <w:rPr>
          <w:rFonts w:hint="eastAsia" w:hAnsi="宋体"/>
          <w:bCs/>
          <w:color w:val="auto"/>
          <w:sz w:val="22"/>
          <w:szCs w:val="22"/>
          <w:highlight w:val="none"/>
        </w:rPr>
        <w:t>日内完成</w:t>
      </w:r>
      <w:r>
        <w:rPr>
          <w:rFonts w:hint="eastAsia" w:hAnsi="宋体"/>
          <w:bCs/>
          <w:color w:val="auto"/>
          <w:sz w:val="22"/>
          <w:szCs w:val="22"/>
          <w:highlight w:val="none"/>
          <w:lang w:eastAsia="zh-CN"/>
        </w:rPr>
        <w:t>所采购标的物</w:t>
      </w:r>
      <w:r>
        <w:rPr>
          <w:rFonts w:hint="eastAsia" w:hAnsi="宋体"/>
          <w:bCs/>
          <w:color w:val="auto"/>
          <w:sz w:val="22"/>
          <w:szCs w:val="22"/>
          <w:highlight w:val="none"/>
        </w:rPr>
        <w:t>的安装、调试，并交付采购人验收、使用。</w:t>
      </w:r>
    </w:p>
    <w:p w14:paraId="455D0D8C">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hAnsi="宋体"/>
          <w:bCs/>
          <w:color w:val="auto"/>
          <w:sz w:val="22"/>
          <w:szCs w:val="22"/>
          <w:highlight w:val="none"/>
          <w:lang w:val="en-US" w:eastAsia="zh-CN"/>
        </w:rPr>
      </w:pPr>
      <w:r>
        <w:rPr>
          <w:rFonts w:hint="eastAsia" w:hAnsi="宋体"/>
          <w:bCs/>
          <w:color w:val="auto"/>
          <w:sz w:val="22"/>
          <w:szCs w:val="22"/>
          <w:highlight w:val="none"/>
        </w:rPr>
        <w:t>3.</w:t>
      </w:r>
      <w:r>
        <w:rPr>
          <w:rFonts w:hint="eastAsia" w:hAnsi="宋体"/>
          <w:bCs/>
          <w:color w:val="auto"/>
          <w:sz w:val="22"/>
          <w:szCs w:val="22"/>
          <w:highlight w:val="none"/>
          <w:lang w:val="en-US" w:eastAsia="zh-CN"/>
        </w:rPr>
        <w:t>我方同意本投标有效期为自开标日后</w:t>
      </w:r>
      <w:r>
        <w:rPr>
          <w:rFonts w:hint="eastAsia" w:hAnsi="宋体"/>
          <w:bCs/>
          <w:color w:val="auto"/>
          <w:sz w:val="22"/>
          <w:szCs w:val="22"/>
          <w:highlight w:val="none"/>
          <w:u w:val="single"/>
          <w:lang w:val="en-US" w:eastAsia="zh-CN"/>
        </w:rPr>
        <w:t xml:space="preserve">    </w:t>
      </w:r>
      <w:r>
        <w:rPr>
          <w:rFonts w:hint="eastAsia" w:hAnsi="宋体"/>
          <w:bCs/>
          <w:color w:val="auto"/>
          <w:sz w:val="22"/>
          <w:szCs w:val="22"/>
          <w:highlight w:val="none"/>
          <w:lang w:val="en-US" w:eastAsia="zh-CN"/>
        </w:rPr>
        <w:t>天。我方承诺严格遵守《中华人民共和国政府采购法》和《中华人民共和国政府采购法实施条例》，不会发生《政府采购法》第七十七条所列情形和《政府采购法实施条例》第七十二条所列情形，不会在投标有效期内撤回投标文件。如果在此期间内撤回投标或放弃中标资格，给贵方造成的损失我方进行赔偿。</w:t>
      </w:r>
    </w:p>
    <w:p w14:paraId="74FB723D">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color w:val="auto"/>
          <w:sz w:val="22"/>
          <w:szCs w:val="20"/>
          <w:highlight w:val="none"/>
        </w:rPr>
      </w:pPr>
      <w:r>
        <w:rPr>
          <w:rFonts w:hint="eastAsia"/>
          <w:color w:val="auto"/>
          <w:sz w:val="22"/>
          <w:szCs w:val="20"/>
          <w:highlight w:val="none"/>
        </w:rPr>
        <w:t>4. 我方承诺未列入“信用中国”网站（www.creditchina.gov.cn）、“信用甘肃”失信被执行人、重大税收违法案件当事人名单，也未列入中国政府采购网（www.ccgp.gov.cn）政府采购严重违法失信行为记录名单，符合《中华人民共和国政府采购法》第二十二条规定的各项条件，</w:t>
      </w:r>
      <w:r>
        <w:rPr>
          <w:rFonts w:hint="eastAsia"/>
          <w:color w:val="auto"/>
          <w:sz w:val="22"/>
          <w:szCs w:val="22"/>
          <w:highlight w:val="none"/>
        </w:rPr>
        <w:t>投标截止日前3年在经营活动中没有重大违法记录</w:t>
      </w:r>
      <w:r>
        <w:rPr>
          <w:rFonts w:hint="eastAsia"/>
          <w:color w:val="auto"/>
          <w:sz w:val="22"/>
          <w:szCs w:val="20"/>
          <w:highlight w:val="none"/>
        </w:rPr>
        <w:t>。</w:t>
      </w:r>
    </w:p>
    <w:p w14:paraId="76AF95CA">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color w:val="auto"/>
          <w:sz w:val="22"/>
          <w:szCs w:val="20"/>
          <w:highlight w:val="none"/>
        </w:rPr>
      </w:pPr>
      <w:r>
        <w:rPr>
          <w:rFonts w:hint="eastAsia"/>
          <w:color w:val="auto"/>
          <w:sz w:val="22"/>
          <w:szCs w:val="20"/>
          <w:highlight w:val="none"/>
        </w:rPr>
        <w:t>5</w:t>
      </w:r>
      <w:r>
        <w:rPr>
          <w:color w:val="auto"/>
          <w:sz w:val="22"/>
          <w:szCs w:val="20"/>
          <w:highlight w:val="none"/>
        </w:rPr>
        <w:t>.我</w:t>
      </w:r>
      <w:r>
        <w:rPr>
          <w:rFonts w:hint="eastAsia"/>
          <w:color w:val="auto"/>
          <w:sz w:val="22"/>
          <w:szCs w:val="20"/>
          <w:highlight w:val="none"/>
        </w:rPr>
        <w:t>方</w:t>
      </w:r>
      <w:r>
        <w:rPr>
          <w:color w:val="auto"/>
          <w:sz w:val="22"/>
          <w:szCs w:val="20"/>
          <w:highlight w:val="none"/>
        </w:rPr>
        <w:t>若中标，本承诺将成为合同不可分割的一部分，与合同具有同等的法律效力。</w:t>
      </w:r>
    </w:p>
    <w:p w14:paraId="71309B93">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color w:val="auto"/>
          <w:sz w:val="22"/>
          <w:szCs w:val="20"/>
          <w:highlight w:val="none"/>
        </w:rPr>
      </w:pPr>
      <w:r>
        <w:rPr>
          <w:rFonts w:hint="eastAsia"/>
          <w:color w:val="auto"/>
          <w:sz w:val="22"/>
          <w:szCs w:val="20"/>
          <w:highlight w:val="none"/>
        </w:rPr>
        <w:t>6. 如违反上述承诺，我方投标无效且接受相关部门依法作出的处罚，并承担通过“甘肃政府采购网”等相关媒体予以公布的任何风险和责任。</w:t>
      </w:r>
    </w:p>
    <w:p w14:paraId="4810DE50">
      <w:pPr>
        <w:pStyle w:val="26"/>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Ansi="宋体"/>
          <w:bCs/>
          <w:color w:val="auto"/>
          <w:sz w:val="22"/>
          <w:szCs w:val="22"/>
          <w:highlight w:val="none"/>
        </w:rPr>
      </w:pPr>
      <w:r>
        <w:rPr>
          <w:rFonts w:hint="eastAsia" w:hAnsi="宋体"/>
          <w:bCs/>
          <w:color w:val="auto"/>
          <w:sz w:val="22"/>
          <w:szCs w:val="22"/>
          <w:highlight w:val="none"/>
        </w:rPr>
        <w:t>7.我方愿意提供贵单位可能另外要求的，与投标有关的文件资料，并保证我方已提供和将要提供的文件资料是真实、准确的。</w:t>
      </w:r>
    </w:p>
    <w:p w14:paraId="09DAAB11">
      <w:pPr>
        <w:pStyle w:val="26"/>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hAnsi="宋体"/>
          <w:bCs/>
          <w:color w:val="auto"/>
          <w:sz w:val="22"/>
          <w:szCs w:val="22"/>
          <w:highlight w:val="none"/>
        </w:rPr>
      </w:pPr>
      <w:r>
        <w:rPr>
          <w:rFonts w:hint="eastAsia" w:hAnsi="宋体"/>
          <w:bCs/>
          <w:color w:val="auto"/>
          <w:sz w:val="22"/>
          <w:szCs w:val="22"/>
          <w:highlight w:val="none"/>
          <w:lang w:val="en-US" w:eastAsia="zh-CN"/>
        </w:rPr>
        <w:t>8</w:t>
      </w:r>
      <w:r>
        <w:rPr>
          <w:rFonts w:hint="eastAsia" w:hAnsi="宋体"/>
          <w:bCs/>
          <w:color w:val="auto"/>
          <w:sz w:val="22"/>
          <w:szCs w:val="22"/>
          <w:highlight w:val="none"/>
        </w:rPr>
        <w:t>.我方完全理解采购人不一定将合同授予最低报价的投标人的行为。</w:t>
      </w:r>
    </w:p>
    <w:p w14:paraId="272AF96D">
      <w:pPr>
        <w:pStyle w:val="26"/>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hAnsi="宋体"/>
          <w:bCs/>
          <w:color w:val="auto"/>
          <w:sz w:val="22"/>
          <w:szCs w:val="22"/>
          <w:highlight w:val="none"/>
        </w:rPr>
      </w:pPr>
    </w:p>
    <w:p w14:paraId="689B1969">
      <w:pPr>
        <w:pStyle w:val="26"/>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Ansi="宋体"/>
          <w:bCs/>
          <w:color w:val="auto"/>
          <w:sz w:val="22"/>
          <w:szCs w:val="22"/>
          <w:highlight w:val="none"/>
        </w:rPr>
      </w:pPr>
      <w:r>
        <w:rPr>
          <w:rFonts w:hint="eastAsia" w:hAnsi="宋体"/>
          <w:bCs/>
          <w:color w:val="auto"/>
          <w:sz w:val="22"/>
          <w:szCs w:val="22"/>
          <w:highlight w:val="none"/>
        </w:rPr>
        <w:t>投标人（</w:t>
      </w:r>
      <w:r>
        <w:rPr>
          <w:rFonts w:hint="eastAsia" w:hAnsi="宋体"/>
          <w:color w:val="auto"/>
          <w:sz w:val="22"/>
          <w:szCs w:val="22"/>
          <w:highlight w:val="none"/>
        </w:rPr>
        <w:t>公章</w:t>
      </w:r>
      <w:r>
        <w:rPr>
          <w:rFonts w:hint="eastAsia" w:hAnsi="宋体"/>
          <w:bCs/>
          <w:color w:val="auto"/>
          <w:sz w:val="22"/>
          <w:szCs w:val="22"/>
          <w:highlight w:val="none"/>
        </w:rPr>
        <w:t>）：               法定代表人或</w:t>
      </w:r>
      <w:r>
        <w:rPr>
          <w:rFonts w:hint="eastAsia" w:hAnsi="宋体"/>
          <w:bCs/>
          <w:color w:val="auto"/>
          <w:sz w:val="22"/>
          <w:szCs w:val="22"/>
          <w:highlight w:val="none"/>
          <w:lang w:eastAsia="zh-CN"/>
        </w:rPr>
        <w:t>授权代表</w:t>
      </w:r>
      <w:r>
        <w:rPr>
          <w:rFonts w:hint="eastAsia" w:hAnsi="宋体"/>
          <w:bCs/>
          <w:color w:val="auto"/>
          <w:sz w:val="22"/>
          <w:szCs w:val="22"/>
          <w:highlight w:val="none"/>
        </w:rPr>
        <w:t>（签字</w:t>
      </w:r>
      <w:r>
        <w:rPr>
          <w:rFonts w:hint="eastAsia" w:hAnsi="宋体"/>
          <w:color w:val="auto"/>
          <w:sz w:val="22"/>
          <w:szCs w:val="22"/>
          <w:highlight w:val="none"/>
          <w:lang w:eastAsia="zh-CN"/>
        </w:rPr>
        <w:t>或盖章</w:t>
      </w:r>
      <w:r>
        <w:rPr>
          <w:rFonts w:hint="eastAsia" w:hAnsi="宋体"/>
          <w:bCs/>
          <w:color w:val="auto"/>
          <w:sz w:val="22"/>
          <w:szCs w:val="22"/>
          <w:highlight w:val="none"/>
        </w:rPr>
        <w:t>）：</w:t>
      </w:r>
    </w:p>
    <w:p w14:paraId="43C09BB3">
      <w:pPr>
        <w:pStyle w:val="26"/>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Ansi="宋体"/>
          <w:bCs/>
          <w:color w:val="auto"/>
          <w:sz w:val="22"/>
          <w:szCs w:val="22"/>
          <w:highlight w:val="none"/>
        </w:rPr>
      </w:pPr>
      <w:r>
        <w:rPr>
          <w:rFonts w:hint="eastAsia" w:hAnsi="宋体"/>
          <w:bCs/>
          <w:color w:val="auto"/>
          <w:sz w:val="22"/>
          <w:szCs w:val="22"/>
          <w:highlight w:val="none"/>
        </w:rPr>
        <w:t>通讯地址：                     邮政编码：</w:t>
      </w:r>
    </w:p>
    <w:p w14:paraId="73E0952F">
      <w:pPr>
        <w:pStyle w:val="26"/>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Ansi="宋体"/>
          <w:bCs/>
          <w:color w:val="auto"/>
          <w:sz w:val="22"/>
          <w:szCs w:val="22"/>
          <w:highlight w:val="none"/>
        </w:rPr>
      </w:pPr>
      <w:r>
        <w:rPr>
          <w:rFonts w:hint="eastAsia" w:hAnsi="宋体"/>
          <w:bCs/>
          <w:color w:val="auto"/>
          <w:sz w:val="22"/>
          <w:szCs w:val="22"/>
          <w:highlight w:val="none"/>
        </w:rPr>
        <w:t>联系电话：                     传    真：</w:t>
      </w:r>
    </w:p>
    <w:p w14:paraId="2133FD4A">
      <w:pPr>
        <w:pStyle w:val="26"/>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ascii="宋体"/>
          <w:sz w:val="22"/>
          <w:szCs w:val="22"/>
        </w:rPr>
      </w:pPr>
      <w:r>
        <w:rPr>
          <w:rFonts w:hint="eastAsia" w:hAnsi="宋体"/>
          <w:bCs/>
          <w:color w:val="auto"/>
          <w:sz w:val="22"/>
          <w:szCs w:val="22"/>
          <w:highlight w:val="none"/>
        </w:rPr>
        <w:t>日    期：   年   月   日</w:t>
      </w:r>
    </w:p>
    <w:p w14:paraId="78DBB278">
      <w:pPr>
        <w:pStyle w:val="5"/>
        <w:pageBreakBefore/>
        <w:adjustRightInd/>
        <w:spacing w:before="0" w:after="0" w:line="360" w:lineRule="auto"/>
        <w:jc w:val="center"/>
        <w:textAlignment w:val="auto"/>
        <w:outlineLvl w:val="1"/>
        <w:rPr>
          <w:rFonts w:ascii="宋体"/>
          <w:b w:val="0"/>
          <w:bCs w:val="0"/>
          <w:kern w:val="2"/>
          <w:sz w:val="28"/>
          <w:szCs w:val="28"/>
        </w:rPr>
      </w:pPr>
      <w:bookmarkStart w:id="96" w:name="_Toc3377"/>
      <w:bookmarkStart w:id="97" w:name="_Toc24899"/>
      <w:bookmarkStart w:id="98" w:name="_Toc7829"/>
      <w:r>
        <w:rPr>
          <w:rFonts w:hint="eastAsia" w:ascii="宋体" w:hAnsi="宋体" w:cs="宋体"/>
          <w:b w:val="0"/>
          <w:bCs w:val="0"/>
          <w:kern w:val="2"/>
          <w:sz w:val="28"/>
          <w:szCs w:val="28"/>
          <w:lang w:val="en-US" w:eastAsia="zh-CN"/>
        </w:rPr>
        <w:t>三</w:t>
      </w:r>
      <w:r>
        <w:rPr>
          <w:rFonts w:hint="eastAsia" w:ascii="宋体" w:hAnsi="宋体" w:cs="宋体"/>
          <w:b w:val="0"/>
          <w:bCs w:val="0"/>
          <w:kern w:val="2"/>
          <w:sz w:val="28"/>
          <w:szCs w:val="28"/>
        </w:rPr>
        <w:t>、</w:t>
      </w:r>
      <w:bookmarkEnd w:id="96"/>
      <w:r>
        <w:rPr>
          <w:rFonts w:hint="eastAsia" w:ascii="宋体" w:hAnsi="宋体" w:cs="宋体"/>
          <w:b w:val="0"/>
          <w:bCs w:val="0"/>
          <w:kern w:val="2"/>
          <w:sz w:val="28"/>
          <w:szCs w:val="28"/>
        </w:rPr>
        <w:t>开标一览表</w:t>
      </w:r>
      <w:bookmarkEnd w:id="97"/>
      <w:bookmarkEnd w:id="98"/>
    </w:p>
    <w:p w14:paraId="71A6EF86">
      <w:pPr>
        <w:adjustRightInd w:val="0"/>
        <w:snapToGrid w:val="0"/>
        <w:spacing w:line="360" w:lineRule="auto"/>
        <w:ind w:left="-88" w:leftChars="-42"/>
        <w:rPr>
          <w:rFonts w:ascii="宋体"/>
          <w:color w:val="000000"/>
          <w:sz w:val="22"/>
          <w:szCs w:val="22"/>
        </w:rPr>
      </w:pPr>
    </w:p>
    <w:p w14:paraId="407FF4B2">
      <w:pPr>
        <w:spacing w:line="360" w:lineRule="auto"/>
        <w:rPr>
          <w:rFonts w:hint="eastAsia" w:ascii="宋体" w:hAnsi="宋体"/>
          <w:color w:val="auto"/>
          <w:sz w:val="22"/>
          <w:szCs w:val="22"/>
        </w:rPr>
      </w:pPr>
      <w:r>
        <w:rPr>
          <w:rFonts w:hint="eastAsia" w:ascii="宋体" w:hAnsi="宋体"/>
          <w:color w:val="auto"/>
          <w:sz w:val="22"/>
          <w:szCs w:val="22"/>
        </w:rPr>
        <w:t xml:space="preserve">投标人名称： </w:t>
      </w:r>
    </w:p>
    <w:p w14:paraId="3B50EAE8">
      <w:pPr>
        <w:spacing w:line="360" w:lineRule="auto"/>
        <w:rPr>
          <w:rFonts w:hint="eastAsia" w:ascii="宋体" w:hAnsi="宋体"/>
          <w:color w:val="auto"/>
          <w:sz w:val="22"/>
          <w:szCs w:val="22"/>
        </w:rPr>
      </w:pPr>
      <w:r>
        <w:rPr>
          <w:rFonts w:hint="eastAsia" w:ascii="宋体" w:hAnsi="宋体"/>
          <w:color w:val="auto"/>
          <w:sz w:val="22"/>
          <w:szCs w:val="22"/>
        </w:rPr>
        <w:t xml:space="preserve">项目名称：        </w:t>
      </w:r>
    </w:p>
    <w:p w14:paraId="4EC17227">
      <w:pPr>
        <w:spacing w:line="360" w:lineRule="auto"/>
        <w:rPr>
          <w:rFonts w:hint="eastAsia" w:ascii="宋体" w:hAnsi="宋体"/>
          <w:color w:val="auto"/>
          <w:sz w:val="22"/>
          <w:szCs w:val="22"/>
        </w:rPr>
      </w:pPr>
      <w:r>
        <w:rPr>
          <w:rFonts w:hint="eastAsia" w:ascii="宋体" w:hAnsi="宋体"/>
          <w:color w:val="auto"/>
          <w:sz w:val="22"/>
          <w:szCs w:val="22"/>
        </w:rPr>
        <w:t xml:space="preserve">招标文件编号：                          </w:t>
      </w:r>
      <w:r>
        <w:rPr>
          <w:rFonts w:hint="eastAsia" w:hAnsi="宋体"/>
          <w:color w:val="auto"/>
          <w:sz w:val="22"/>
          <w:szCs w:val="22"/>
          <w:lang w:val="en-US" w:eastAsia="zh-CN"/>
        </w:rPr>
        <w:t xml:space="preserve">         </w:t>
      </w:r>
      <w:r>
        <w:rPr>
          <w:rFonts w:hint="eastAsia" w:ascii="宋体" w:hAnsi="宋体"/>
          <w:color w:val="auto"/>
          <w:sz w:val="22"/>
          <w:szCs w:val="22"/>
        </w:rPr>
        <w:t xml:space="preserve">包号：  </w:t>
      </w:r>
      <w:r>
        <w:rPr>
          <w:rFonts w:hint="eastAsia" w:ascii="宋体" w:hAnsi="宋体"/>
          <w:color w:val="auto"/>
          <w:sz w:val="22"/>
          <w:szCs w:val="22"/>
          <w:lang w:val="en-US" w:eastAsia="zh-CN"/>
        </w:rPr>
        <w:t>/</w:t>
      </w:r>
      <w:r>
        <w:rPr>
          <w:rFonts w:hint="eastAsia" w:ascii="宋体" w:hAnsi="宋体"/>
          <w:color w:val="auto"/>
          <w:sz w:val="22"/>
          <w:szCs w:val="22"/>
        </w:rPr>
        <w:t xml:space="preserve">      </w:t>
      </w:r>
    </w:p>
    <w:p w14:paraId="16D7CC2B">
      <w:pPr>
        <w:spacing w:line="360" w:lineRule="auto"/>
        <w:rPr>
          <w:rFonts w:hint="eastAsia" w:ascii="宋体" w:hAnsi="宋体"/>
          <w:color w:val="auto"/>
          <w:sz w:val="22"/>
          <w:szCs w:val="22"/>
        </w:rPr>
      </w:pPr>
      <w:r>
        <w:rPr>
          <w:rFonts w:hint="eastAsia" w:ascii="宋体" w:hAnsi="宋体"/>
          <w:color w:val="auto"/>
          <w:sz w:val="22"/>
          <w:szCs w:val="22"/>
        </w:rPr>
        <w:t>币种：人民币</w:t>
      </w:r>
    </w:p>
    <w:tbl>
      <w:tblPr>
        <w:tblStyle w:val="46"/>
        <w:tblW w:w="79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436"/>
        <w:gridCol w:w="1231"/>
        <w:gridCol w:w="1350"/>
        <w:gridCol w:w="1669"/>
        <w:gridCol w:w="1194"/>
      </w:tblGrid>
      <w:tr w14:paraId="70299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1" w:type="dxa"/>
            <w:vAlign w:val="center"/>
          </w:tcPr>
          <w:p w14:paraId="21A195DD">
            <w:pPr>
              <w:spacing w:line="460" w:lineRule="exact"/>
              <w:jc w:val="center"/>
              <w:rPr>
                <w:color w:val="auto"/>
                <w:sz w:val="22"/>
                <w:szCs w:val="20"/>
              </w:rPr>
            </w:pPr>
            <w:r>
              <w:rPr>
                <w:rFonts w:hint="eastAsia"/>
                <w:color w:val="auto"/>
                <w:sz w:val="22"/>
                <w:szCs w:val="20"/>
                <w:lang w:eastAsia="zh-CN"/>
              </w:rPr>
              <w:t>序</w:t>
            </w:r>
            <w:r>
              <w:rPr>
                <w:color w:val="auto"/>
                <w:sz w:val="22"/>
                <w:szCs w:val="20"/>
              </w:rPr>
              <w:t>号</w:t>
            </w:r>
          </w:p>
        </w:tc>
        <w:tc>
          <w:tcPr>
            <w:tcW w:w="1436" w:type="dxa"/>
            <w:vAlign w:val="center"/>
          </w:tcPr>
          <w:p w14:paraId="79BF40B0">
            <w:pPr>
              <w:spacing w:line="460" w:lineRule="exact"/>
              <w:jc w:val="center"/>
              <w:rPr>
                <w:color w:val="auto"/>
                <w:sz w:val="22"/>
                <w:szCs w:val="20"/>
              </w:rPr>
            </w:pPr>
            <w:r>
              <w:rPr>
                <w:rFonts w:hint="eastAsia"/>
                <w:color w:val="auto"/>
                <w:sz w:val="22"/>
                <w:szCs w:val="20"/>
                <w:lang w:eastAsia="zh-CN"/>
              </w:rPr>
              <w:t>货物</w:t>
            </w:r>
            <w:r>
              <w:rPr>
                <w:color w:val="auto"/>
                <w:sz w:val="22"/>
                <w:szCs w:val="20"/>
              </w:rPr>
              <w:t>名称</w:t>
            </w:r>
          </w:p>
        </w:tc>
        <w:tc>
          <w:tcPr>
            <w:tcW w:w="1231" w:type="dxa"/>
            <w:vAlign w:val="center"/>
          </w:tcPr>
          <w:p w14:paraId="7CCE58FB">
            <w:pPr>
              <w:spacing w:line="460" w:lineRule="exact"/>
              <w:jc w:val="center"/>
              <w:rPr>
                <w:color w:val="auto"/>
                <w:sz w:val="22"/>
                <w:szCs w:val="20"/>
              </w:rPr>
            </w:pPr>
            <w:r>
              <w:rPr>
                <w:color w:val="auto"/>
                <w:sz w:val="22"/>
                <w:szCs w:val="20"/>
              </w:rPr>
              <w:t>品牌</w:t>
            </w:r>
          </w:p>
        </w:tc>
        <w:tc>
          <w:tcPr>
            <w:tcW w:w="1350" w:type="dxa"/>
            <w:vAlign w:val="center"/>
          </w:tcPr>
          <w:p w14:paraId="10D7753B">
            <w:pPr>
              <w:spacing w:line="460" w:lineRule="exact"/>
              <w:jc w:val="center"/>
              <w:rPr>
                <w:rFonts w:hint="eastAsia" w:eastAsia="宋体"/>
                <w:color w:val="auto"/>
                <w:sz w:val="22"/>
                <w:szCs w:val="20"/>
                <w:lang w:eastAsia="zh-CN"/>
              </w:rPr>
            </w:pPr>
            <w:r>
              <w:rPr>
                <w:rFonts w:hint="eastAsia"/>
                <w:color w:val="auto"/>
                <w:sz w:val="22"/>
                <w:szCs w:val="20"/>
                <w:lang w:eastAsia="zh-CN"/>
              </w:rPr>
              <w:t>数量</w:t>
            </w:r>
          </w:p>
        </w:tc>
        <w:tc>
          <w:tcPr>
            <w:tcW w:w="1669" w:type="dxa"/>
            <w:vAlign w:val="center"/>
          </w:tcPr>
          <w:p w14:paraId="18645D74">
            <w:pPr>
              <w:spacing w:line="460" w:lineRule="exact"/>
              <w:jc w:val="center"/>
              <w:rPr>
                <w:color w:val="auto"/>
                <w:sz w:val="22"/>
                <w:szCs w:val="20"/>
              </w:rPr>
            </w:pPr>
            <w:r>
              <w:rPr>
                <w:color w:val="auto"/>
                <w:sz w:val="22"/>
                <w:szCs w:val="20"/>
              </w:rPr>
              <w:t>交货期</w:t>
            </w:r>
          </w:p>
        </w:tc>
        <w:tc>
          <w:tcPr>
            <w:tcW w:w="1194" w:type="dxa"/>
            <w:vAlign w:val="center"/>
          </w:tcPr>
          <w:p w14:paraId="37B1F7B9">
            <w:pPr>
              <w:spacing w:line="460" w:lineRule="exact"/>
              <w:jc w:val="center"/>
              <w:rPr>
                <w:color w:val="auto"/>
                <w:sz w:val="22"/>
                <w:szCs w:val="20"/>
              </w:rPr>
            </w:pPr>
            <w:r>
              <w:rPr>
                <w:color w:val="auto"/>
                <w:sz w:val="22"/>
                <w:szCs w:val="20"/>
              </w:rPr>
              <w:t>备注</w:t>
            </w:r>
          </w:p>
        </w:tc>
      </w:tr>
      <w:tr w14:paraId="53EA4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1" w:type="dxa"/>
            <w:vAlign w:val="center"/>
          </w:tcPr>
          <w:p w14:paraId="7B9F00C8">
            <w:pPr>
              <w:spacing w:line="460" w:lineRule="exact"/>
              <w:jc w:val="center"/>
              <w:rPr>
                <w:color w:val="auto"/>
                <w:sz w:val="22"/>
                <w:szCs w:val="20"/>
              </w:rPr>
            </w:pPr>
            <w:r>
              <w:rPr>
                <w:color w:val="auto"/>
                <w:sz w:val="22"/>
                <w:szCs w:val="20"/>
              </w:rPr>
              <w:t>1</w:t>
            </w:r>
          </w:p>
        </w:tc>
        <w:tc>
          <w:tcPr>
            <w:tcW w:w="1436" w:type="dxa"/>
            <w:vAlign w:val="center"/>
          </w:tcPr>
          <w:p w14:paraId="491B1FA7">
            <w:pPr>
              <w:spacing w:line="460" w:lineRule="exact"/>
              <w:jc w:val="center"/>
              <w:rPr>
                <w:color w:val="auto"/>
                <w:sz w:val="22"/>
                <w:szCs w:val="20"/>
              </w:rPr>
            </w:pPr>
          </w:p>
        </w:tc>
        <w:tc>
          <w:tcPr>
            <w:tcW w:w="1231" w:type="dxa"/>
            <w:vAlign w:val="center"/>
          </w:tcPr>
          <w:p w14:paraId="6F00186F">
            <w:pPr>
              <w:spacing w:line="460" w:lineRule="exact"/>
              <w:jc w:val="center"/>
              <w:rPr>
                <w:color w:val="auto"/>
                <w:sz w:val="22"/>
                <w:szCs w:val="20"/>
              </w:rPr>
            </w:pPr>
          </w:p>
        </w:tc>
        <w:tc>
          <w:tcPr>
            <w:tcW w:w="1350" w:type="dxa"/>
            <w:vAlign w:val="center"/>
          </w:tcPr>
          <w:p w14:paraId="772263BA">
            <w:pPr>
              <w:spacing w:line="460" w:lineRule="exact"/>
              <w:jc w:val="center"/>
              <w:rPr>
                <w:color w:val="auto"/>
                <w:sz w:val="22"/>
                <w:szCs w:val="20"/>
              </w:rPr>
            </w:pPr>
          </w:p>
        </w:tc>
        <w:tc>
          <w:tcPr>
            <w:tcW w:w="1669" w:type="dxa"/>
            <w:vAlign w:val="center"/>
          </w:tcPr>
          <w:p w14:paraId="00BC2CB0">
            <w:pPr>
              <w:spacing w:line="460" w:lineRule="exact"/>
              <w:jc w:val="center"/>
              <w:rPr>
                <w:color w:val="auto"/>
                <w:sz w:val="22"/>
                <w:szCs w:val="20"/>
              </w:rPr>
            </w:pPr>
          </w:p>
        </w:tc>
        <w:tc>
          <w:tcPr>
            <w:tcW w:w="1194" w:type="dxa"/>
            <w:vAlign w:val="center"/>
          </w:tcPr>
          <w:p w14:paraId="1D4B6E53">
            <w:pPr>
              <w:spacing w:line="460" w:lineRule="exact"/>
              <w:jc w:val="center"/>
              <w:rPr>
                <w:color w:val="auto"/>
                <w:sz w:val="22"/>
                <w:szCs w:val="20"/>
              </w:rPr>
            </w:pPr>
          </w:p>
        </w:tc>
      </w:tr>
      <w:tr w14:paraId="2A436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1" w:type="dxa"/>
            <w:vAlign w:val="center"/>
          </w:tcPr>
          <w:p w14:paraId="6B352085">
            <w:pPr>
              <w:spacing w:line="460" w:lineRule="exact"/>
              <w:jc w:val="center"/>
              <w:rPr>
                <w:color w:val="auto"/>
                <w:sz w:val="22"/>
                <w:szCs w:val="20"/>
              </w:rPr>
            </w:pPr>
            <w:r>
              <w:rPr>
                <w:rFonts w:hint="eastAsia"/>
                <w:color w:val="auto"/>
                <w:sz w:val="22"/>
                <w:szCs w:val="20"/>
              </w:rPr>
              <w:t>2</w:t>
            </w:r>
          </w:p>
        </w:tc>
        <w:tc>
          <w:tcPr>
            <w:tcW w:w="1436" w:type="dxa"/>
            <w:vAlign w:val="center"/>
          </w:tcPr>
          <w:p w14:paraId="5857684B">
            <w:pPr>
              <w:spacing w:line="460" w:lineRule="exact"/>
              <w:jc w:val="center"/>
              <w:rPr>
                <w:color w:val="auto"/>
                <w:sz w:val="22"/>
                <w:szCs w:val="20"/>
              </w:rPr>
            </w:pPr>
          </w:p>
        </w:tc>
        <w:tc>
          <w:tcPr>
            <w:tcW w:w="1231" w:type="dxa"/>
            <w:vAlign w:val="center"/>
          </w:tcPr>
          <w:p w14:paraId="02F8908C">
            <w:pPr>
              <w:spacing w:line="460" w:lineRule="exact"/>
              <w:jc w:val="center"/>
              <w:rPr>
                <w:color w:val="auto"/>
                <w:sz w:val="22"/>
                <w:szCs w:val="20"/>
              </w:rPr>
            </w:pPr>
          </w:p>
        </w:tc>
        <w:tc>
          <w:tcPr>
            <w:tcW w:w="1350" w:type="dxa"/>
            <w:vAlign w:val="center"/>
          </w:tcPr>
          <w:p w14:paraId="303DEC3B">
            <w:pPr>
              <w:spacing w:line="460" w:lineRule="exact"/>
              <w:jc w:val="center"/>
              <w:rPr>
                <w:color w:val="auto"/>
                <w:sz w:val="22"/>
                <w:szCs w:val="20"/>
              </w:rPr>
            </w:pPr>
          </w:p>
        </w:tc>
        <w:tc>
          <w:tcPr>
            <w:tcW w:w="1669" w:type="dxa"/>
            <w:vAlign w:val="center"/>
          </w:tcPr>
          <w:p w14:paraId="118A5F1D">
            <w:pPr>
              <w:spacing w:line="460" w:lineRule="exact"/>
              <w:jc w:val="center"/>
              <w:rPr>
                <w:color w:val="auto"/>
                <w:sz w:val="22"/>
                <w:szCs w:val="20"/>
              </w:rPr>
            </w:pPr>
          </w:p>
        </w:tc>
        <w:tc>
          <w:tcPr>
            <w:tcW w:w="1194" w:type="dxa"/>
            <w:vAlign w:val="center"/>
          </w:tcPr>
          <w:p w14:paraId="24531D5E">
            <w:pPr>
              <w:spacing w:line="460" w:lineRule="exact"/>
              <w:jc w:val="center"/>
              <w:rPr>
                <w:color w:val="auto"/>
                <w:sz w:val="22"/>
                <w:szCs w:val="20"/>
              </w:rPr>
            </w:pPr>
          </w:p>
        </w:tc>
      </w:tr>
      <w:tr w14:paraId="29E71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1" w:type="dxa"/>
            <w:vAlign w:val="center"/>
          </w:tcPr>
          <w:p w14:paraId="2699B417">
            <w:pPr>
              <w:spacing w:line="460" w:lineRule="exact"/>
              <w:jc w:val="center"/>
              <w:rPr>
                <w:color w:val="auto"/>
                <w:sz w:val="22"/>
                <w:szCs w:val="20"/>
              </w:rPr>
            </w:pPr>
          </w:p>
        </w:tc>
        <w:tc>
          <w:tcPr>
            <w:tcW w:w="1436" w:type="dxa"/>
            <w:vAlign w:val="center"/>
          </w:tcPr>
          <w:p w14:paraId="6976CD96">
            <w:pPr>
              <w:spacing w:line="460" w:lineRule="exact"/>
              <w:jc w:val="center"/>
              <w:rPr>
                <w:color w:val="auto"/>
                <w:sz w:val="22"/>
                <w:szCs w:val="20"/>
              </w:rPr>
            </w:pPr>
          </w:p>
        </w:tc>
        <w:tc>
          <w:tcPr>
            <w:tcW w:w="1231" w:type="dxa"/>
            <w:vAlign w:val="center"/>
          </w:tcPr>
          <w:p w14:paraId="5FEEC1B0">
            <w:pPr>
              <w:spacing w:line="460" w:lineRule="exact"/>
              <w:jc w:val="center"/>
              <w:rPr>
                <w:color w:val="auto"/>
                <w:sz w:val="22"/>
                <w:szCs w:val="20"/>
              </w:rPr>
            </w:pPr>
          </w:p>
        </w:tc>
        <w:tc>
          <w:tcPr>
            <w:tcW w:w="1350" w:type="dxa"/>
            <w:vAlign w:val="center"/>
          </w:tcPr>
          <w:p w14:paraId="434114DD">
            <w:pPr>
              <w:spacing w:line="460" w:lineRule="exact"/>
              <w:jc w:val="center"/>
              <w:rPr>
                <w:color w:val="auto"/>
                <w:sz w:val="22"/>
                <w:szCs w:val="20"/>
              </w:rPr>
            </w:pPr>
          </w:p>
        </w:tc>
        <w:tc>
          <w:tcPr>
            <w:tcW w:w="1669" w:type="dxa"/>
            <w:vAlign w:val="center"/>
          </w:tcPr>
          <w:p w14:paraId="774BD931">
            <w:pPr>
              <w:spacing w:line="460" w:lineRule="exact"/>
              <w:jc w:val="center"/>
              <w:rPr>
                <w:color w:val="auto"/>
                <w:sz w:val="22"/>
                <w:szCs w:val="20"/>
              </w:rPr>
            </w:pPr>
          </w:p>
        </w:tc>
        <w:tc>
          <w:tcPr>
            <w:tcW w:w="1194" w:type="dxa"/>
            <w:vAlign w:val="center"/>
          </w:tcPr>
          <w:p w14:paraId="122A2B15">
            <w:pPr>
              <w:spacing w:line="460" w:lineRule="exact"/>
              <w:jc w:val="center"/>
              <w:rPr>
                <w:color w:val="auto"/>
                <w:sz w:val="22"/>
                <w:szCs w:val="20"/>
              </w:rPr>
            </w:pPr>
          </w:p>
        </w:tc>
      </w:tr>
      <w:tr w14:paraId="59E2C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1" w:type="dxa"/>
            <w:vAlign w:val="center"/>
          </w:tcPr>
          <w:p w14:paraId="56C03DAC">
            <w:pPr>
              <w:spacing w:line="460" w:lineRule="exact"/>
              <w:jc w:val="center"/>
              <w:rPr>
                <w:color w:val="auto"/>
                <w:sz w:val="22"/>
                <w:szCs w:val="20"/>
              </w:rPr>
            </w:pPr>
          </w:p>
        </w:tc>
        <w:tc>
          <w:tcPr>
            <w:tcW w:w="1436" w:type="dxa"/>
            <w:vAlign w:val="center"/>
          </w:tcPr>
          <w:p w14:paraId="34A718FB">
            <w:pPr>
              <w:spacing w:line="460" w:lineRule="exact"/>
              <w:jc w:val="center"/>
              <w:rPr>
                <w:color w:val="auto"/>
                <w:sz w:val="22"/>
                <w:szCs w:val="20"/>
              </w:rPr>
            </w:pPr>
          </w:p>
        </w:tc>
        <w:tc>
          <w:tcPr>
            <w:tcW w:w="1231" w:type="dxa"/>
            <w:vAlign w:val="center"/>
          </w:tcPr>
          <w:p w14:paraId="5A19DEB5">
            <w:pPr>
              <w:spacing w:line="460" w:lineRule="exact"/>
              <w:jc w:val="center"/>
              <w:rPr>
                <w:color w:val="auto"/>
                <w:sz w:val="22"/>
                <w:szCs w:val="20"/>
              </w:rPr>
            </w:pPr>
          </w:p>
        </w:tc>
        <w:tc>
          <w:tcPr>
            <w:tcW w:w="1350" w:type="dxa"/>
            <w:vAlign w:val="center"/>
          </w:tcPr>
          <w:p w14:paraId="2D9E9D4A">
            <w:pPr>
              <w:spacing w:line="460" w:lineRule="exact"/>
              <w:jc w:val="center"/>
              <w:rPr>
                <w:color w:val="auto"/>
                <w:sz w:val="22"/>
                <w:szCs w:val="20"/>
              </w:rPr>
            </w:pPr>
          </w:p>
        </w:tc>
        <w:tc>
          <w:tcPr>
            <w:tcW w:w="1669" w:type="dxa"/>
            <w:vAlign w:val="center"/>
          </w:tcPr>
          <w:p w14:paraId="686C3E78">
            <w:pPr>
              <w:spacing w:line="460" w:lineRule="exact"/>
              <w:jc w:val="center"/>
              <w:rPr>
                <w:color w:val="auto"/>
                <w:sz w:val="22"/>
                <w:szCs w:val="20"/>
              </w:rPr>
            </w:pPr>
          </w:p>
        </w:tc>
        <w:tc>
          <w:tcPr>
            <w:tcW w:w="1194" w:type="dxa"/>
            <w:vAlign w:val="center"/>
          </w:tcPr>
          <w:p w14:paraId="3CD7F727">
            <w:pPr>
              <w:spacing w:line="460" w:lineRule="exact"/>
              <w:jc w:val="center"/>
              <w:rPr>
                <w:color w:val="auto"/>
                <w:sz w:val="22"/>
                <w:szCs w:val="20"/>
              </w:rPr>
            </w:pPr>
          </w:p>
        </w:tc>
      </w:tr>
      <w:tr w14:paraId="70085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1" w:type="dxa"/>
            <w:vAlign w:val="center"/>
          </w:tcPr>
          <w:p w14:paraId="5A3B069A">
            <w:pPr>
              <w:spacing w:line="460" w:lineRule="exact"/>
              <w:jc w:val="center"/>
              <w:rPr>
                <w:color w:val="auto"/>
                <w:sz w:val="22"/>
                <w:szCs w:val="20"/>
              </w:rPr>
            </w:pPr>
          </w:p>
        </w:tc>
        <w:tc>
          <w:tcPr>
            <w:tcW w:w="1436" w:type="dxa"/>
            <w:vAlign w:val="center"/>
          </w:tcPr>
          <w:p w14:paraId="026389D8">
            <w:pPr>
              <w:spacing w:line="460" w:lineRule="exact"/>
              <w:jc w:val="center"/>
              <w:rPr>
                <w:color w:val="auto"/>
                <w:sz w:val="22"/>
                <w:szCs w:val="20"/>
              </w:rPr>
            </w:pPr>
          </w:p>
        </w:tc>
        <w:tc>
          <w:tcPr>
            <w:tcW w:w="1231" w:type="dxa"/>
            <w:vAlign w:val="center"/>
          </w:tcPr>
          <w:p w14:paraId="778381E3">
            <w:pPr>
              <w:spacing w:line="460" w:lineRule="exact"/>
              <w:jc w:val="center"/>
              <w:rPr>
                <w:color w:val="auto"/>
                <w:sz w:val="22"/>
                <w:szCs w:val="20"/>
              </w:rPr>
            </w:pPr>
          </w:p>
        </w:tc>
        <w:tc>
          <w:tcPr>
            <w:tcW w:w="1350" w:type="dxa"/>
            <w:vAlign w:val="center"/>
          </w:tcPr>
          <w:p w14:paraId="1463AC19">
            <w:pPr>
              <w:spacing w:line="460" w:lineRule="exact"/>
              <w:jc w:val="center"/>
              <w:rPr>
                <w:color w:val="auto"/>
                <w:sz w:val="22"/>
                <w:szCs w:val="20"/>
              </w:rPr>
            </w:pPr>
          </w:p>
        </w:tc>
        <w:tc>
          <w:tcPr>
            <w:tcW w:w="1669" w:type="dxa"/>
            <w:vAlign w:val="center"/>
          </w:tcPr>
          <w:p w14:paraId="052C7EBD">
            <w:pPr>
              <w:spacing w:line="460" w:lineRule="exact"/>
              <w:jc w:val="center"/>
              <w:rPr>
                <w:color w:val="auto"/>
                <w:sz w:val="22"/>
                <w:szCs w:val="20"/>
              </w:rPr>
            </w:pPr>
          </w:p>
        </w:tc>
        <w:tc>
          <w:tcPr>
            <w:tcW w:w="1194" w:type="dxa"/>
            <w:vAlign w:val="center"/>
          </w:tcPr>
          <w:p w14:paraId="6CBD7562">
            <w:pPr>
              <w:spacing w:line="460" w:lineRule="exact"/>
              <w:jc w:val="center"/>
              <w:rPr>
                <w:color w:val="auto"/>
                <w:sz w:val="22"/>
                <w:szCs w:val="20"/>
              </w:rPr>
            </w:pPr>
          </w:p>
        </w:tc>
      </w:tr>
      <w:tr w14:paraId="00EAA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1" w:type="dxa"/>
            <w:vAlign w:val="center"/>
          </w:tcPr>
          <w:p w14:paraId="3149FF7B">
            <w:pPr>
              <w:spacing w:line="460" w:lineRule="exact"/>
              <w:jc w:val="center"/>
              <w:rPr>
                <w:color w:val="auto"/>
                <w:sz w:val="22"/>
                <w:szCs w:val="20"/>
              </w:rPr>
            </w:pPr>
            <w:r>
              <w:rPr>
                <w:color w:val="auto"/>
                <w:sz w:val="22"/>
                <w:szCs w:val="20"/>
              </w:rPr>
              <w:t>…</w:t>
            </w:r>
          </w:p>
        </w:tc>
        <w:tc>
          <w:tcPr>
            <w:tcW w:w="1436" w:type="dxa"/>
            <w:vAlign w:val="center"/>
          </w:tcPr>
          <w:p w14:paraId="46B93934">
            <w:pPr>
              <w:spacing w:line="460" w:lineRule="exact"/>
              <w:jc w:val="center"/>
              <w:rPr>
                <w:color w:val="auto"/>
                <w:sz w:val="22"/>
                <w:szCs w:val="20"/>
              </w:rPr>
            </w:pPr>
          </w:p>
        </w:tc>
        <w:tc>
          <w:tcPr>
            <w:tcW w:w="1231" w:type="dxa"/>
            <w:vAlign w:val="center"/>
          </w:tcPr>
          <w:p w14:paraId="7C1997D4">
            <w:pPr>
              <w:spacing w:line="460" w:lineRule="exact"/>
              <w:jc w:val="center"/>
              <w:rPr>
                <w:color w:val="auto"/>
                <w:sz w:val="22"/>
                <w:szCs w:val="20"/>
              </w:rPr>
            </w:pPr>
          </w:p>
        </w:tc>
        <w:tc>
          <w:tcPr>
            <w:tcW w:w="1350" w:type="dxa"/>
            <w:vAlign w:val="center"/>
          </w:tcPr>
          <w:p w14:paraId="074444D8">
            <w:pPr>
              <w:spacing w:line="460" w:lineRule="exact"/>
              <w:jc w:val="center"/>
              <w:rPr>
                <w:color w:val="auto"/>
                <w:sz w:val="22"/>
                <w:szCs w:val="20"/>
              </w:rPr>
            </w:pPr>
          </w:p>
        </w:tc>
        <w:tc>
          <w:tcPr>
            <w:tcW w:w="1669" w:type="dxa"/>
            <w:vAlign w:val="center"/>
          </w:tcPr>
          <w:p w14:paraId="1D0EB93C">
            <w:pPr>
              <w:spacing w:line="460" w:lineRule="exact"/>
              <w:jc w:val="center"/>
              <w:rPr>
                <w:color w:val="auto"/>
                <w:sz w:val="22"/>
                <w:szCs w:val="20"/>
              </w:rPr>
            </w:pPr>
          </w:p>
        </w:tc>
        <w:tc>
          <w:tcPr>
            <w:tcW w:w="1194" w:type="dxa"/>
            <w:vAlign w:val="center"/>
          </w:tcPr>
          <w:p w14:paraId="1A841ADE">
            <w:pPr>
              <w:spacing w:line="460" w:lineRule="exact"/>
              <w:jc w:val="center"/>
              <w:rPr>
                <w:color w:val="auto"/>
                <w:sz w:val="22"/>
                <w:szCs w:val="20"/>
              </w:rPr>
            </w:pPr>
          </w:p>
        </w:tc>
      </w:tr>
      <w:tr w14:paraId="532C4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gridSpan w:val="2"/>
            <w:vAlign w:val="center"/>
          </w:tcPr>
          <w:p w14:paraId="64AA024E">
            <w:pPr>
              <w:spacing w:line="460" w:lineRule="exact"/>
              <w:jc w:val="center"/>
              <w:rPr>
                <w:rFonts w:hint="eastAsia" w:eastAsia="宋体"/>
                <w:color w:val="auto"/>
                <w:sz w:val="22"/>
                <w:szCs w:val="20"/>
                <w:lang w:eastAsia="zh-CN"/>
              </w:rPr>
            </w:pPr>
            <w:r>
              <w:rPr>
                <w:rFonts w:hint="eastAsia"/>
                <w:color w:val="auto"/>
                <w:sz w:val="22"/>
                <w:szCs w:val="20"/>
                <w:lang w:eastAsia="zh-CN"/>
              </w:rPr>
              <w:t>投标总价（万元）</w:t>
            </w:r>
          </w:p>
        </w:tc>
        <w:tc>
          <w:tcPr>
            <w:tcW w:w="5444" w:type="dxa"/>
            <w:gridSpan w:val="4"/>
            <w:vAlign w:val="center"/>
          </w:tcPr>
          <w:p w14:paraId="5BA4F805">
            <w:pPr>
              <w:spacing w:line="460" w:lineRule="exact"/>
              <w:jc w:val="left"/>
              <w:rPr>
                <w:rFonts w:hint="eastAsia" w:eastAsia="宋体"/>
                <w:color w:val="auto"/>
                <w:sz w:val="22"/>
                <w:szCs w:val="20"/>
                <w:lang w:eastAsia="zh-CN"/>
              </w:rPr>
            </w:pPr>
            <w:r>
              <w:rPr>
                <w:rFonts w:hint="eastAsia"/>
                <w:color w:val="auto"/>
                <w:sz w:val="22"/>
                <w:szCs w:val="20"/>
                <w:lang w:eastAsia="zh-CN"/>
              </w:rPr>
              <w:t>小写：</w:t>
            </w:r>
            <w:r>
              <w:rPr>
                <w:rFonts w:hint="eastAsia"/>
                <w:color w:val="auto"/>
                <w:sz w:val="22"/>
                <w:szCs w:val="20"/>
                <w:lang w:val="en-US" w:eastAsia="zh-CN"/>
              </w:rPr>
              <w:t xml:space="preserve">                   大写：</w:t>
            </w:r>
          </w:p>
        </w:tc>
      </w:tr>
    </w:tbl>
    <w:p w14:paraId="4B77645C">
      <w:pPr>
        <w:spacing w:line="360" w:lineRule="auto"/>
        <w:rPr>
          <w:rFonts w:hint="eastAsia" w:ascii="宋体" w:hAnsi="宋体"/>
          <w:color w:val="auto"/>
          <w:sz w:val="22"/>
          <w:szCs w:val="22"/>
        </w:rPr>
      </w:pPr>
      <w:r>
        <w:rPr>
          <w:rFonts w:hint="eastAsia" w:ascii="宋体" w:hAnsi="宋体"/>
          <w:color w:val="auto"/>
          <w:sz w:val="22"/>
          <w:szCs w:val="22"/>
        </w:rPr>
        <w:t xml:space="preserve">                                                               </w:t>
      </w:r>
    </w:p>
    <w:p w14:paraId="67C361C7">
      <w:pPr>
        <w:adjustRightInd w:val="0"/>
        <w:spacing w:line="360" w:lineRule="auto"/>
        <w:jc w:val="left"/>
        <w:rPr>
          <w:rFonts w:hint="eastAsia" w:ascii="宋体" w:hAnsi="宋体"/>
          <w:color w:val="auto"/>
          <w:sz w:val="22"/>
          <w:szCs w:val="22"/>
        </w:rPr>
      </w:pPr>
      <w:r>
        <w:rPr>
          <w:rFonts w:hint="eastAsia" w:hAnsi="宋体"/>
          <w:color w:val="auto"/>
          <w:sz w:val="22"/>
          <w:szCs w:val="22"/>
          <w:lang w:val="en-US" w:eastAsia="zh-CN"/>
        </w:rPr>
        <w:t xml:space="preserve">   </w:t>
      </w:r>
      <w:r>
        <w:rPr>
          <w:rFonts w:hint="eastAsia" w:ascii="宋体" w:hAnsi="宋体"/>
          <w:color w:val="auto"/>
          <w:sz w:val="22"/>
          <w:szCs w:val="22"/>
        </w:rPr>
        <w:t>投标人（</w:t>
      </w:r>
      <w:r>
        <w:rPr>
          <w:rFonts w:hint="eastAsia" w:hAnsi="宋体"/>
          <w:color w:val="auto"/>
          <w:sz w:val="22"/>
          <w:szCs w:val="22"/>
          <w:lang w:eastAsia="zh-CN"/>
        </w:rPr>
        <w:t>公</w:t>
      </w:r>
      <w:r>
        <w:rPr>
          <w:rFonts w:hint="eastAsia" w:ascii="宋体" w:hAnsi="宋体"/>
          <w:color w:val="auto"/>
          <w:sz w:val="22"/>
          <w:szCs w:val="22"/>
        </w:rPr>
        <w:t xml:space="preserve">章）：        </w:t>
      </w:r>
    </w:p>
    <w:p w14:paraId="243BFC83">
      <w:pPr>
        <w:adjustRightInd w:val="0"/>
        <w:spacing w:line="360" w:lineRule="auto"/>
        <w:jc w:val="left"/>
        <w:rPr>
          <w:rFonts w:hint="eastAsia" w:ascii="宋体" w:hAnsi="宋体"/>
          <w:color w:val="auto"/>
          <w:sz w:val="22"/>
          <w:szCs w:val="22"/>
        </w:rPr>
      </w:pPr>
      <w:r>
        <w:rPr>
          <w:rFonts w:hint="eastAsia" w:hAnsi="宋体"/>
          <w:color w:val="auto"/>
          <w:sz w:val="22"/>
          <w:szCs w:val="22"/>
          <w:lang w:val="en-US" w:eastAsia="zh-CN"/>
        </w:rPr>
        <w:t xml:space="preserve">   </w:t>
      </w:r>
      <w:r>
        <w:rPr>
          <w:rFonts w:hint="eastAsia" w:ascii="宋体" w:hAnsi="宋体"/>
          <w:color w:val="auto"/>
          <w:sz w:val="22"/>
          <w:szCs w:val="22"/>
        </w:rPr>
        <w:t>法定代表人或</w:t>
      </w:r>
      <w:r>
        <w:rPr>
          <w:rFonts w:hint="eastAsia" w:hAnsi="宋体"/>
          <w:color w:val="auto"/>
          <w:sz w:val="22"/>
          <w:szCs w:val="22"/>
          <w:lang w:eastAsia="zh-CN"/>
        </w:rPr>
        <w:t>授权代表</w:t>
      </w:r>
      <w:r>
        <w:rPr>
          <w:rFonts w:hint="eastAsia" w:ascii="宋体" w:hAnsi="宋体"/>
          <w:color w:val="auto"/>
          <w:sz w:val="22"/>
          <w:szCs w:val="22"/>
        </w:rPr>
        <w:t>（签字</w:t>
      </w:r>
      <w:r>
        <w:rPr>
          <w:rFonts w:hint="eastAsia" w:hAnsi="宋体"/>
          <w:color w:val="auto"/>
          <w:sz w:val="22"/>
          <w:szCs w:val="22"/>
          <w:lang w:eastAsia="zh-CN"/>
        </w:rPr>
        <w:t>或盖章</w:t>
      </w:r>
      <w:r>
        <w:rPr>
          <w:rFonts w:hint="eastAsia" w:ascii="宋体" w:hAnsi="宋体"/>
          <w:color w:val="auto"/>
          <w:sz w:val="22"/>
          <w:szCs w:val="22"/>
        </w:rPr>
        <w:t>）：</w:t>
      </w:r>
    </w:p>
    <w:p w14:paraId="71D8FC16">
      <w:pPr>
        <w:spacing w:line="360" w:lineRule="auto"/>
        <w:jc w:val="left"/>
        <w:rPr>
          <w:rFonts w:hint="eastAsia" w:ascii="宋体" w:hAnsi="宋体"/>
          <w:color w:val="auto"/>
          <w:sz w:val="22"/>
          <w:szCs w:val="22"/>
        </w:rPr>
      </w:pPr>
      <w:r>
        <w:rPr>
          <w:rFonts w:hint="eastAsia" w:hAnsi="宋体"/>
          <w:color w:val="auto"/>
          <w:sz w:val="22"/>
          <w:szCs w:val="22"/>
          <w:lang w:val="en-US" w:eastAsia="zh-CN"/>
        </w:rPr>
        <w:t xml:space="preserve">   </w:t>
      </w:r>
      <w:r>
        <w:rPr>
          <w:rFonts w:hint="eastAsia" w:ascii="宋体" w:hAnsi="宋体"/>
          <w:color w:val="auto"/>
          <w:sz w:val="22"/>
          <w:szCs w:val="22"/>
        </w:rPr>
        <w:t>日  期：</w:t>
      </w:r>
      <w:r>
        <w:rPr>
          <w:rFonts w:hint="eastAsia" w:ascii="宋体" w:hAnsi="宋体"/>
          <w:color w:val="auto"/>
          <w:sz w:val="22"/>
          <w:szCs w:val="22"/>
          <w:u w:val="single"/>
        </w:rPr>
        <w:t xml:space="preserve">     </w:t>
      </w:r>
      <w:r>
        <w:rPr>
          <w:rFonts w:hint="eastAsia" w:ascii="宋体" w:hAnsi="宋体"/>
          <w:color w:val="auto"/>
          <w:sz w:val="22"/>
          <w:szCs w:val="22"/>
        </w:rPr>
        <w:t>年</w:t>
      </w:r>
      <w:r>
        <w:rPr>
          <w:rFonts w:hint="eastAsia" w:ascii="宋体" w:hAnsi="宋体"/>
          <w:color w:val="auto"/>
          <w:sz w:val="22"/>
          <w:szCs w:val="22"/>
          <w:u w:val="single"/>
        </w:rPr>
        <w:t xml:space="preserve">    </w:t>
      </w:r>
      <w:r>
        <w:rPr>
          <w:rFonts w:hint="eastAsia" w:ascii="宋体" w:hAnsi="宋体"/>
          <w:color w:val="auto"/>
          <w:sz w:val="22"/>
          <w:szCs w:val="22"/>
        </w:rPr>
        <w:t>月</w:t>
      </w:r>
      <w:r>
        <w:rPr>
          <w:rFonts w:hint="eastAsia" w:ascii="宋体" w:hAnsi="宋体"/>
          <w:color w:val="auto"/>
          <w:sz w:val="22"/>
          <w:szCs w:val="22"/>
          <w:u w:val="single"/>
        </w:rPr>
        <w:t xml:space="preserve">     </w:t>
      </w:r>
      <w:r>
        <w:rPr>
          <w:rFonts w:hint="eastAsia" w:ascii="宋体" w:hAnsi="宋体"/>
          <w:color w:val="auto"/>
          <w:sz w:val="22"/>
          <w:szCs w:val="22"/>
        </w:rPr>
        <w:t>日</w:t>
      </w:r>
    </w:p>
    <w:p w14:paraId="3E5F4DEA">
      <w:pPr>
        <w:adjustRightInd w:val="0"/>
        <w:snapToGrid w:val="0"/>
        <w:spacing w:line="360" w:lineRule="auto"/>
        <w:ind w:firstLine="440" w:firstLineChars="200"/>
        <w:rPr>
          <w:rFonts w:hint="eastAsia" w:ascii="宋体" w:hAnsi="宋体"/>
          <w:color w:val="auto"/>
          <w:sz w:val="22"/>
          <w:szCs w:val="22"/>
        </w:rPr>
      </w:pPr>
    </w:p>
    <w:p w14:paraId="16E42E2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40" w:firstLineChars="200"/>
        <w:jc w:val="both"/>
        <w:textAlignment w:val="auto"/>
        <w:outlineLvl w:val="9"/>
        <w:rPr>
          <w:rFonts w:hint="eastAsia" w:ascii="宋体" w:hAnsi="宋体"/>
          <w:color w:val="auto"/>
          <w:sz w:val="22"/>
          <w:szCs w:val="22"/>
        </w:rPr>
      </w:pPr>
      <w:r>
        <w:rPr>
          <w:rFonts w:hint="eastAsia" w:ascii="宋体" w:hAnsi="宋体"/>
          <w:color w:val="auto"/>
          <w:sz w:val="22"/>
          <w:szCs w:val="22"/>
        </w:rPr>
        <w:t>说明：</w:t>
      </w:r>
      <w:r>
        <w:rPr>
          <w:rFonts w:ascii="宋体" w:hAnsi="宋体"/>
          <w:color w:val="auto"/>
          <w:sz w:val="22"/>
          <w:szCs w:val="22"/>
        </w:rPr>
        <w:t>1</w:t>
      </w:r>
      <w:r>
        <w:rPr>
          <w:rFonts w:hint="eastAsia" w:ascii="宋体" w:hAnsi="宋体"/>
          <w:color w:val="auto"/>
          <w:sz w:val="22"/>
          <w:szCs w:val="22"/>
        </w:rPr>
        <w:t>. 报价应是最终用户验收合格后的总价，包括设备运输、保险、代理、安装调试、培训、税费</w:t>
      </w:r>
      <w:r>
        <w:rPr>
          <w:rFonts w:hint="eastAsia" w:ascii="宋体" w:hAnsi="宋体"/>
          <w:color w:val="auto"/>
          <w:sz w:val="22"/>
          <w:szCs w:val="22"/>
          <w:lang w:eastAsia="zh-CN"/>
        </w:rPr>
        <w:t>等</w:t>
      </w:r>
      <w:r>
        <w:rPr>
          <w:rFonts w:hint="eastAsia" w:ascii="宋体" w:hAnsi="宋体"/>
          <w:color w:val="auto"/>
          <w:sz w:val="22"/>
          <w:szCs w:val="22"/>
        </w:rPr>
        <w:t>和招标文件规定的其它费用。</w:t>
      </w:r>
    </w:p>
    <w:p w14:paraId="48DE92F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40" w:firstLineChars="200"/>
        <w:jc w:val="both"/>
        <w:textAlignment w:val="auto"/>
        <w:outlineLvl w:val="9"/>
        <w:rPr>
          <w:rFonts w:hint="eastAsia" w:ascii="宋体" w:hAnsi="宋体"/>
          <w:b w:val="0"/>
          <w:bCs w:val="0"/>
          <w:color w:val="auto"/>
          <w:sz w:val="22"/>
          <w:szCs w:val="22"/>
        </w:rPr>
      </w:pPr>
      <w:r>
        <w:rPr>
          <w:rFonts w:hint="eastAsia" w:ascii="宋体" w:hAnsi="宋体"/>
          <w:color w:val="auto"/>
          <w:sz w:val="22"/>
          <w:szCs w:val="22"/>
          <w:lang w:val="en-US" w:eastAsia="zh-CN"/>
        </w:rPr>
        <w:t xml:space="preserve"> </w:t>
      </w:r>
      <w:r>
        <w:rPr>
          <w:rFonts w:hint="eastAsia" w:ascii="宋体" w:hAnsi="宋体"/>
          <w:b w:val="0"/>
          <w:bCs w:val="0"/>
          <w:color w:val="auto"/>
          <w:sz w:val="22"/>
          <w:szCs w:val="22"/>
          <w:lang w:val="en-US" w:eastAsia="zh-CN"/>
        </w:rPr>
        <w:t>2.</w:t>
      </w:r>
      <w:r>
        <w:rPr>
          <w:rFonts w:hint="eastAsia" w:ascii="宋体" w:hAnsi="宋体"/>
          <w:b w:val="0"/>
          <w:bCs w:val="0"/>
          <w:color w:val="auto"/>
          <w:sz w:val="22"/>
          <w:szCs w:val="22"/>
        </w:rPr>
        <w:t>“开标一览表”</w:t>
      </w:r>
      <w:r>
        <w:rPr>
          <w:rFonts w:hint="eastAsia" w:ascii="宋体" w:hAnsi="宋体"/>
          <w:b w:val="0"/>
          <w:bCs w:val="0"/>
          <w:color w:val="auto"/>
          <w:sz w:val="22"/>
          <w:szCs w:val="22"/>
          <w:lang w:eastAsia="zh-CN"/>
        </w:rPr>
        <w:t>必须</w:t>
      </w:r>
      <w:r>
        <w:rPr>
          <w:rFonts w:hint="eastAsia" w:hAnsi="宋体"/>
          <w:b w:val="0"/>
          <w:bCs w:val="0"/>
          <w:color w:val="auto"/>
          <w:sz w:val="22"/>
          <w:szCs w:val="22"/>
          <w:lang w:eastAsia="zh-CN"/>
        </w:rPr>
        <w:t>签字或盖章，</w:t>
      </w:r>
      <w:r>
        <w:rPr>
          <w:rFonts w:hint="eastAsia" w:ascii="宋体" w:hAnsi="宋体"/>
          <w:b w:val="0"/>
          <w:bCs w:val="0"/>
          <w:color w:val="auto"/>
          <w:sz w:val="22"/>
          <w:szCs w:val="22"/>
        </w:rPr>
        <w:t>否则为无效投标</w:t>
      </w:r>
      <w:r>
        <w:rPr>
          <w:rFonts w:hint="eastAsia" w:hAnsi="宋体"/>
          <w:b w:val="0"/>
          <w:bCs w:val="0"/>
          <w:color w:val="auto"/>
          <w:sz w:val="22"/>
          <w:szCs w:val="22"/>
          <w:lang w:eastAsia="zh-CN"/>
        </w:rPr>
        <w:t>，可以逐页签字或盖章也可以在落款处签字或盖章。</w:t>
      </w:r>
    </w:p>
    <w:p w14:paraId="52B5CBF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jc w:val="both"/>
        <w:textAlignment w:val="auto"/>
        <w:outlineLvl w:val="9"/>
        <w:rPr>
          <w:rFonts w:hint="eastAsia" w:ascii="宋体" w:hAnsi="宋体"/>
          <w:b w:val="0"/>
          <w:bCs w:val="0"/>
          <w:color w:val="auto"/>
          <w:sz w:val="22"/>
          <w:szCs w:val="22"/>
        </w:rPr>
      </w:pPr>
      <w:r>
        <w:rPr>
          <w:rFonts w:hint="eastAsia" w:ascii="宋体" w:hAnsi="宋体"/>
          <w:b w:val="0"/>
          <w:bCs w:val="0"/>
          <w:color w:val="auto"/>
          <w:sz w:val="22"/>
          <w:szCs w:val="22"/>
          <w:lang w:val="en-US" w:eastAsia="zh-CN"/>
        </w:rPr>
        <w:t xml:space="preserve">     3</w:t>
      </w:r>
      <w:r>
        <w:rPr>
          <w:rFonts w:hint="eastAsia" w:ascii="宋体" w:hAnsi="宋体"/>
          <w:b w:val="0"/>
          <w:bCs w:val="0"/>
          <w:color w:val="auto"/>
          <w:sz w:val="22"/>
          <w:szCs w:val="22"/>
          <w:lang w:eastAsia="zh-CN"/>
        </w:rPr>
        <w:t>.</w:t>
      </w:r>
      <w:r>
        <w:rPr>
          <w:rFonts w:hint="eastAsia" w:ascii="宋体" w:hAnsi="宋体"/>
          <w:b w:val="0"/>
          <w:bCs w:val="0"/>
          <w:color w:val="auto"/>
          <w:sz w:val="22"/>
          <w:szCs w:val="22"/>
        </w:rPr>
        <w:t>“开标一览表”</w:t>
      </w:r>
      <w:r>
        <w:rPr>
          <w:rFonts w:hint="eastAsia" w:hAnsi="宋体"/>
          <w:b w:val="0"/>
          <w:bCs w:val="0"/>
          <w:color w:val="auto"/>
          <w:sz w:val="22"/>
          <w:szCs w:val="22"/>
          <w:lang w:eastAsia="zh-CN"/>
        </w:rPr>
        <w:t>按</w:t>
      </w:r>
      <w:r>
        <w:rPr>
          <w:rFonts w:hint="eastAsia" w:ascii="宋体" w:hAnsi="宋体"/>
          <w:b w:val="0"/>
          <w:bCs w:val="0"/>
          <w:color w:val="auto"/>
          <w:sz w:val="22"/>
          <w:szCs w:val="22"/>
        </w:rPr>
        <w:t>包</w:t>
      </w:r>
      <w:r>
        <w:rPr>
          <w:rFonts w:hint="eastAsia" w:hAnsi="宋体"/>
          <w:b w:val="0"/>
          <w:bCs w:val="0"/>
          <w:color w:val="auto"/>
          <w:sz w:val="22"/>
          <w:szCs w:val="22"/>
          <w:lang w:eastAsia="zh-CN"/>
        </w:rPr>
        <w:t>分别</w:t>
      </w:r>
      <w:r>
        <w:rPr>
          <w:rFonts w:hint="eastAsia" w:ascii="宋体" w:hAnsi="宋体"/>
          <w:b w:val="0"/>
          <w:bCs w:val="0"/>
          <w:color w:val="auto"/>
          <w:sz w:val="22"/>
          <w:szCs w:val="22"/>
        </w:rPr>
        <w:t>填写。</w:t>
      </w:r>
    </w:p>
    <w:p w14:paraId="4B5D1190">
      <w:pPr>
        <w:adjustRightInd w:val="0"/>
        <w:snapToGrid w:val="0"/>
        <w:spacing w:line="360" w:lineRule="auto"/>
        <w:ind w:left="-88" w:leftChars="-42"/>
        <w:rPr>
          <w:rFonts w:ascii="宋体"/>
          <w:color w:val="000000"/>
          <w:sz w:val="22"/>
          <w:szCs w:val="22"/>
        </w:rPr>
      </w:pPr>
    </w:p>
    <w:p w14:paraId="6DF60025">
      <w:pPr>
        <w:adjustRightInd w:val="0"/>
        <w:snapToGrid w:val="0"/>
        <w:spacing w:line="360" w:lineRule="auto"/>
        <w:rPr>
          <w:rFonts w:ascii="宋体"/>
          <w:sz w:val="22"/>
          <w:szCs w:val="22"/>
        </w:rPr>
      </w:pPr>
    </w:p>
    <w:p w14:paraId="63836816">
      <w:pPr>
        <w:pStyle w:val="5"/>
        <w:pageBreakBefore/>
        <w:adjustRightInd/>
        <w:spacing w:before="0" w:after="0" w:line="360" w:lineRule="auto"/>
        <w:jc w:val="center"/>
        <w:textAlignment w:val="auto"/>
        <w:outlineLvl w:val="1"/>
        <w:rPr>
          <w:rFonts w:ascii="宋体"/>
          <w:b w:val="0"/>
          <w:bCs w:val="0"/>
          <w:kern w:val="2"/>
          <w:sz w:val="28"/>
          <w:szCs w:val="28"/>
        </w:rPr>
      </w:pPr>
      <w:bookmarkStart w:id="99" w:name="_Toc6666"/>
      <w:bookmarkStart w:id="100" w:name="_Toc385671125"/>
      <w:bookmarkStart w:id="101" w:name="_Toc2708"/>
      <w:bookmarkStart w:id="102" w:name="_Toc30813"/>
      <w:bookmarkStart w:id="103" w:name="_Toc28483"/>
      <w:bookmarkStart w:id="104" w:name="_Toc11384"/>
      <w:bookmarkStart w:id="105" w:name="_Toc385671128"/>
      <w:r>
        <w:rPr>
          <w:rFonts w:hint="eastAsia" w:ascii="宋体" w:hAnsi="宋体" w:cs="宋体"/>
          <w:b w:val="0"/>
          <w:bCs w:val="0"/>
          <w:kern w:val="2"/>
          <w:sz w:val="28"/>
          <w:szCs w:val="28"/>
          <w:lang w:val="en-US" w:eastAsia="zh-CN"/>
        </w:rPr>
        <w:t>四</w:t>
      </w:r>
      <w:r>
        <w:rPr>
          <w:rFonts w:hint="eastAsia" w:ascii="宋体" w:hAnsi="宋体" w:cs="宋体"/>
          <w:b w:val="0"/>
          <w:bCs w:val="0"/>
          <w:kern w:val="2"/>
          <w:sz w:val="28"/>
          <w:szCs w:val="28"/>
        </w:rPr>
        <w:t>、</w:t>
      </w:r>
      <w:r>
        <w:rPr>
          <w:rFonts w:hint="eastAsia" w:ascii="宋体" w:hAnsi="宋体" w:cs="宋体"/>
          <w:b w:val="0"/>
          <w:bCs w:val="0"/>
          <w:kern w:val="2"/>
          <w:sz w:val="28"/>
          <w:szCs w:val="28"/>
          <w:lang w:val="en-US" w:eastAsia="zh-CN"/>
        </w:rPr>
        <w:t>报价明细</w:t>
      </w:r>
      <w:r>
        <w:rPr>
          <w:rFonts w:hint="eastAsia" w:ascii="宋体" w:hAnsi="宋体" w:cs="宋体"/>
          <w:b w:val="0"/>
          <w:bCs w:val="0"/>
          <w:kern w:val="2"/>
          <w:sz w:val="28"/>
          <w:szCs w:val="28"/>
        </w:rPr>
        <w:t>表</w:t>
      </w:r>
      <w:bookmarkEnd w:id="99"/>
      <w:bookmarkEnd w:id="100"/>
      <w:bookmarkEnd w:id="101"/>
      <w:bookmarkEnd w:id="102"/>
      <w:bookmarkEnd w:id="103"/>
    </w:p>
    <w:p w14:paraId="2E2A540F">
      <w:pPr>
        <w:rPr>
          <w:rFonts w:ascii="宋体"/>
        </w:rPr>
      </w:pPr>
    </w:p>
    <w:p w14:paraId="52AD4FB0">
      <w:pPr>
        <w:pStyle w:val="37"/>
        <w:rPr>
          <w:rFonts w:hAnsi="宋体" w:cs="Times New Roman"/>
        </w:rPr>
      </w:pPr>
    </w:p>
    <w:p w14:paraId="1CA88360">
      <w:pPr>
        <w:keepNext w:val="0"/>
        <w:keepLines w:val="0"/>
        <w:pageBreakBefore w:val="0"/>
        <w:widowControl w:val="0"/>
        <w:kinsoku/>
        <w:wordWrap/>
        <w:overflowPunct/>
        <w:topLinePunct w:val="0"/>
        <w:autoSpaceDE/>
        <w:autoSpaceDN/>
        <w:bidi w:val="0"/>
        <w:adjustRightInd/>
        <w:snapToGrid/>
        <w:spacing w:line="360" w:lineRule="auto"/>
        <w:ind w:left="0" w:firstLine="240" w:firstLineChars="100"/>
        <w:textAlignment w:val="auto"/>
        <w:rPr>
          <w:color w:val="auto"/>
          <w:sz w:val="24"/>
          <w:highlight w:val="none"/>
        </w:rPr>
      </w:pPr>
      <w:bookmarkStart w:id="106" w:name="_Toc25187"/>
      <w:r>
        <w:rPr>
          <w:color w:val="auto"/>
          <w:sz w:val="24"/>
          <w:highlight w:val="none"/>
        </w:rPr>
        <w:t>项目名称：</w:t>
      </w:r>
    </w:p>
    <w:p w14:paraId="6333E2A6">
      <w:pPr>
        <w:keepNext w:val="0"/>
        <w:keepLines w:val="0"/>
        <w:pageBreakBefore w:val="0"/>
        <w:widowControl w:val="0"/>
        <w:kinsoku/>
        <w:wordWrap/>
        <w:overflowPunct/>
        <w:topLinePunct w:val="0"/>
        <w:autoSpaceDE/>
        <w:autoSpaceDN/>
        <w:bidi w:val="0"/>
        <w:adjustRightInd/>
        <w:snapToGrid/>
        <w:spacing w:line="360" w:lineRule="auto"/>
        <w:ind w:left="0" w:firstLine="240" w:firstLineChars="100"/>
        <w:textAlignment w:val="auto"/>
        <w:rPr>
          <w:color w:val="auto"/>
          <w:sz w:val="24"/>
          <w:highlight w:val="none"/>
        </w:rPr>
      </w:pPr>
      <w:r>
        <w:rPr>
          <w:rFonts w:hint="eastAsia"/>
          <w:color w:val="auto"/>
          <w:sz w:val="24"/>
          <w:highlight w:val="none"/>
          <w:lang w:val="en-US" w:eastAsia="zh-CN"/>
        </w:rPr>
        <w:t>项目</w:t>
      </w:r>
      <w:r>
        <w:rPr>
          <w:color w:val="auto"/>
          <w:sz w:val="24"/>
          <w:highlight w:val="none"/>
        </w:rPr>
        <w:t>编号：</w:t>
      </w:r>
    </w:p>
    <w:p w14:paraId="79CE3A09">
      <w:pPr>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color w:val="auto"/>
          <w:sz w:val="24"/>
          <w:highlight w:val="none"/>
        </w:rPr>
      </w:pPr>
      <w:r>
        <w:rPr>
          <w:rFonts w:hint="eastAsia"/>
          <w:color w:val="auto"/>
          <w:sz w:val="24"/>
          <w:highlight w:val="none"/>
          <w:lang w:val="en-US" w:eastAsia="zh-CN"/>
        </w:rPr>
        <w:t xml:space="preserve">  </w:t>
      </w:r>
      <w:r>
        <w:rPr>
          <w:rFonts w:hint="eastAsia"/>
          <w:color w:val="auto"/>
          <w:sz w:val="24"/>
          <w:highlight w:val="none"/>
        </w:rPr>
        <w:t>包    号：</w:t>
      </w:r>
      <w:r>
        <w:rPr>
          <w:rFonts w:hint="eastAsia"/>
          <w:color w:val="auto"/>
          <w:sz w:val="24"/>
          <w:highlight w:val="none"/>
          <w:lang w:val="en-US" w:eastAsia="zh-CN"/>
        </w:rPr>
        <w:t xml:space="preserve"> /                                           </w:t>
      </w:r>
      <w:r>
        <w:rPr>
          <w:color w:val="auto"/>
          <w:sz w:val="24"/>
          <w:highlight w:val="none"/>
        </w:rPr>
        <w:t>单位：</w:t>
      </w:r>
      <w:r>
        <w:rPr>
          <w:rFonts w:hint="eastAsia"/>
          <w:color w:val="auto"/>
          <w:sz w:val="24"/>
          <w:highlight w:val="none"/>
          <w:lang w:eastAsia="zh-CN"/>
        </w:rPr>
        <w:t>万</w:t>
      </w:r>
      <w:r>
        <w:rPr>
          <w:color w:val="auto"/>
          <w:sz w:val="24"/>
          <w:highlight w:val="none"/>
        </w:rPr>
        <w:t>元</w:t>
      </w:r>
    </w:p>
    <w:tbl>
      <w:tblPr>
        <w:tblStyle w:val="46"/>
        <w:tblW w:w="79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436"/>
        <w:gridCol w:w="787"/>
        <w:gridCol w:w="875"/>
        <w:gridCol w:w="1037"/>
        <w:gridCol w:w="888"/>
        <w:gridCol w:w="962"/>
        <w:gridCol w:w="895"/>
      </w:tblGrid>
      <w:tr w14:paraId="77711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1" w:type="dxa"/>
            <w:vAlign w:val="center"/>
          </w:tcPr>
          <w:p w14:paraId="685E619F">
            <w:pPr>
              <w:spacing w:line="460" w:lineRule="exact"/>
              <w:jc w:val="center"/>
              <w:rPr>
                <w:color w:val="auto"/>
                <w:sz w:val="24"/>
                <w:highlight w:val="none"/>
              </w:rPr>
            </w:pPr>
            <w:r>
              <w:rPr>
                <w:rFonts w:hint="eastAsia"/>
                <w:color w:val="auto"/>
                <w:sz w:val="24"/>
                <w:highlight w:val="none"/>
              </w:rPr>
              <w:t>序</w:t>
            </w:r>
            <w:r>
              <w:rPr>
                <w:color w:val="auto"/>
                <w:sz w:val="24"/>
                <w:highlight w:val="none"/>
              </w:rPr>
              <w:t>号</w:t>
            </w:r>
          </w:p>
        </w:tc>
        <w:tc>
          <w:tcPr>
            <w:tcW w:w="1436" w:type="dxa"/>
            <w:vAlign w:val="center"/>
          </w:tcPr>
          <w:p w14:paraId="13D9C603">
            <w:pPr>
              <w:spacing w:line="460" w:lineRule="exact"/>
              <w:jc w:val="center"/>
              <w:rPr>
                <w:color w:val="auto"/>
                <w:sz w:val="24"/>
                <w:highlight w:val="none"/>
              </w:rPr>
            </w:pPr>
            <w:r>
              <w:rPr>
                <w:rFonts w:hint="eastAsia"/>
                <w:color w:val="auto"/>
                <w:sz w:val="24"/>
                <w:highlight w:val="none"/>
              </w:rPr>
              <w:t>货物</w:t>
            </w:r>
            <w:r>
              <w:rPr>
                <w:color w:val="auto"/>
                <w:sz w:val="24"/>
                <w:highlight w:val="none"/>
              </w:rPr>
              <w:t>名称</w:t>
            </w:r>
          </w:p>
        </w:tc>
        <w:tc>
          <w:tcPr>
            <w:tcW w:w="787" w:type="dxa"/>
            <w:vAlign w:val="center"/>
          </w:tcPr>
          <w:p w14:paraId="4BD21832">
            <w:pPr>
              <w:spacing w:line="460" w:lineRule="exact"/>
              <w:jc w:val="center"/>
              <w:rPr>
                <w:color w:val="auto"/>
                <w:sz w:val="24"/>
                <w:highlight w:val="none"/>
              </w:rPr>
            </w:pPr>
            <w:r>
              <w:rPr>
                <w:color w:val="auto"/>
                <w:sz w:val="24"/>
                <w:highlight w:val="none"/>
              </w:rPr>
              <w:t>品牌</w:t>
            </w:r>
          </w:p>
        </w:tc>
        <w:tc>
          <w:tcPr>
            <w:tcW w:w="875" w:type="dxa"/>
            <w:vAlign w:val="center"/>
          </w:tcPr>
          <w:p w14:paraId="38D85965">
            <w:pPr>
              <w:spacing w:line="460" w:lineRule="exact"/>
              <w:jc w:val="center"/>
              <w:rPr>
                <w:color w:val="auto"/>
                <w:sz w:val="24"/>
                <w:highlight w:val="none"/>
              </w:rPr>
            </w:pPr>
            <w:r>
              <w:rPr>
                <w:rFonts w:hint="eastAsia"/>
                <w:color w:val="auto"/>
                <w:sz w:val="24"/>
                <w:highlight w:val="none"/>
              </w:rPr>
              <w:t>数量</w:t>
            </w:r>
          </w:p>
        </w:tc>
        <w:tc>
          <w:tcPr>
            <w:tcW w:w="1037" w:type="dxa"/>
            <w:vAlign w:val="center"/>
          </w:tcPr>
          <w:p w14:paraId="1D1B53B8">
            <w:pPr>
              <w:spacing w:line="460" w:lineRule="exact"/>
              <w:jc w:val="center"/>
              <w:rPr>
                <w:color w:val="auto"/>
                <w:sz w:val="24"/>
                <w:highlight w:val="none"/>
              </w:rPr>
            </w:pPr>
            <w:r>
              <w:rPr>
                <w:color w:val="auto"/>
                <w:sz w:val="24"/>
                <w:highlight w:val="none"/>
              </w:rPr>
              <w:t>交货期</w:t>
            </w:r>
          </w:p>
        </w:tc>
        <w:tc>
          <w:tcPr>
            <w:tcW w:w="888" w:type="dxa"/>
            <w:vAlign w:val="center"/>
          </w:tcPr>
          <w:p w14:paraId="2EC4DFD1">
            <w:pPr>
              <w:spacing w:line="460" w:lineRule="exact"/>
              <w:jc w:val="center"/>
              <w:rPr>
                <w:rFonts w:hint="eastAsia" w:eastAsia="宋体"/>
                <w:color w:val="auto"/>
                <w:sz w:val="24"/>
                <w:highlight w:val="none"/>
                <w:lang w:eastAsia="zh-CN"/>
              </w:rPr>
            </w:pPr>
            <w:r>
              <w:rPr>
                <w:rFonts w:hint="eastAsia"/>
                <w:color w:val="auto"/>
                <w:sz w:val="24"/>
                <w:highlight w:val="none"/>
                <w:lang w:eastAsia="zh-CN"/>
              </w:rPr>
              <w:t>单价</w:t>
            </w:r>
          </w:p>
        </w:tc>
        <w:tc>
          <w:tcPr>
            <w:tcW w:w="962" w:type="dxa"/>
            <w:vAlign w:val="center"/>
          </w:tcPr>
          <w:p w14:paraId="79B21D3D">
            <w:pPr>
              <w:spacing w:line="460" w:lineRule="exact"/>
              <w:jc w:val="center"/>
              <w:rPr>
                <w:rFonts w:hint="eastAsia" w:eastAsia="宋体"/>
                <w:color w:val="auto"/>
                <w:sz w:val="24"/>
                <w:highlight w:val="none"/>
                <w:lang w:eastAsia="zh-CN"/>
              </w:rPr>
            </w:pPr>
            <w:r>
              <w:rPr>
                <w:rFonts w:hint="eastAsia"/>
                <w:color w:val="auto"/>
                <w:sz w:val="24"/>
                <w:highlight w:val="none"/>
                <w:lang w:eastAsia="zh-CN"/>
              </w:rPr>
              <w:t>总价</w:t>
            </w:r>
          </w:p>
        </w:tc>
        <w:tc>
          <w:tcPr>
            <w:tcW w:w="895" w:type="dxa"/>
            <w:vAlign w:val="center"/>
          </w:tcPr>
          <w:p w14:paraId="1A297598">
            <w:pPr>
              <w:spacing w:line="460" w:lineRule="exact"/>
              <w:jc w:val="center"/>
              <w:rPr>
                <w:color w:val="auto"/>
                <w:sz w:val="24"/>
                <w:highlight w:val="none"/>
              </w:rPr>
            </w:pPr>
            <w:r>
              <w:rPr>
                <w:color w:val="auto"/>
                <w:sz w:val="24"/>
                <w:highlight w:val="none"/>
              </w:rPr>
              <w:t>备注</w:t>
            </w:r>
          </w:p>
        </w:tc>
      </w:tr>
      <w:tr w14:paraId="4562E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1" w:type="dxa"/>
            <w:vAlign w:val="center"/>
          </w:tcPr>
          <w:p w14:paraId="12384009">
            <w:pPr>
              <w:spacing w:line="460" w:lineRule="exact"/>
              <w:jc w:val="center"/>
              <w:rPr>
                <w:color w:val="auto"/>
                <w:sz w:val="24"/>
                <w:highlight w:val="none"/>
              </w:rPr>
            </w:pPr>
            <w:r>
              <w:rPr>
                <w:color w:val="auto"/>
                <w:sz w:val="24"/>
                <w:highlight w:val="none"/>
              </w:rPr>
              <w:t>1</w:t>
            </w:r>
          </w:p>
        </w:tc>
        <w:tc>
          <w:tcPr>
            <w:tcW w:w="1436" w:type="dxa"/>
            <w:vAlign w:val="center"/>
          </w:tcPr>
          <w:p w14:paraId="0E813173">
            <w:pPr>
              <w:spacing w:line="460" w:lineRule="exact"/>
              <w:jc w:val="center"/>
              <w:rPr>
                <w:color w:val="auto"/>
                <w:sz w:val="24"/>
                <w:highlight w:val="none"/>
              </w:rPr>
            </w:pPr>
          </w:p>
        </w:tc>
        <w:tc>
          <w:tcPr>
            <w:tcW w:w="787" w:type="dxa"/>
            <w:vAlign w:val="center"/>
          </w:tcPr>
          <w:p w14:paraId="2722F590">
            <w:pPr>
              <w:spacing w:line="460" w:lineRule="exact"/>
              <w:jc w:val="center"/>
              <w:rPr>
                <w:color w:val="auto"/>
                <w:sz w:val="24"/>
                <w:highlight w:val="none"/>
              </w:rPr>
            </w:pPr>
          </w:p>
        </w:tc>
        <w:tc>
          <w:tcPr>
            <w:tcW w:w="875" w:type="dxa"/>
            <w:vAlign w:val="center"/>
          </w:tcPr>
          <w:p w14:paraId="757E9532">
            <w:pPr>
              <w:spacing w:line="460" w:lineRule="exact"/>
              <w:jc w:val="center"/>
              <w:rPr>
                <w:color w:val="auto"/>
                <w:sz w:val="24"/>
                <w:highlight w:val="none"/>
              </w:rPr>
            </w:pPr>
          </w:p>
        </w:tc>
        <w:tc>
          <w:tcPr>
            <w:tcW w:w="1037" w:type="dxa"/>
            <w:vAlign w:val="center"/>
          </w:tcPr>
          <w:p w14:paraId="5617E9A6">
            <w:pPr>
              <w:spacing w:line="460" w:lineRule="exact"/>
              <w:jc w:val="center"/>
              <w:rPr>
                <w:color w:val="auto"/>
                <w:sz w:val="24"/>
                <w:highlight w:val="none"/>
              </w:rPr>
            </w:pPr>
          </w:p>
        </w:tc>
        <w:tc>
          <w:tcPr>
            <w:tcW w:w="888" w:type="dxa"/>
            <w:vAlign w:val="center"/>
          </w:tcPr>
          <w:p w14:paraId="436CF47E">
            <w:pPr>
              <w:spacing w:line="460" w:lineRule="exact"/>
              <w:jc w:val="center"/>
              <w:rPr>
                <w:color w:val="auto"/>
                <w:sz w:val="24"/>
                <w:highlight w:val="none"/>
              </w:rPr>
            </w:pPr>
          </w:p>
        </w:tc>
        <w:tc>
          <w:tcPr>
            <w:tcW w:w="962" w:type="dxa"/>
            <w:vAlign w:val="center"/>
          </w:tcPr>
          <w:p w14:paraId="008411C7">
            <w:pPr>
              <w:spacing w:line="460" w:lineRule="exact"/>
              <w:jc w:val="center"/>
              <w:rPr>
                <w:color w:val="auto"/>
                <w:sz w:val="24"/>
                <w:highlight w:val="none"/>
              </w:rPr>
            </w:pPr>
          </w:p>
        </w:tc>
        <w:tc>
          <w:tcPr>
            <w:tcW w:w="895" w:type="dxa"/>
            <w:vAlign w:val="center"/>
          </w:tcPr>
          <w:p w14:paraId="4A2D1CCC">
            <w:pPr>
              <w:spacing w:line="460" w:lineRule="exact"/>
              <w:jc w:val="center"/>
              <w:rPr>
                <w:color w:val="auto"/>
                <w:sz w:val="24"/>
                <w:highlight w:val="none"/>
              </w:rPr>
            </w:pPr>
          </w:p>
        </w:tc>
      </w:tr>
      <w:tr w14:paraId="0B58E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1" w:type="dxa"/>
            <w:vAlign w:val="center"/>
          </w:tcPr>
          <w:p w14:paraId="471DE16D">
            <w:pPr>
              <w:spacing w:line="460" w:lineRule="exact"/>
              <w:jc w:val="center"/>
              <w:rPr>
                <w:color w:val="auto"/>
                <w:sz w:val="24"/>
                <w:highlight w:val="none"/>
              </w:rPr>
            </w:pPr>
            <w:r>
              <w:rPr>
                <w:rFonts w:hint="eastAsia"/>
                <w:color w:val="auto"/>
                <w:sz w:val="24"/>
                <w:highlight w:val="none"/>
              </w:rPr>
              <w:t>2</w:t>
            </w:r>
          </w:p>
        </w:tc>
        <w:tc>
          <w:tcPr>
            <w:tcW w:w="1436" w:type="dxa"/>
            <w:vAlign w:val="center"/>
          </w:tcPr>
          <w:p w14:paraId="71E74F88">
            <w:pPr>
              <w:spacing w:line="460" w:lineRule="exact"/>
              <w:jc w:val="center"/>
              <w:rPr>
                <w:color w:val="auto"/>
                <w:sz w:val="24"/>
                <w:highlight w:val="none"/>
              </w:rPr>
            </w:pPr>
          </w:p>
        </w:tc>
        <w:tc>
          <w:tcPr>
            <w:tcW w:w="787" w:type="dxa"/>
            <w:vAlign w:val="center"/>
          </w:tcPr>
          <w:p w14:paraId="3B9A79D7">
            <w:pPr>
              <w:spacing w:line="460" w:lineRule="exact"/>
              <w:jc w:val="center"/>
              <w:rPr>
                <w:color w:val="auto"/>
                <w:sz w:val="24"/>
                <w:highlight w:val="none"/>
              </w:rPr>
            </w:pPr>
          </w:p>
        </w:tc>
        <w:tc>
          <w:tcPr>
            <w:tcW w:w="875" w:type="dxa"/>
            <w:vAlign w:val="center"/>
          </w:tcPr>
          <w:p w14:paraId="76DED492">
            <w:pPr>
              <w:spacing w:line="460" w:lineRule="exact"/>
              <w:jc w:val="center"/>
              <w:rPr>
                <w:color w:val="auto"/>
                <w:sz w:val="24"/>
                <w:highlight w:val="none"/>
              </w:rPr>
            </w:pPr>
          </w:p>
        </w:tc>
        <w:tc>
          <w:tcPr>
            <w:tcW w:w="1037" w:type="dxa"/>
            <w:vAlign w:val="center"/>
          </w:tcPr>
          <w:p w14:paraId="5557EB14">
            <w:pPr>
              <w:spacing w:line="460" w:lineRule="exact"/>
              <w:jc w:val="center"/>
              <w:rPr>
                <w:color w:val="auto"/>
                <w:sz w:val="24"/>
                <w:highlight w:val="none"/>
              </w:rPr>
            </w:pPr>
          </w:p>
        </w:tc>
        <w:tc>
          <w:tcPr>
            <w:tcW w:w="888" w:type="dxa"/>
            <w:vAlign w:val="center"/>
          </w:tcPr>
          <w:p w14:paraId="4A6522B7">
            <w:pPr>
              <w:spacing w:line="460" w:lineRule="exact"/>
              <w:jc w:val="center"/>
              <w:rPr>
                <w:color w:val="auto"/>
                <w:sz w:val="24"/>
                <w:highlight w:val="none"/>
              </w:rPr>
            </w:pPr>
          </w:p>
        </w:tc>
        <w:tc>
          <w:tcPr>
            <w:tcW w:w="962" w:type="dxa"/>
            <w:vAlign w:val="center"/>
          </w:tcPr>
          <w:p w14:paraId="0D3E01A5">
            <w:pPr>
              <w:spacing w:line="460" w:lineRule="exact"/>
              <w:jc w:val="center"/>
              <w:rPr>
                <w:color w:val="auto"/>
                <w:sz w:val="24"/>
                <w:highlight w:val="none"/>
              </w:rPr>
            </w:pPr>
          </w:p>
        </w:tc>
        <w:tc>
          <w:tcPr>
            <w:tcW w:w="895" w:type="dxa"/>
            <w:vAlign w:val="center"/>
          </w:tcPr>
          <w:p w14:paraId="47B3829F">
            <w:pPr>
              <w:spacing w:line="460" w:lineRule="exact"/>
              <w:jc w:val="center"/>
              <w:rPr>
                <w:color w:val="auto"/>
                <w:sz w:val="24"/>
                <w:highlight w:val="none"/>
              </w:rPr>
            </w:pPr>
          </w:p>
        </w:tc>
      </w:tr>
      <w:tr w14:paraId="74162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1" w:type="dxa"/>
            <w:vAlign w:val="center"/>
          </w:tcPr>
          <w:p w14:paraId="4E475021">
            <w:pPr>
              <w:spacing w:line="460" w:lineRule="exact"/>
              <w:jc w:val="center"/>
              <w:rPr>
                <w:color w:val="auto"/>
                <w:sz w:val="24"/>
                <w:highlight w:val="none"/>
              </w:rPr>
            </w:pPr>
          </w:p>
        </w:tc>
        <w:tc>
          <w:tcPr>
            <w:tcW w:w="1436" w:type="dxa"/>
            <w:vAlign w:val="center"/>
          </w:tcPr>
          <w:p w14:paraId="05B7B382">
            <w:pPr>
              <w:spacing w:line="460" w:lineRule="exact"/>
              <w:jc w:val="center"/>
              <w:rPr>
                <w:color w:val="auto"/>
                <w:sz w:val="24"/>
                <w:highlight w:val="none"/>
              </w:rPr>
            </w:pPr>
          </w:p>
        </w:tc>
        <w:tc>
          <w:tcPr>
            <w:tcW w:w="787" w:type="dxa"/>
            <w:vAlign w:val="center"/>
          </w:tcPr>
          <w:p w14:paraId="1F674B1F">
            <w:pPr>
              <w:spacing w:line="460" w:lineRule="exact"/>
              <w:jc w:val="center"/>
              <w:rPr>
                <w:color w:val="auto"/>
                <w:sz w:val="24"/>
                <w:highlight w:val="none"/>
              </w:rPr>
            </w:pPr>
          </w:p>
        </w:tc>
        <w:tc>
          <w:tcPr>
            <w:tcW w:w="875" w:type="dxa"/>
            <w:vAlign w:val="center"/>
          </w:tcPr>
          <w:p w14:paraId="7A2C3B0B">
            <w:pPr>
              <w:spacing w:line="460" w:lineRule="exact"/>
              <w:jc w:val="center"/>
              <w:rPr>
                <w:color w:val="auto"/>
                <w:sz w:val="24"/>
                <w:highlight w:val="none"/>
              </w:rPr>
            </w:pPr>
          </w:p>
        </w:tc>
        <w:tc>
          <w:tcPr>
            <w:tcW w:w="1037" w:type="dxa"/>
            <w:vAlign w:val="center"/>
          </w:tcPr>
          <w:p w14:paraId="68A033BF">
            <w:pPr>
              <w:spacing w:line="460" w:lineRule="exact"/>
              <w:jc w:val="center"/>
              <w:rPr>
                <w:color w:val="auto"/>
                <w:sz w:val="24"/>
                <w:highlight w:val="none"/>
              </w:rPr>
            </w:pPr>
          </w:p>
        </w:tc>
        <w:tc>
          <w:tcPr>
            <w:tcW w:w="888" w:type="dxa"/>
            <w:vAlign w:val="center"/>
          </w:tcPr>
          <w:p w14:paraId="5E97E1FB">
            <w:pPr>
              <w:spacing w:line="460" w:lineRule="exact"/>
              <w:jc w:val="center"/>
              <w:rPr>
                <w:color w:val="auto"/>
                <w:sz w:val="24"/>
                <w:highlight w:val="none"/>
              </w:rPr>
            </w:pPr>
          </w:p>
        </w:tc>
        <w:tc>
          <w:tcPr>
            <w:tcW w:w="962" w:type="dxa"/>
            <w:vAlign w:val="center"/>
          </w:tcPr>
          <w:p w14:paraId="632F179A">
            <w:pPr>
              <w:spacing w:line="460" w:lineRule="exact"/>
              <w:jc w:val="center"/>
              <w:rPr>
                <w:color w:val="auto"/>
                <w:sz w:val="24"/>
                <w:highlight w:val="none"/>
              </w:rPr>
            </w:pPr>
          </w:p>
        </w:tc>
        <w:tc>
          <w:tcPr>
            <w:tcW w:w="895" w:type="dxa"/>
            <w:vAlign w:val="center"/>
          </w:tcPr>
          <w:p w14:paraId="49B7A6AF">
            <w:pPr>
              <w:spacing w:line="460" w:lineRule="exact"/>
              <w:jc w:val="center"/>
              <w:rPr>
                <w:color w:val="auto"/>
                <w:sz w:val="24"/>
                <w:highlight w:val="none"/>
              </w:rPr>
            </w:pPr>
          </w:p>
        </w:tc>
      </w:tr>
      <w:tr w14:paraId="467A7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1" w:type="dxa"/>
            <w:vAlign w:val="center"/>
          </w:tcPr>
          <w:p w14:paraId="48A41834">
            <w:pPr>
              <w:spacing w:line="460" w:lineRule="exact"/>
              <w:jc w:val="center"/>
              <w:rPr>
                <w:color w:val="auto"/>
                <w:sz w:val="24"/>
                <w:highlight w:val="none"/>
              </w:rPr>
            </w:pPr>
          </w:p>
        </w:tc>
        <w:tc>
          <w:tcPr>
            <w:tcW w:w="1436" w:type="dxa"/>
            <w:vAlign w:val="center"/>
          </w:tcPr>
          <w:p w14:paraId="7F6AD794">
            <w:pPr>
              <w:spacing w:line="460" w:lineRule="exact"/>
              <w:jc w:val="center"/>
              <w:rPr>
                <w:color w:val="auto"/>
                <w:sz w:val="24"/>
                <w:highlight w:val="none"/>
              </w:rPr>
            </w:pPr>
          </w:p>
        </w:tc>
        <w:tc>
          <w:tcPr>
            <w:tcW w:w="787" w:type="dxa"/>
            <w:vAlign w:val="center"/>
          </w:tcPr>
          <w:p w14:paraId="42E27B57">
            <w:pPr>
              <w:spacing w:line="460" w:lineRule="exact"/>
              <w:jc w:val="center"/>
              <w:rPr>
                <w:color w:val="auto"/>
                <w:sz w:val="24"/>
                <w:highlight w:val="none"/>
              </w:rPr>
            </w:pPr>
          </w:p>
        </w:tc>
        <w:tc>
          <w:tcPr>
            <w:tcW w:w="875" w:type="dxa"/>
            <w:vAlign w:val="center"/>
          </w:tcPr>
          <w:p w14:paraId="42D00945">
            <w:pPr>
              <w:spacing w:line="460" w:lineRule="exact"/>
              <w:jc w:val="center"/>
              <w:rPr>
                <w:color w:val="auto"/>
                <w:sz w:val="24"/>
                <w:highlight w:val="none"/>
              </w:rPr>
            </w:pPr>
          </w:p>
        </w:tc>
        <w:tc>
          <w:tcPr>
            <w:tcW w:w="1037" w:type="dxa"/>
            <w:vAlign w:val="center"/>
          </w:tcPr>
          <w:p w14:paraId="4A13DDF3">
            <w:pPr>
              <w:spacing w:line="460" w:lineRule="exact"/>
              <w:jc w:val="center"/>
              <w:rPr>
                <w:color w:val="auto"/>
                <w:sz w:val="24"/>
                <w:highlight w:val="none"/>
              </w:rPr>
            </w:pPr>
          </w:p>
        </w:tc>
        <w:tc>
          <w:tcPr>
            <w:tcW w:w="888" w:type="dxa"/>
            <w:vAlign w:val="center"/>
          </w:tcPr>
          <w:p w14:paraId="72497FB5">
            <w:pPr>
              <w:spacing w:line="460" w:lineRule="exact"/>
              <w:jc w:val="center"/>
              <w:rPr>
                <w:color w:val="auto"/>
                <w:sz w:val="24"/>
                <w:highlight w:val="none"/>
              </w:rPr>
            </w:pPr>
          </w:p>
        </w:tc>
        <w:tc>
          <w:tcPr>
            <w:tcW w:w="962" w:type="dxa"/>
            <w:vAlign w:val="center"/>
          </w:tcPr>
          <w:p w14:paraId="0CC1C882">
            <w:pPr>
              <w:spacing w:line="460" w:lineRule="exact"/>
              <w:jc w:val="center"/>
              <w:rPr>
                <w:color w:val="auto"/>
                <w:sz w:val="24"/>
                <w:highlight w:val="none"/>
              </w:rPr>
            </w:pPr>
          </w:p>
        </w:tc>
        <w:tc>
          <w:tcPr>
            <w:tcW w:w="895" w:type="dxa"/>
            <w:vAlign w:val="center"/>
          </w:tcPr>
          <w:p w14:paraId="1B4ED490">
            <w:pPr>
              <w:spacing w:line="460" w:lineRule="exact"/>
              <w:jc w:val="center"/>
              <w:rPr>
                <w:color w:val="auto"/>
                <w:sz w:val="24"/>
                <w:highlight w:val="none"/>
              </w:rPr>
            </w:pPr>
          </w:p>
        </w:tc>
      </w:tr>
      <w:tr w14:paraId="00AA8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1" w:type="dxa"/>
            <w:vAlign w:val="center"/>
          </w:tcPr>
          <w:p w14:paraId="49716DE7">
            <w:pPr>
              <w:spacing w:line="460" w:lineRule="exact"/>
              <w:jc w:val="center"/>
              <w:rPr>
                <w:color w:val="auto"/>
                <w:sz w:val="24"/>
                <w:highlight w:val="none"/>
              </w:rPr>
            </w:pPr>
          </w:p>
        </w:tc>
        <w:tc>
          <w:tcPr>
            <w:tcW w:w="1436" w:type="dxa"/>
            <w:vAlign w:val="center"/>
          </w:tcPr>
          <w:p w14:paraId="07C08703">
            <w:pPr>
              <w:spacing w:line="460" w:lineRule="exact"/>
              <w:jc w:val="center"/>
              <w:rPr>
                <w:color w:val="auto"/>
                <w:sz w:val="24"/>
                <w:highlight w:val="none"/>
              </w:rPr>
            </w:pPr>
          </w:p>
        </w:tc>
        <w:tc>
          <w:tcPr>
            <w:tcW w:w="787" w:type="dxa"/>
            <w:vAlign w:val="center"/>
          </w:tcPr>
          <w:p w14:paraId="3078AB7C">
            <w:pPr>
              <w:spacing w:line="460" w:lineRule="exact"/>
              <w:jc w:val="center"/>
              <w:rPr>
                <w:color w:val="auto"/>
                <w:sz w:val="24"/>
                <w:highlight w:val="none"/>
              </w:rPr>
            </w:pPr>
          </w:p>
        </w:tc>
        <w:tc>
          <w:tcPr>
            <w:tcW w:w="875" w:type="dxa"/>
            <w:vAlign w:val="center"/>
          </w:tcPr>
          <w:p w14:paraId="34AAA1BC">
            <w:pPr>
              <w:spacing w:line="460" w:lineRule="exact"/>
              <w:jc w:val="center"/>
              <w:rPr>
                <w:color w:val="auto"/>
                <w:sz w:val="24"/>
                <w:highlight w:val="none"/>
              </w:rPr>
            </w:pPr>
          </w:p>
        </w:tc>
        <w:tc>
          <w:tcPr>
            <w:tcW w:w="1037" w:type="dxa"/>
            <w:vAlign w:val="center"/>
          </w:tcPr>
          <w:p w14:paraId="59910028">
            <w:pPr>
              <w:spacing w:line="460" w:lineRule="exact"/>
              <w:jc w:val="center"/>
              <w:rPr>
                <w:color w:val="auto"/>
                <w:sz w:val="24"/>
                <w:highlight w:val="none"/>
              </w:rPr>
            </w:pPr>
          </w:p>
        </w:tc>
        <w:tc>
          <w:tcPr>
            <w:tcW w:w="888" w:type="dxa"/>
            <w:vAlign w:val="center"/>
          </w:tcPr>
          <w:p w14:paraId="2A40170C">
            <w:pPr>
              <w:spacing w:line="460" w:lineRule="exact"/>
              <w:jc w:val="center"/>
              <w:rPr>
                <w:color w:val="auto"/>
                <w:sz w:val="24"/>
                <w:highlight w:val="none"/>
              </w:rPr>
            </w:pPr>
          </w:p>
        </w:tc>
        <w:tc>
          <w:tcPr>
            <w:tcW w:w="962" w:type="dxa"/>
            <w:vAlign w:val="center"/>
          </w:tcPr>
          <w:p w14:paraId="7502512A">
            <w:pPr>
              <w:spacing w:line="460" w:lineRule="exact"/>
              <w:jc w:val="center"/>
              <w:rPr>
                <w:color w:val="auto"/>
                <w:sz w:val="24"/>
                <w:highlight w:val="none"/>
              </w:rPr>
            </w:pPr>
          </w:p>
        </w:tc>
        <w:tc>
          <w:tcPr>
            <w:tcW w:w="895" w:type="dxa"/>
            <w:vAlign w:val="center"/>
          </w:tcPr>
          <w:p w14:paraId="21395AF5">
            <w:pPr>
              <w:spacing w:line="460" w:lineRule="exact"/>
              <w:jc w:val="center"/>
              <w:rPr>
                <w:color w:val="auto"/>
                <w:sz w:val="24"/>
                <w:highlight w:val="none"/>
              </w:rPr>
            </w:pPr>
          </w:p>
        </w:tc>
      </w:tr>
      <w:tr w14:paraId="435F4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1" w:type="dxa"/>
            <w:vAlign w:val="center"/>
          </w:tcPr>
          <w:p w14:paraId="5342579D">
            <w:pPr>
              <w:spacing w:line="460" w:lineRule="exact"/>
              <w:jc w:val="center"/>
              <w:rPr>
                <w:color w:val="auto"/>
                <w:sz w:val="24"/>
                <w:highlight w:val="none"/>
              </w:rPr>
            </w:pPr>
          </w:p>
        </w:tc>
        <w:tc>
          <w:tcPr>
            <w:tcW w:w="1436" w:type="dxa"/>
            <w:vAlign w:val="center"/>
          </w:tcPr>
          <w:p w14:paraId="2FB5D3B9">
            <w:pPr>
              <w:spacing w:line="460" w:lineRule="exact"/>
              <w:jc w:val="center"/>
              <w:rPr>
                <w:color w:val="auto"/>
                <w:sz w:val="24"/>
                <w:highlight w:val="none"/>
              </w:rPr>
            </w:pPr>
          </w:p>
        </w:tc>
        <w:tc>
          <w:tcPr>
            <w:tcW w:w="787" w:type="dxa"/>
            <w:vAlign w:val="center"/>
          </w:tcPr>
          <w:p w14:paraId="44F2FAB4">
            <w:pPr>
              <w:spacing w:line="460" w:lineRule="exact"/>
              <w:jc w:val="center"/>
              <w:rPr>
                <w:color w:val="auto"/>
                <w:sz w:val="24"/>
                <w:highlight w:val="none"/>
              </w:rPr>
            </w:pPr>
          </w:p>
        </w:tc>
        <w:tc>
          <w:tcPr>
            <w:tcW w:w="875" w:type="dxa"/>
            <w:vAlign w:val="center"/>
          </w:tcPr>
          <w:p w14:paraId="3E4D2FDB">
            <w:pPr>
              <w:spacing w:line="460" w:lineRule="exact"/>
              <w:jc w:val="center"/>
              <w:rPr>
                <w:color w:val="auto"/>
                <w:sz w:val="24"/>
                <w:highlight w:val="none"/>
              </w:rPr>
            </w:pPr>
          </w:p>
        </w:tc>
        <w:tc>
          <w:tcPr>
            <w:tcW w:w="1037" w:type="dxa"/>
            <w:vAlign w:val="center"/>
          </w:tcPr>
          <w:p w14:paraId="713B506B">
            <w:pPr>
              <w:spacing w:line="460" w:lineRule="exact"/>
              <w:jc w:val="center"/>
              <w:rPr>
                <w:color w:val="auto"/>
                <w:sz w:val="24"/>
                <w:highlight w:val="none"/>
              </w:rPr>
            </w:pPr>
          </w:p>
        </w:tc>
        <w:tc>
          <w:tcPr>
            <w:tcW w:w="888" w:type="dxa"/>
            <w:vAlign w:val="center"/>
          </w:tcPr>
          <w:p w14:paraId="306FDC78">
            <w:pPr>
              <w:spacing w:line="460" w:lineRule="exact"/>
              <w:jc w:val="center"/>
              <w:rPr>
                <w:color w:val="auto"/>
                <w:sz w:val="24"/>
                <w:highlight w:val="none"/>
              </w:rPr>
            </w:pPr>
          </w:p>
        </w:tc>
        <w:tc>
          <w:tcPr>
            <w:tcW w:w="962" w:type="dxa"/>
            <w:vAlign w:val="center"/>
          </w:tcPr>
          <w:p w14:paraId="451D5129">
            <w:pPr>
              <w:spacing w:line="460" w:lineRule="exact"/>
              <w:jc w:val="center"/>
              <w:rPr>
                <w:color w:val="auto"/>
                <w:sz w:val="24"/>
                <w:highlight w:val="none"/>
              </w:rPr>
            </w:pPr>
          </w:p>
        </w:tc>
        <w:tc>
          <w:tcPr>
            <w:tcW w:w="895" w:type="dxa"/>
            <w:vAlign w:val="center"/>
          </w:tcPr>
          <w:p w14:paraId="50419DAA">
            <w:pPr>
              <w:spacing w:line="460" w:lineRule="exact"/>
              <w:jc w:val="center"/>
              <w:rPr>
                <w:color w:val="auto"/>
                <w:sz w:val="24"/>
                <w:highlight w:val="none"/>
              </w:rPr>
            </w:pPr>
          </w:p>
        </w:tc>
      </w:tr>
      <w:tr w14:paraId="0FF0D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1" w:type="dxa"/>
            <w:vAlign w:val="center"/>
          </w:tcPr>
          <w:p w14:paraId="706F2ACF">
            <w:pPr>
              <w:spacing w:line="460" w:lineRule="exact"/>
              <w:jc w:val="center"/>
              <w:rPr>
                <w:color w:val="auto"/>
                <w:sz w:val="24"/>
                <w:highlight w:val="none"/>
              </w:rPr>
            </w:pPr>
            <w:r>
              <w:rPr>
                <w:color w:val="auto"/>
                <w:sz w:val="24"/>
                <w:highlight w:val="none"/>
              </w:rPr>
              <w:t>…</w:t>
            </w:r>
          </w:p>
        </w:tc>
        <w:tc>
          <w:tcPr>
            <w:tcW w:w="1436" w:type="dxa"/>
            <w:vAlign w:val="center"/>
          </w:tcPr>
          <w:p w14:paraId="7D46B425">
            <w:pPr>
              <w:spacing w:line="460" w:lineRule="exact"/>
              <w:jc w:val="center"/>
              <w:rPr>
                <w:color w:val="auto"/>
                <w:sz w:val="24"/>
                <w:highlight w:val="none"/>
              </w:rPr>
            </w:pPr>
          </w:p>
        </w:tc>
        <w:tc>
          <w:tcPr>
            <w:tcW w:w="787" w:type="dxa"/>
            <w:vAlign w:val="center"/>
          </w:tcPr>
          <w:p w14:paraId="285D2184">
            <w:pPr>
              <w:spacing w:line="460" w:lineRule="exact"/>
              <w:jc w:val="center"/>
              <w:rPr>
                <w:color w:val="auto"/>
                <w:sz w:val="24"/>
                <w:highlight w:val="none"/>
              </w:rPr>
            </w:pPr>
          </w:p>
        </w:tc>
        <w:tc>
          <w:tcPr>
            <w:tcW w:w="875" w:type="dxa"/>
            <w:vAlign w:val="center"/>
          </w:tcPr>
          <w:p w14:paraId="2481931B">
            <w:pPr>
              <w:spacing w:line="460" w:lineRule="exact"/>
              <w:jc w:val="center"/>
              <w:rPr>
                <w:color w:val="auto"/>
                <w:sz w:val="24"/>
                <w:highlight w:val="none"/>
              </w:rPr>
            </w:pPr>
          </w:p>
        </w:tc>
        <w:tc>
          <w:tcPr>
            <w:tcW w:w="1037" w:type="dxa"/>
            <w:vAlign w:val="center"/>
          </w:tcPr>
          <w:p w14:paraId="1C14C5A7">
            <w:pPr>
              <w:spacing w:line="460" w:lineRule="exact"/>
              <w:jc w:val="center"/>
              <w:rPr>
                <w:color w:val="auto"/>
                <w:sz w:val="24"/>
                <w:highlight w:val="none"/>
              </w:rPr>
            </w:pPr>
          </w:p>
        </w:tc>
        <w:tc>
          <w:tcPr>
            <w:tcW w:w="888" w:type="dxa"/>
            <w:vAlign w:val="center"/>
          </w:tcPr>
          <w:p w14:paraId="25F08A20">
            <w:pPr>
              <w:spacing w:line="460" w:lineRule="exact"/>
              <w:jc w:val="center"/>
              <w:rPr>
                <w:color w:val="auto"/>
                <w:sz w:val="24"/>
                <w:highlight w:val="none"/>
              </w:rPr>
            </w:pPr>
          </w:p>
        </w:tc>
        <w:tc>
          <w:tcPr>
            <w:tcW w:w="962" w:type="dxa"/>
            <w:vAlign w:val="center"/>
          </w:tcPr>
          <w:p w14:paraId="73B6BD0C">
            <w:pPr>
              <w:spacing w:line="460" w:lineRule="exact"/>
              <w:jc w:val="center"/>
              <w:rPr>
                <w:color w:val="auto"/>
                <w:sz w:val="24"/>
                <w:highlight w:val="none"/>
              </w:rPr>
            </w:pPr>
          </w:p>
        </w:tc>
        <w:tc>
          <w:tcPr>
            <w:tcW w:w="895" w:type="dxa"/>
            <w:vAlign w:val="center"/>
          </w:tcPr>
          <w:p w14:paraId="0D3E8326">
            <w:pPr>
              <w:spacing w:line="460" w:lineRule="exact"/>
              <w:jc w:val="center"/>
              <w:rPr>
                <w:color w:val="auto"/>
                <w:sz w:val="24"/>
                <w:highlight w:val="none"/>
              </w:rPr>
            </w:pPr>
          </w:p>
        </w:tc>
      </w:tr>
      <w:tr w14:paraId="6FA9C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gridSpan w:val="2"/>
            <w:vAlign w:val="center"/>
          </w:tcPr>
          <w:p w14:paraId="3AE32180">
            <w:pPr>
              <w:spacing w:line="460" w:lineRule="exact"/>
              <w:jc w:val="center"/>
              <w:rPr>
                <w:color w:val="auto"/>
                <w:sz w:val="24"/>
                <w:highlight w:val="none"/>
              </w:rPr>
            </w:pPr>
            <w:r>
              <w:rPr>
                <w:rFonts w:hint="eastAsia"/>
                <w:color w:val="auto"/>
                <w:sz w:val="24"/>
                <w:highlight w:val="none"/>
              </w:rPr>
              <w:t>投标总价</w:t>
            </w:r>
            <w:r>
              <w:rPr>
                <w:rFonts w:hint="eastAsia"/>
                <w:color w:val="auto"/>
                <w:sz w:val="24"/>
                <w:highlight w:val="none"/>
                <w:lang w:eastAsia="zh-CN"/>
              </w:rPr>
              <w:t>（万元）</w:t>
            </w:r>
          </w:p>
        </w:tc>
        <w:tc>
          <w:tcPr>
            <w:tcW w:w="5444" w:type="dxa"/>
            <w:gridSpan w:val="6"/>
            <w:vAlign w:val="center"/>
          </w:tcPr>
          <w:p w14:paraId="50E1B21F">
            <w:pPr>
              <w:spacing w:line="460" w:lineRule="exact"/>
              <w:jc w:val="left"/>
              <w:rPr>
                <w:color w:val="auto"/>
                <w:sz w:val="24"/>
                <w:highlight w:val="none"/>
              </w:rPr>
            </w:pPr>
            <w:r>
              <w:rPr>
                <w:rFonts w:hint="eastAsia"/>
                <w:color w:val="auto"/>
                <w:sz w:val="24"/>
                <w:highlight w:val="none"/>
              </w:rPr>
              <w:t xml:space="preserve">小写：        </w:t>
            </w:r>
            <w:r>
              <w:rPr>
                <w:rFonts w:hint="eastAsia"/>
                <w:color w:val="auto"/>
                <w:sz w:val="24"/>
                <w:highlight w:val="none"/>
                <w:lang w:val="en-US" w:eastAsia="zh-CN"/>
              </w:rPr>
              <w:t xml:space="preserve">       </w:t>
            </w:r>
            <w:r>
              <w:rPr>
                <w:rFonts w:hint="eastAsia"/>
                <w:color w:val="auto"/>
                <w:sz w:val="24"/>
                <w:highlight w:val="none"/>
              </w:rPr>
              <w:t xml:space="preserve"> 大写：</w:t>
            </w:r>
          </w:p>
        </w:tc>
      </w:tr>
    </w:tbl>
    <w:p w14:paraId="51593242">
      <w:pPr>
        <w:ind w:left="180"/>
        <w:rPr>
          <w:color w:val="auto"/>
          <w:sz w:val="24"/>
          <w:highlight w:val="none"/>
        </w:rPr>
      </w:pPr>
    </w:p>
    <w:p w14:paraId="46FFF6B9">
      <w:pPr>
        <w:keepNext w:val="0"/>
        <w:keepLines w:val="0"/>
        <w:pageBreakBefore w:val="0"/>
        <w:widowControl w:val="0"/>
        <w:kinsoku/>
        <w:wordWrap/>
        <w:overflowPunct/>
        <w:topLinePunct w:val="0"/>
        <w:autoSpaceDE/>
        <w:autoSpaceDN/>
        <w:bidi w:val="0"/>
        <w:adjustRightInd/>
        <w:snapToGrid/>
        <w:spacing w:line="360" w:lineRule="auto"/>
        <w:ind w:left="0"/>
        <w:textAlignment w:val="auto"/>
        <w:rPr>
          <w:color w:val="auto"/>
          <w:sz w:val="24"/>
          <w:szCs w:val="24"/>
          <w:highlight w:val="none"/>
        </w:rPr>
      </w:pPr>
      <w:r>
        <w:rPr>
          <w:color w:val="auto"/>
          <w:sz w:val="24"/>
          <w:szCs w:val="24"/>
          <w:highlight w:val="none"/>
        </w:rPr>
        <w:t xml:space="preserve">注：1.  </w:t>
      </w:r>
      <w:r>
        <w:rPr>
          <w:rFonts w:hint="eastAsia"/>
          <w:color w:val="auto"/>
          <w:sz w:val="24"/>
          <w:szCs w:val="24"/>
          <w:highlight w:val="none"/>
        </w:rPr>
        <w:t>报价明细</w:t>
      </w:r>
      <w:r>
        <w:rPr>
          <w:color w:val="auto"/>
          <w:sz w:val="24"/>
          <w:szCs w:val="24"/>
          <w:highlight w:val="none"/>
        </w:rPr>
        <w:t>表中应列明开标一览表中每项的分项内容。</w:t>
      </w:r>
    </w:p>
    <w:p w14:paraId="6F580DD9">
      <w:pPr>
        <w:keepNext w:val="0"/>
        <w:keepLines w:val="0"/>
        <w:pageBreakBefore w:val="0"/>
        <w:widowControl w:val="0"/>
        <w:kinsoku/>
        <w:wordWrap/>
        <w:overflowPunct/>
        <w:topLinePunct w:val="0"/>
        <w:autoSpaceDE/>
        <w:autoSpaceDN/>
        <w:bidi w:val="0"/>
        <w:adjustRightInd/>
        <w:snapToGrid/>
        <w:spacing w:line="360" w:lineRule="auto"/>
        <w:ind w:left="0"/>
        <w:textAlignment w:val="auto"/>
        <w:rPr>
          <w:color w:val="auto"/>
          <w:sz w:val="24"/>
          <w:szCs w:val="24"/>
          <w:highlight w:val="none"/>
        </w:rPr>
      </w:pPr>
      <w:r>
        <w:rPr>
          <w:rFonts w:hint="eastAsia"/>
          <w:color w:val="auto"/>
          <w:sz w:val="24"/>
          <w:szCs w:val="24"/>
          <w:highlight w:val="none"/>
        </w:rPr>
        <w:t xml:space="preserve">    2. 如国产产品，产地精确到省级行政区域。如进口产品，产地精确到国家。</w:t>
      </w:r>
    </w:p>
    <w:p w14:paraId="733FEE34">
      <w:pPr>
        <w:spacing w:line="360" w:lineRule="auto"/>
        <w:ind w:left="181"/>
        <w:rPr>
          <w:rFonts w:hAnsi="宋体"/>
          <w:color w:val="auto"/>
          <w:sz w:val="24"/>
          <w:szCs w:val="24"/>
          <w:highlight w:val="none"/>
        </w:rPr>
      </w:pPr>
      <w:r>
        <w:rPr>
          <w:rFonts w:hint="eastAsia"/>
          <w:color w:val="auto"/>
          <w:sz w:val="24"/>
          <w:szCs w:val="24"/>
          <w:highlight w:val="none"/>
        </w:rPr>
        <w:t xml:space="preserve">  </w:t>
      </w:r>
    </w:p>
    <w:p w14:paraId="743898E4">
      <w:pPr>
        <w:adjustRightInd w:val="0"/>
        <w:spacing w:line="360" w:lineRule="auto"/>
        <w:jc w:val="left"/>
        <w:rPr>
          <w:rFonts w:hAnsi="宋体"/>
          <w:color w:val="auto"/>
          <w:sz w:val="24"/>
          <w:szCs w:val="24"/>
          <w:highlight w:val="none"/>
        </w:rPr>
      </w:pPr>
      <w:r>
        <w:rPr>
          <w:rFonts w:hint="eastAsia" w:hAnsi="宋体"/>
          <w:color w:val="auto"/>
          <w:sz w:val="24"/>
          <w:szCs w:val="24"/>
          <w:highlight w:val="none"/>
        </w:rPr>
        <w:t xml:space="preserve"> 投标人（公章）：        </w:t>
      </w:r>
    </w:p>
    <w:p w14:paraId="07DCECE5">
      <w:pPr>
        <w:adjustRightInd w:val="0"/>
        <w:spacing w:line="360" w:lineRule="auto"/>
        <w:jc w:val="left"/>
        <w:rPr>
          <w:rFonts w:hAnsi="宋体"/>
          <w:color w:val="auto"/>
          <w:sz w:val="24"/>
          <w:szCs w:val="24"/>
          <w:highlight w:val="none"/>
        </w:rPr>
      </w:pPr>
      <w:r>
        <w:rPr>
          <w:rFonts w:hint="eastAsia" w:hAnsi="宋体"/>
          <w:color w:val="auto"/>
          <w:sz w:val="24"/>
          <w:szCs w:val="24"/>
          <w:highlight w:val="none"/>
        </w:rPr>
        <w:t xml:space="preserve"> 法定代表人或</w:t>
      </w:r>
      <w:r>
        <w:rPr>
          <w:rFonts w:hint="eastAsia" w:hAnsi="宋体"/>
          <w:color w:val="auto"/>
          <w:sz w:val="24"/>
          <w:szCs w:val="24"/>
          <w:highlight w:val="none"/>
          <w:lang w:eastAsia="zh-CN"/>
        </w:rPr>
        <w:t>授权代表</w:t>
      </w:r>
      <w:r>
        <w:rPr>
          <w:rFonts w:hint="eastAsia" w:hAnsi="宋体"/>
          <w:color w:val="auto"/>
          <w:sz w:val="24"/>
          <w:szCs w:val="24"/>
          <w:highlight w:val="none"/>
        </w:rPr>
        <w:t>（签字</w:t>
      </w:r>
      <w:r>
        <w:rPr>
          <w:rFonts w:hint="eastAsia" w:hAnsi="宋体"/>
          <w:color w:val="auto"/>
          <w:sz w:val="24"/>
          <w:szCs w:val="24"/>
          <w:highlight w:val="none"/>
          <w:lang w:eastAsia="zh-CN"/>
        </w:rPr>
        <w:t>或盖章</w:t>
      </w:r>
      <w:r>
        <w:rPr>
          <w:rFonts w:hint="eastAsia" w:hAnsi="宋体"/>
          <w:color w:val="auto"/>
          <w:sz w:val="24"/>
          <w:szCs w:val="24"/>
          <w:highlight w:val="none"/>
        </w:rPr>
        <w:t>）：</w:t>
      </w:r>
    </w:p>
    <w:p w14:paraId="76861C00">
      <w:pPr>
        <w:spacing w:line="360" w:lineRule="auto"/>
        <w:jc w:val="left"/>
        <w:rPr>
          <w:rFonts w:hAnsi="宋体"/>
          <w:color w:val="auto"/>
          <w:sz w:val="24"/>
          <w:szCs w:val="24"/>
          <w:highlight w:val="none"/>
        </w:rPr>
      </w:pPr>
      <w:r>
        <w:rPr>
          <w:rFonts w:hint="eastAsia" w:hAnsi="宋体"/>
          <w:color w:val="auto"/>
          <w:sz w:val="24"/>
          <w:szCs w:val="24"/>
          <w:highlight w:val="none"/>
        </w:rPr>
        <w:t xml:space="preserve"> 日  期：年</w:t>
      </w:r>
      <w:r>
        <w:rPr>
          <w:rFonts w:hint="eastAsia" w:hAnsi="宋体"/>
          <w:color w:val="auto"/>
          <w:sz w:val="24"/>
          <w:szCs w:val="24"/>
          <w:highlight w:val="none"/>
          <w:lang w:val="en-US" w:eastAsia="zh-CN"/>
        </w:rPr>
        <w:t xml:space="preserve"> </w:t>
      </w:r>
      <w:r>
        <w:rPr>
          <w:rFonts w:hint="eastAsia" w:hAnsi="宋体"/>
          <w:color w:val="auto"/>
          <w:sz w:val="24"/>
          <w:szCs w:val="24"/>
          <w:highlight w:val="none"/>
        </w:rPr>
        <w:t>月</w:t>
      </w:r>
      <w:r>
        <w:rPr>
          <w:rFonts w:hint="eastAsia" w:hAnsi="宋体"/>
          <w:color w:val="auto"/>
          <w:sz w:val="24"/>
          <w:szCs w:val="24"/>
          <w:highlight w:val="none"/>
          <w:lang w:val="en-US" w:eastAsia="zh-CN"/>
        </w:rPr>
        <w:t xml:space="preserve"> </w:t>
      </w:r>
      <w:r>
        <w:rPr>
          <w:rFonts w:hint="eastAsia" w:hAnsi="宋体"/>
          <w:color w:val="auto"/>
          <w:sz w:val="24"/>
          <w:szCs w:val="24"/>
          <w:highlight w:val="none"/>
        </w:rPr>
        <w:t>日</w:t>
      </w:r>
    </w:p>
    <w:p w14:paraId="26361788">
      <w:pPr>
        <w:pStyle w:val="5"/>
        <w:pageBreakBefore/>
        <w:adjustRightInd/>
        <w:spacing w:before="0" w:after="0" w:line="360" w:lineRule="auto"/>
        <w:jc w:val="center"/>
        <w:textAlignment w:val="auto"/>
        <w:outlineLvl w:val="1"/>
        <w:rPr>
          <w:rFonts w:ascii="宋体"/>
          <w:b w:val="0"/>
          <w:bCs w:val="0"/>
          <w:kern w:val="2"/>
          <w:sz w:val="28"/>
          <w:szCs w:val="28"/>
        </w:rPr>
      </w:pPr>
      <w:bookmarkStart w:id="107" w:name="_Toc12979"/>
      <w:r>
        <w:rPr>
          <w:rFonts w:hint="eastAsia" w:ascii="宋体" w:hAnsi="宋体" w:cs="宋体"/>
          <w:b w:val="0"/>
          <w:bCs w:val="0"/>
          <w:kern w:val="2"/>
          <w:sz w:val="28"/>
          <w:szCs w:val="28"/>
          <w:lang w:val="en-US" w:eastAsia="zh-CN"/>
        </w:rPr>
        <w:t>五</w:t>
      </w:r>
      <w:r>
        <w:rPr>
          <w:rFonts w:hint="eastAsia" w:ascii="宋体" w:hAnsi="宋体" w:cs="宋体"/>
          <w:b w:val="0"/>
          <w:bCs w:val="0"/>
          <w:kern w:val="2"/>
          <w:sz w:val="28"/>
          <w:szCs w:val="28"/>
        </w:rPr>
        <w:t>、投标人资格证明文件</w:t>
      </w:r>
      <w:bookmarkEnd w:id="104"/>
      <w:bookmarkEnd w:id="105"/>
      <w:bookmarkEnd w:id="106"/>
      <w:bookmarkEnd w:id="107"/>
    </w:p>
    <w:p w14:paraId="76D28E87">
      <w:pPr>
        <w:keepNext w:val="0"/>
        <w:keepLines w:val="0"/>
        <w:pageBreakBefore w:val="0"/>
        <w:widowControl w:val="0"/>
        <w:kinsoku/>
        <w:wordWrap/>
        <w:overflowPunct/>
        <w:topLinePunct w:val="0"/>
        <w:bidi w:val="0"/>
        <w:snapToGrid/>
        <w:spacing w:line="360" w:lineRule="auto"/>
        <w:ind w:firstLine="482" w:firstLineChars="200"/>
        <w:textAlignment w:val="auto"/>
        <w:rPr>
          <w:rFonts w:hint="eastAsia" w:hAnsi="宋体" w:eastAsia="宋体"/>
          <w:b/>
          <w:color w:val="auto"/>
          <w:sz w:val="24"/>
          <w:szCs w:val="24"/>
          <w:highlight w:val="none"/>
          <w:lang w:val="en-US" w:eastAsia="zh-CN"/>
        </w:rPr>
      </w:pPr>
      <w:r>
        <w:rPr>
          <w:rFonts w:hint="eastAsia" w:hAnsi="宋体"/>
          <w:b/>
          <w:color w:val="auto"/>
          <w:sz w:val="24"/>
          <w:szCs w:val="24"/>
          <w:highlight w:val="none"/>
        </w:rPr>
        <w:t>一、投标人有效的营业执照，或事业单位法人证书，或自然人身份证明，或其他非企业组织证明独立承担民事责任能力的文件</w:t>
      </w:r>
      <w:r>
        <w:rPr>
          <w:rFonts w:hint="eastAsia" w:hAnsi="宋体"/>
          <w:b/>
          <w:color w:val="auto"/>
          <w:sz w:val="24"/>
          <w:szCs w:val="24"/>
          <w:highlight w:val="none"/>
          <w:lang w:eastAsia="zh-CN"/>
        </w:rPr>
        <w:t>彩色</w:t>
      </w:r>
      <w:r>
        <w:rPr>
          <w:rFonts w:hint="eastAsia" w:hAnsi="宋体"/>
          <w:b/>
          <w:color w:val="auto"/>
          <w:sz w:val="24"/>
          <w:szCs w:val="24"/>
          <w:highlight w:val="none"/>
        </w:rPr>
        <w:t>扫描件</w:t>
      </w:r>
      <w:r>
        <w:rPr>
          <w:rFonts w:hint="eastAsia" w:hAnsi="宋体"/>
          <w:b/>
          <w:color w:val="auto"/>
          <w:sz w:val="24"/>
          <w:szCs w:val="24"/>
          <w:highlight w:val="none"/>
          <w:lang w:eastAsia="zh-CN"/>
        </w:rPr>
        <w:t>。</w:t>
      </w:r>
    </w:p>
    <w:p w14:paraId="15BAFBFE">
      <w:pPr>
        <w:keepNext w:val="0"/>
        <w:keepLines w:val="0"/>
        <w:pageBreakBefore w:val="0"/>
        <w:widowControl w:val="0"/>
        <w:kinsoku/>
        <w:wordWrap/>
        <w:overflowPunct/>
        <w:topLinePunct w:val="0"/>
        <w:bidi w:val="0"/>
        <w:snapToGrid/>
        <w:spacing w:line="360" w:lineRule="auto"/>
        <w:textAlignment w:val="auto"/>
        <w:rPr>
          <w:rFonts w:hAnsi="宋体"/>
          <w:b/>
          <w:color w:val="auto"/>
          <w:sz w:val="24"/>
          <w:szCs w:val="24"/>
          <w:highlight w:val="none"/>
        </w:rPr>
      </w:pPr>
      <w:r>
        <w:rPr>
          <w:rFonts w:hint="eastAsia" w:hAnsi="宋体"/>
          <w:b/>
          <w:color w:val="auto"/>
          <w:sz w:val="24"/>
          <w:szCs w:val="24"/>
          <w:highlight w:val="none"/>
        </w:rPr>
        <w:t xml:space="preserve">    二、投标人提供投标截止日前18个月内经第三方审计的财务报告原件扫描件，或银行出具的资信证明扫描件。（以出报告日期为准）</w:t>
      </w:r>
    </w:p>
    <w:p w14:paraId="4FD46E59">
      <w:pPr>
        <w:keepNext w:val="0"/>
        <w:keepLines w:val="0"/>
        <w:pageBreakBefore w:val="0"/>
        <w:widowControl w:val="0"/>
        <w:kinsoku/>
        <w:wordWrap/>
        <w:overflowPunct/>
        <w:topLinePunct w:val="0"/>
        <w:bidi w:val="0"/>
        <w:snapToGrid/>
        <w:spacing w:line="360" w:lineRule="auto"/>
        <w:textAlignment w:val="auto"/>
        <w:rPr>
          <w:rFonts w:hint="eastAsia" w:hAnsi="宋体" w:eastAsia="宋体"/>
          <w:b/>
          <w:color w:val="auto"/>
          <w:sz w:val="24"/>
          <w:szCs w:val="24"/>
          <w:highlight w:val="none"/>
          <w:lang w:val="en-US" w:eastAsia="zh-CN"/>
        </w:rPr>
      </w:pPr>
      <w:r>
        <w:rPr>
          <w:rFonts w:hint="eastAsia" w:hAnsi="宋体"/>
          <w:b/>
          <w:color w:val="auto"/>
          <w:sz w:val="24"/>
          <w:szCs w:val="24"/>
          <w:highlight w:val="none"/>
        </w:rPr>
        <w:t xml:space="preserve">   </w:t>
      </w:r>
      <w:r>
        <w:rPr>
          <w:rFonts w:hint="eastAsia" w:hAnsi="宋体"/>
          <w:b/>
          <w:color w:val="auto"/>
          <w:sz w:val="24"/>
          <w:szCs w:val="24"/>
          <w:highlight w:val="none"/>
          <w:lang w:val="en-US" w:eastAsia="zh-CN"/>
        </w:rPr>
        <w:t xml:space="preserve"> </w:t>
      </w:r>
      <w:r>
        <w:rPr>
          <w:rFonts w:hint="eastAsia" w:hAnsi="宋体"/>
          <w:b/>
          <w:color w:val="auto"/>
          <w:sz w:val="24"/>
          <w:szCs w:val="24"/>
          <w:highlight w:val="none"/>
        </w:rPr>
        <w:t>三、投标人需提供投标截止日前缴纳的</w:t>
      </w:r>
      <w:r>
        <w:rPr>
          <w:rFonts w:hint="eastAsia" w:hAnsi="宋体"/>
          <w:b/>
          <w:color w:val="auto"/>
          <w:sz w:val="24"/>
          <w:szCs w:val="24"/>
          <w:highlight w:val="none"/>
          <w:lang w:val="en-US" w:eastAsia="zh-CN"/>
        </w:rPr>
        <w:t>6个月内</w:t>
      </w:r>
      <w:r>
        <w:rPr>
          <w:rFonts w:hint="eastAsia" w:hAnsi="宋体"/>
          <w:b/>
          <w:color w:val="auto"/>
          <w:sz w:val="24"/>
          <w:szCs w:val="24"/>
          <w:highlight w:val="none"/>
        </w:rPr>
        <w:t>任意一个月的增值税或企业所得税的凭据，依法免税的投标人，应提供相应的证明文件扫描件</w:t>
      </w:r>
      <w:r>
        <w:rPr>
          <w:rFonts w:hint="eastAsia" w:hAnsi="宋体"/>
          <w:b/>
          <w:color w:val="auto"/>
          <w:sz w:val="24"/>
          <w:szCs w:val="24"/>
          <w:highlight w:val="none"/>
          <w:lang w:val="en-US" w:eastAsia="zh-CN"/>
        </w:rPr>
        <w:t>。</w:t>
      </w:r>
    </w:p>
    <w:p w14:paraId="2EA42271">
      <w:pPr>
        <w:keepNext w:val="0"/>
        <w:keepLines w:val="0"/>
        <w:pageBreakBefore w:val="0"/>
        <w:widowControl w:val="0"/>
        <w:kinsoku/>
        <w:wordWrap/>
        <w:overflowPunct/>
        <w:topLinePunct w:val="0"/>
        <w:bidi w:val="0"/>
        <w:snapToGrid/>
        <w:spacing w:line="360" w:lineRule="auto"/>
        <w:textAlignment w:val="auto"/>
        <w:rPr>
          <w:rFonts w:hAnsi="宋体"/>
          <w:b/>
          <w:color w:val="auto"/>
          <w:sz w:val="24"/>
          <w:szCs w:val="24"/>
          <w:highlight w:val="none"/>
        </w:rPr>
      </w:pPr>
      <w:r>
        <w:rPr>
          <w:rFonts w:hint="eastAsia" w:hAnsi="宋体"/>
          <w:b/>
          <w:color w:val="auto"/>
          <w:sz w:val="24"/>
          <w:szCs w:val="24"/>
          <w:highlight w:val="none"/>
        </w:rPr>
        <w:t xml:space="preserve">   </w:t>
      </w:r>
      <w:r>
        <w:rPr>
          <w:rFonts w:hint="eastAsia" w:hAnsi="宋体"/>
          <w:b/>
          <w:color w:val="auto"/>
          <w:sz w:val="24"/>
          <w:szCs w:val="24"/>
          <w:highlight w:val="none"/>
          <w:lang w:val="en-US" w:eastAsia="zh-CN"/>
        </w:rPr>
        <w:t xml:space="preserve"> </w:t>
      </w:r>
      <w:r>
        <w:rPr>
          <w:rFonts w:hint="eastAsia" w:hAnsi="宋体"/>
          <w:b/>
          <w:color w:val="auto"/>
          <w:sz w:val="24"/>
          <w:szCs w:val="24"/>
          <w:highlight w:val="none"/>
        </w:rPr>
        <w:t>四、社会保障资金缴纳记录（投标人逐月缴纳社会保障资金的，须提供投标截止日</w:t>
      </w:r>
      <w:r>
        <w:rPr>
          <w:rFonts w:hint="eastAsia" w:hAnsi="宋体"/>
          <w:b/>
          <w:bCs w:val="0"/>
          <w:color w:val="auto"/>
          <w:sz w:val="24"/>
          <w:szCs w:val="24"/>
          <w:highlight w:val="none"/>
        </w:rPr>
        <w:t>前</w:t>
      </w:r>
      <w:r>
        <w:rPr>
          <w:rFonts w:hint="eastAsia" w:hAnsi="宋体"/>
          <w:b/>
          <w:bCs w:val="0"/>
          <w:color w:val="auto"/>
          <w:sz w:val="24"/>
          <w:szCs w:val="24"/>
          <w:highlight w:val="none"/>
          <w:lang w:val="en-US" w:eastAsia="zh-CN"/>
        </w:rPr>
        <w:t>6个月内</w:t>
      </w:r>
      <w:r>
        <w:rPr>
          <w:rFonts w:hint="eastAsia" w:hAnsi="宋体"/>
          <w:b/>
          <w:bCs w:val="0"/>
          <w:color w:val="auto"/>
          <w:sz w:val="24"/>
          <w:szCs w:val="24"/>
          <w:highlight w:val="none"/>
        </w:rPr>
        <w:t>至</w:t>
      </w:r>
      <w:r>
        <w:rPr>
          <w:rFonts w:hint="eastAsia" w:hAnsi="宋体"/>
          <w:b/>
          <w:color w:val="auto"/>
          <w:sz w:val="24"/>
          <w:szCs w:val="24"/>
          <w:highlight w:val="none"/>
        </w:rPr>
        <w:t>少一个月的缴纳社会保障资金的入账票据凭证扫描件）。</w:t>
      </w:r>
    </w:p>
    <w:p w14:paraId="753670E3">
      <w:pPr>
        <w:pStyle w:val="111"/>
        <w:keepNext w:val="0"/>
        <w:keepLines w:val="0"/>
        <w:pageBreakBefore w:val="0"/>
        <w:widowControl w:val="0"/>
        <w:kinsoku/>
        <w:wordWrap/>
        <w:overflowPunct/>
        <w:topLinePunct w:val="0"/>
        <w:bidi w:val="0"/>
        <w:snapToGrid/>
        <w:spacing w:line="360" w:lineRule="auto"/>
        <w:ind w:firstLine="482" w:firstLineChars="200"/>
        <w:jc w:val="both"/>
        <w:textAlignment w:val="auto"/>
        <w:rPr>
          <w:rFonts w:ascii="Times New Roman" w:hAnsi="Times New Roman" w:eastAsia="宋体" w:cs="Times New Roman"/>
          <w:color w:val="auto"/>
          <w:highlight w:val="none"/>
        </w:rPr>
      </w:pPr>
      <w:r>
        <w:rPr>
          <w:rFonts w:hint="eastAsia" w:ascii="宋体" w:hAnsi="宋体" w:eastAsia="宋体" w:cs="Times New Roman"/>
          <w:b/>
          <w:color w:val="auto"/>
          <w:sz w:val="24"/>
          <w:szCs w:val="24"/>
          <w:highlight w:val="none"/>
          <w:lang w:val="en-US" w:eastAsia="zh-CN" w:bidi="ar-SA"/>
        </w:rPr>
        <w:t>五、参加政府采购活动前3年内在经营活动中没有重大违法记录的书面声明（原件彩色扫描件）。</w:t>
      </w:r>
      <w:r>
        <w:rPr>
          <w:rFonts w:hint="eastAsia" w:ascii="宋体" w:hAnsi="宋体"/>
          <w:b/>
          <w:color w:val="auto"/>
          <w:highlight w:val="none"/>
        </w:rPr>
        <w:t>（</w:t>
      </w:r>
      <w:r>
        <w:rPr>
          <w:rFonts w:hint="eastAsia" w:ascii="Times New Roman" w:hAnsi="Times New Roman" w:eastAsia="宋体" w:cs="Times New Roman"/>
          <w:color w:val="auto"/>
          <w:highlight w:val="none"/>
        </w:rPr>
        <w:t>截至开标日成立不足3年的供应商可提供自成立以来无重大违法记录的书面声明）。</w:t>
      </w:r>
    </w:p>
    <w:p w14:paraId="552D1911">
      <w:pPr>
        <w:ind w:firstLine="179"/>
        <w:jc w:val="center"/>
        <w:rPr>
          <w:rFonts w:hAnsi="宋体"/>
          <w:bCs/>
          <w:color w:val="auto"/>
          <w:sz w:val="24"/>
          <w:szCs w:val="24"/>
          <w:highlight w:val="none"/>
        </w:rPr>
      </w:pPr>
    </w:p>
    <w:p w14:paraId="7C37571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179"/>
        <w:jc w:val="center"/>
        <w:textAlignment w:val="auto"/>
        <w:outlineLvl w:val="9"/>
        <w:rPr>
          <w:rFonts w:hint="eastAsia" w:hAnsi="宋体"/>
          <w:bCs/>
          <w:color w:val="auto"/>
          <w:sz w:val="24"/>
          <w:szCs w:val="24"/>
          <w:highlight w:val="none"/>
        </w:rPr>
      </w:pPr>
      <w:r>
        <w:rPr>
          <w:rFonts w:hint="eastAsia" w:hAnsi="宋体"/>
          <w:bCs/>
          <w:color w:val="auto"/>
          <w:sz w:val="24"/>
          <w:szCs w:val="24"/>
          <w:highlight w:val="none"/>
        </w:rPr>
        <w:t>无</w:t>
      </w:r>
      <w:r>
        <w:rPr>
          <w:rFonts w:hint="eastAsia" w:hAnsi="宋体"/>
          <w:bCs/>
          <w:color w:val="auto"/>
          <w:sz w:val="24"/>
          <w:szCs w:val="24"/>
          <w:highlight w:val="none"/>
          <w:lang w:eastAsia="zh-CN"/>
        </w:rPr>
        <w:t>重大</w:t>
      </w:r>
      <w:r>
        <w:rPr>
          <w:rFonts w:hint="eastAsia" w:hAnsi="宋体"/>
          <w:bCs/>
          <w:color w:val="auto"/>
          <w:sz w:val="24"/>
          <w:szCs w:val="24"/>
          <w:highlight w:val="none"/>
        </w:rPr>
        <w:t>违法记录声明（格式）</w:t>
      </w:r>
    </w:p>
    <w:p w14:paraId="383C748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Ansi="宋体"/>
          <w:bCs/>
          <w:color w:val="auto"/>
          <w:sz w:val="24"/>
          <w:szCs w:val="24"/>
          <w:highlight w:val="none"/>
        </w:rPr>
      </w:pPr>
      <w:r>
        <w:rPr>
          <w:rFonts w:hint="eastAsia" w:hAnsi="宋体"/>
          <w:bCs/>
          <w:color w:val="auto"/>
          <w:sz w:val="24"/>
          <w:szCs w:val="24"/>
          <w:highlight w:val="none"/>
          <w:u w:val="single"/>
          <w:lang w:val="en-US" w:eastAsia="zh-CN"/>
        </w:rPr>
        <w:t xml:space="preserve">            </w:t>
      </w:r>
      <w:r>
        <w:rPr>
          <w:rFonts w:hint="eastAsia" w:hAnsi="宋体"/>
          <w:bCs/>
          <w:color w:val="auto"/>
          <w:sz w:val="24"/>
          <w:szCs w:val="24"/>
          <w:highlight w:val="none"/>
          <w:lang w:val="en-US" w:eastAsia="zh-CN"/>
        </w:rPr>
        <w:t>（采购人名称）</w:t>
      </w:r>
      <w:r>
        <w:rPr>
          <w:rFonts w:hint="eastAsia" w:hAnsi="宋体"/>
          <w:bCs/>
          <w:color w:val="auto"/>
          <w:sz w:val="24"/>
          <w:szCs w:val="24"/>
          <w:highlight w:val="none"/>
        </w:rPr>
        <w:t>：</w:t>
      </w:r>
    </w:p>
    <w:p w14:paraId="4CA5676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179"/>
        <w:textAlignment w:val="auto"/>
        <w:outlineLvl w:val="9"/>
        <w:rPr>
          <w:rFonts w:hAnsi="宋体"/>
          <w:bCs/>
          <w:color w:val="auto"/>
          <w:sz w:val="24"/>
          <w:szCs w:val="24"/>
          <w:highlight w:val="none"/>
        </w:rPr>
      </w:pPr>
      <w:r>
        <w:rPr>
          <w:rFonts w:hint="eastAsia" w:hAnsi="宋体"/>
          <w:bCs/>
          <w:color w:val="auto"/>
          <w:sz w:val="24"/>
          <w:szCs w:val="24"/>
          <w:highlight w:val="none"/>
        </w:rPr>
        <w:t xml:space="preserve">    本投标人现参与</w:t>
      </w:r>
      <w:r>
        <w:rPr>
          <w:rFonts w:hint="default" w:hAnsi="宋体"/>
          <w:bCs/>
          <w:color w:val="auto"/>
          <w:sz w:val="24"/>
          <w:szCs w:val="24"/>
          <w:highlight w:val="none"/>
          <w:u w:val="single"/>
          <w:lang w:val="en"/>
        </w:rPr>
        <w:t xml:space="preserve">                 </w:t>
      </w:r>
      <w:r>
        <w:rPr>
          <w:rFonts w:hint="eastAsia" w:hAnsi="宋体"/>
          <w:bCs/>
          <w:color w:val="auto"/>
          <w:sz w:val="24"/>
          <w:szCs w:val="24"/>
          <w:highlight w:val="none"/>
        </w:rPr>
        <w:t>项目（招标文件编号：</w:t>
      </w:r>
      <w:r>
        <w:rPr>
          <w:rFonts w:hint="default" w:hAnsi="宋体"/>
          <w:bCs/>
          <w:color w:val="auto"/>
          <w:sz w:val="24"/>
          <w:szCs w:val="24"/>
          <w:highlight w:val="none"/>
          <w:u w:val="single"/>
          <w:lang w:val="en"/>
        </w:rPr>
        <w:t xml:space="preserve">       </w:t>
      </w:r>
      <w:r>
        <w:rPr>
          <w:rFonts w:hint="eastAsia" w:hAnsi="宋体"/>
          <w:bCs/>
          <w:color w:val="auto"/>
          <w:sz w:val="24"/>
          <w:szCs w:val="24"/>
          <w:highlight w:val="none"/>
        </w:rPr>
        <w:t>）的采购活动，在参加本次政府采购活动前三年内，在经营活动中没有重大违法记录。</w:t>
      </w:r>
    </w:p>
    <w:p w14:paraId="558A194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179"/>
        <w:textAlignment w:val="auto"/>
        <w:outlineLvl w:val="9"/>
        <w:rPr>
          <w:rFonts w:hAnsi="宋体"/>
          <w:bCs/>
          <w:color w:val="auto"/>
          <w:sz w:val="24"/>
          <w:szCs w:val="24"/>
          <w:highlight w:val="none"/>
        </w:rPr>
      </w:pPr>
      <w:r>
        <w:rPr>
          <w:rFonts w:hint="eastAsia" w:hAnsi="宋体"/>
          <w:bCs/>
          <w:color w:val="auto"/>
          <w:sz w:val="24"/>
          <w:szCs w:val="24"/>
          <w:highlight w:val="none"/>
        </w:rPr>
        <w:t xml:space="preserve">   如上述声明不真实，愿意按照政府采购有关法律法规的规定接受处罚。</w:t>
      </w:r>
    </w:p>
    <w:p w14:paraId="2668ECE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179"/>
        <w:textAlignment w:val="auto"/>
        <w:outlineLvl w:val="9"/>
        <w:rPr>
          <w:rFonts w:hAnsi="宋体"/>
          <w:bCs/>
          <w:color w:val="auto"/>
          <w:sz w:val="24"/>
          <w:szCs w:val="24"/>
          <w:highlight w:val="none"/>
        </w:rPr>
      </w:pPr>
      <w:r>
        <w:rPr>
          <w:rFonts w:hint="eastAsia" w:hAnsi="宋体"/>
          <w:bCs/>
          <w:color w:val="auto"/>
          <w:sz w:val="24"/>
          <w:szCs w:val="24"/>
          <w:highlight w:val="none"/>
        </w:rPr>
        <w:t xml:space="preserve">   特此声明。</w:t>
      </w:r>
    </w:p>
    <w:p w14:paraId="44295393">
      <w:pPr>
        <w:ind w:firstLine="179"/>
        <w:rPr>
          <w:rFonts w:hAnsi="宋体"/>
          <w:bCs/>
          <w:color w:val="auto"/>
          <w:sz w:val="24"/>
          <w:szCs w:val="24"/>
          <w:highlight w:val="none"/>
          <w:u w:val="single"/>
        </w:rPr>
      </w:pPr>
      <w:r>
        <w:rPr>
          <w:rFonts w:hint="eastAsia" w:hAnsi="宋体"/>
          <w:bCs/>
          <w:color w:val="auto"/>
          <w:sz w:val="24"/>
          <w:szCs w:val="24"/>
          <w:highlight w:val="none"/>
          <w:lang w:val="en-US" w:eastAsia="zh-CN"/>
        </w:rPr>
        <w:t xml:space="preserve">                                         </w:t>
      </w:r>
      <w:r>
        <w:rPr>
          <w:rFonts w:hint="eastAsia" w:hAnsi="宋体"/>
          <w:bCs/>
          <w:color w:val="auto"/>
          <w:sz w:val="24"/>
          <w:szCs w:val="24"/>
          <w:highlight w:val="none"/>
        </w:rPr>
        <w:t>投标人（</w:t>
      </w:r>
      <w:r>
        <w:rPr>
          <w:rFonts w:hint="eastAsia" w:hAnsi="宋体"/>
          <w:bCs/>
          <w:color w:val="auto"/>
          <w:sz w:val="24"/>
          <w:szCs w:val="24"/>
          <w:highlight w:val="none"/>
          <w:lang w:eastAsia="zh-CN"/>
        </w:rPr>
        <w:t>公</w:t>
      </w:r>
      <w:r>
        <w:rPr>
          <w:rFonts w:hint="eastAsia" w:hAnsi="宋体"/>
          <w:bCs/>
          <w:color w:val="auto"/>
          <w:sz w:val="24"/>
          <w:szCs w:val="24"/>
          <w:highlight w:val="none"/>
        </w:rPr>
        <w:t>章）：</w:t>
      </w:r>
    </w:p>
    <w:p w14:paraId="47B52D31">
      <w:pPr>
        <w:ind w:firstLine="179"/>
        <w:rPr>
          <w:rFonts w:hAnsi="宋体"/>
          <w:bCs/>
          <w:color w:val="auto"/>
          <w:sz w:val="24"/>
          <w:szCs w:val="24"/>
          <w:highlight w:val="none"/>
        </w:rPr>
      </w:pPr>
      <w:r>
        <w:rPr>
          <w:rFonts w:hint="eastAsia" w:hAnsi="宋体"/>
          <w:bCs/>
          <w:color w:val="auto"/>
          <w:sz w:val="24"/>
          <w:szCs w:val="24"/>
          <w:highlight w:val="none"/>
        </w:rPr>
        <w:t xml:space="preserve">  </w:t>
      </w:r>
      <w:r>
        <w:rPr>
          <w:rFonts w:hint="eastAsia" w:hAnsi="宋体"/>
          <w:bCs/>
          <w:color w:val="auto"/>
          <w:sz w:val="24"/>
          <w:szCs w:val="24"/>
          <w:highlight w:val="none"/>
          <w:lang w:val="en-US" w:eastAsia="zh-CN"/>
        </w:rPr>
        <w:t xml:space="preserve">                                      </w:t>
      </w:r>
      <w:r>
        <w:rPr>
          <w:rFonts w:hint="eastAsia" w:hAnsi="宋体"/>
          <w:bCs/>
          <w:color w:val="auto"/>
          <w:sz w:val="24"/>
          <w:szCs w:val="24"/>
          <w:highlight w:val="none"/>
        </w:rPr>
        <w:t>年     月     日</w:t>
      </w:r>
    </w:p>
    <w:p w14:paraId="688CFD49">
      <w:pPr>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b/>
          <w:color w:val="auto"/>
          <w:sz w:val="24"/>
          <w:szCs w:val="24"/>
          <w:highlight w:val="none"/>
        </w:rPr>
      </w:pPr>
      <w:r>
        <w:rPr>
          <w:rFonts w:hint="eastAsia" w:hAnsi="宋体"/>
          <w:b/>
          <w:color w:val="auto"/>
          <w:sz w:val="24"/>
          <w:szCs w:val="24"/>
          <w:highlight w:val="none"/>
        </w:rPr>
        <w:t xml:space="preserve">  </w:t>
      </w:r>
      <w:r>
        <w:rPr>
          <w:rFonts w:hint="default" w:hAnsi="宋体"/>
          <w:b/>
          <w:color w:val="auto"/>
          <w:sz w:val="24"/>
          <w:szCs w:val="24"/>
          <w:highlight w:val="none"/>
          <w:lang w:val="en"/>
        </w:rPr>
        <w:t xml:space="preserve"> </w:t>
      </w:r>
      <w:r>
        <w:rPr>
          <w:rFonts w:hint="eastAsia" w:hAnsi="宋体"/>
          <w:b/>
          <w:color w:val="auto"/>
          <w:sz w:val="24"/>
          <w:szCs w:val="24"/>
          <w:highlight w:val="none"/>
          <w:lang w:val="en-US" w:eastAsia="zh-CN"/>
        </w:rPr>
        <w:t xml:space="preserve"> </w:t>
      </w:r>
      <w:r>
        <w:rPr>
          <w:rFonts w:hint="eastAsia" w:hAnsi="宋体"/>
          <w:b/>
          <w:color w:val="auto"/>
          <w:sz w:val="24"/>
          <w:szCs w:val="24"/>
          <w:highlight w:val="none"/>
        </w:rPr>
        <w:t>六、信用记录：供应商未被列入“信用中国”网站(www.creditchina.gov.cn)记录失信被执行人或重大税收违法案件当事人名单；不处于中国政府采购网(www.ccgp.gov.cn)政府采购严重违法失信行为记录名单中的禁止参加政府采购活动期间的方可参加本项目的投标。投标截止日当天，由资格审查小组根据以上要求对各供应商信用记录进行查询，有以上行为的视为无效投标。（投标人无需在其资格证明文件中提供信用记录的查询结果）</w:t>
      </w:r>
    </w:p>
    <w:p w14:paraId="6554692C">
      <w:pPr>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b/>
          <w:color w:val="auto"/>
          <w:sz w:val="24"/>
          <w:szCs w:val="24"/>
          <w:highlight w:val="none"/>
        </w:rPr>
      </w:pPr>
      <w:r>
        <w:rPr>
          <w:rFonts w:hint="eastAsia" w:hAnsi="宋体"/>
          <w:b/>
          <w:color w:val="auto"/>
          <w:sz w:val="24"/>
          <w:szCs w:val="24"/>
          <w:highlight w:val="none"/>
        </w:rPr>
        <w:t xml:space="preserve">    七、法定代表人身份证明（原件</w:t>
      </w:r>
      <w:r>
        <w:rPr>
          <w:rFonts w:hint="eastAsia" w:hAnsi="宋体"/>
          <w:b/>
          <w:color w:val="auto"/>
          <w:sz w:val="24"/>
          <w:szCs w:val="24"/>
          <w:highlight w:val="none"/>
          <w:lang w:eastAsia="zh-CN"/>
        </w:rPr>
        <w:t>彩色</w:t>
      </w:r>
      <w:r>
        <w:rPr>
          <w:rFonts w:hint="eastAsia" w:hAnsi="宋体"/>
          <w:b/>
          <w:color w:val="auto"/>
          <w:sz w:val="24"/>
          <w:szCs w:val="24"/>
          <w:highlight w:val="none"/>
        </w:rPr>
        <w:t>扫描件）或法定代表人授权书（原件</w:t>
      </w:r>
      <w:r>
        <w:rPr>
          <w:rFonts w:hint="eastAsia" w:hAnsi="宋体"/>
          <w:b/>
          <w:color w:val="auto"/>
          <w:sz w:val="24"/>
          <w:szCs w:val="24"/>
          <w:highlight w:val="none"/>
          <w:lang w:eastAsia="zh-CN"/>
        </w:rPr>
        <w:t>彩色</w:t>
      </w:r>
      <w:r>
        <w:rPr>
          <w:rFonts w:hint="eastAsia" w:hAnsi="宋体"/>
          <w:b/>
          <w:color w:val="auto"/>
          <w:sz w:val="24"/>
          <w:szCs w:val="24"/>
          <w:highlight w:val="none"/>
        </w:rPr>
        <w:t>扫描件）</w:t>
      </w:r>
    </w:p>
    <w:p w14:paraId="1291B44E">
      <w:pPr>
        <w:spacing w:line="360" w:lineRule="auto"/>
        <w:jc w:val="center"/>
        <w:rPr>
          <w:rFonts w:hint="eastAsia" w:hAnsi="宋体"/>
          <w:b/>
          <w:color w:val="auto"/>
          <w:sz w:val="24"/>
          <w:szCs w:val="24"/>
          <w:highlight w:val="none"/>
        </w:rPr>
      </w:pPr>
    </w:p>
    <w:p w14:paraId="620C0952">
      <w:pPr>
        <w:keepNext w:val="0"/>
        <w:keepLines w:val="0"/>
        <w:pageBreakBefore w:val="0"/>
        <w:widowControl w:val="0"/>
        <w:kinsoku/>
        <w:wordWrap/>
        <w:overflowPunct/>
        <w:topLinePunct w:val="0"/>
        <w:bidi w:val="0"/>
        <w:spacing w:line="360" w:lineRule="auto"/>
        <w:jc w:val="center"/>
        <w:textAlignment w:val="auto"/>
        <w:rPr>
          <w:rFonts w:hAnsi="宋体"/>
          <w:b/>
          <w:color w:val="auto"/>
          <w:sz w:val="24"/>
          <w:szCs w:val="24"/>
          <w:highlight w:val="none"/>
        </w:rPr>
      </w:pPr>
      <w:r>
        <w:rPr>
          <w:rFonts w:hint="eastAsia" w:hAnsi="宋体"/>
          <w:b/>
          <w:color w:val="auto"/>
          <w:sz w:val="24"/>
          <w:szCs w:val="24"/>
          <w:highlight w:val="none"/>
        </w:rPr>
        <w:t>法定代表人身份证明(法定代表人参加投标)</w:t>
      </w:r>
    </w:p>
    <w:p w14:paraId="58BFA479">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Ansi="宋体" w:cs="宋体"/>
          <w:color w:val="auto"/>
          <w:sz w:val="24"/>
          <w:szCs w:val="24"/>
          <w:highlight w:val="none"/>
        </w:rPr>
      </w:pPr>
      <w:r>
        <w:rPr>
          <w:rFonts w:hint="eastAsia" w:hAnsi="宋体"/>
          <w:color w:val="auto"/>
          <w:sz w:val="24"/>
          <w:szCs w:val="24"/>
          <w:highlight w:val="none"/>
        </w:rPr>
        <w:t>投标人</w:t>
      </w:r>
      <w:r>
        <w:rPr>
          <w:rFonts w:hint="eastAsia" w:hAnsi="宋体" w:cs="宋体"/>
          <w:color w:val="auto"/>
          <w:sz w:val="24"/>
          <w:szCs w:val="24"/>
          <w:highlight w:val="none"/>
        </w:rPr>
        <w:t>名称：</w:t>
      </w:r>
    </w:p>
    <w:p w14:paraId="13A25144">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Ansi="宋体" w:cs="宋体"/>
          <w:color w:val="auto"/>
          <w:sz w:val="24"/>
          <w:szCs w:val="24"/>
          <w:highlight w:val="none"/>
        </w:rPr>
      </w:pPr>
      <w:r>
        <w:rPr>
          <w:rFonts w:hint="eastAsia" w:hAnsi="宋体" w:cs="宋体"/>
          <w:color w:val="auto"/>
          <w:sz w:val="24"/>
          <w:szCs w:val="24"/>
          <w:highlight w:val="none"/>
        </w:rPr>
        <w:t>注册号：</w:t>
      </w:r>
    </w:p>
    <w:p w14:paraId="2F77A8BF">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Ansi="宋体" w:cs="宋体"/>
          <w:color w:val="auto"/>
          <w:sz w:val="24"/>
          <w:szCs w:val="24"/>
          <w:highlight w:val="none"/>
        </w:rPr>
      </w:pPr>
      <w:r>
        <w:rPr>
          <w:rFonts w:hint="eastAsia" w:hAnsi="宋体" w:cs="宋体"/>
          <w:color w:val="auto"/>
          <w:sz w:val="24"/>
          <w:szCs w:val="24"/>
          <w:highlight w:val="none"/>
        </w:rPr>
        <w:t>注册地址：</w:t>
      </w:r>
    </w:p>
    <w:p w14:paraId="388E4066">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Ansi="宋体" w:cs="宋体"/>
          <w:color w:val="auto"/>
          <w:sz w:val="24"/>
          <w:szCs w:val="24"/>
          <w:highlight w:val="none"/>
        </w:rPr>
      </w:pPr>
      <w:r>
        <w:rPr>
          <w:rFonts w:hint="eastAsia" w:hAnsi="宋体" w:cs="宋体"/>
          <w:color w:val="auto"/>
          <w:sz w:val="24"/>
          <w:szCs w:val="24"/>
          <w:highlight w:val="none"/>
        </w:rPr>
        <w:t>成立时间： 年 月 日</w:t>
      </w:r>
    </w:p>
    <w:p w14:paraId="62D7CA2E">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Ansi="宋体" w:cs="宋体"/>
          <w:color w:val="auto"/>
          <w:sz w:val="24"/>
          <w:szCs w:val="24"/>
          <w:highlight w:val="none"/>
          <w:u w:val="single"/>
        </w:rPr>
      </w:pPr>
      <w:r>
        <w:rPr>
          <w:rFonts w:hint="eastAsia" w:hAnsi="宋体" w:cs="宋体"/>
          <w:color w:val="auto"/>
          <w:sz w:val="24"/>
          <w:szCs w:val="24"/>
          <w:highlight w:val="none"/>
        </w:rPr>
        <w:t>经营期限：</w:t>
      </w:r>
    </w:p>
    <w:p w14:paraId="16CAA056">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Ansi="宋体" w:cs="宋体"/>
          <w:color w:val="auto"/>
          <w:sz w:val="24"/>
          <w:szCs w:val="24"/>
          <w:highlight w:val="none"/>
          <w:u w:val="single"/>
        </w:rPr>
      </w:pPr>
      <w:r>
        <w:rPr>
          <w:rFonts w:hint="eastAsia" w:hAnsi="宋体" w:cs="宋体"/>
          <w:color w:val="auto"/>
          <w:sz w:val="24"/>
          <w:szCs w:val="24"/>
          <w:highlight w:val="none"/>
        </w:rPr>
        <w:t>经营范围：</w:t>
      </w:r>
      <w:r>
        <w:rPr>
          <w:rFonts w:hint="eastAsia" w:hAnsi="宋体" w:cs="宋体"/>
          <w:color w:val="auto"/>
          <w:sz w:val="24"/>
          <w:szCs w:val="24"/>
          <w:highlight w:val="none"/>
          <w:u w:val="single"/>
          <w:lang w:val="en-US" w:eastAsia="zh-CN"/>
        </w:rPr>
        <w:t xml:space="preserve">            </w:t>
      </w:r>
      <w:r>
        <w:rPr>
          <w:rFonts w:hint="eastAsia" w:hAnsi="宋体" w:cs="宋体"/>
          <w:color w:val="auto"/>
          <w:sz w:val="24"/>
          <w:szCs w:val="24"/>
          <w:highlight w:val="none"/>
        </w:rPr>
        <w:t>主营：</w:t>
      </w:r>
      <w:r>
        <w:rPr>
          <w:rFonts w:hint="eastAsia" w:hAnsi="宋体" w:cs="宋体"/>
          <w:color w:val="auto"/>
          <w:sz w:val="24"/>
          <w:szCs w:val="24"/>
          <w:highlight w:val="none"/>
          <w:u w:val="single"/>
          <w:lang w:val="en-US" w:eastAsia="zh-CN"/>
        </w:rPr>
        <w:t xml:space="preserve">          </w:t>
      </w:r>
      <w:r>
        <w:rPr>
          <w:rFonts w:hint="eastAsia" w:hAnsi="宋体" w:cs="宋体"/>
          <w:color w:val="auto"/>
          <w:sz w:val="24"/>
          <w:szCs w:val="24"/>
          <w:highlight w:val="none"/>
        </w:rPr>
        <w:t xml:space="preserve"> ；兼营：</w:t>
      </w:r>
      <w:r>
        <w:rPr>
          <w:rFonts w:hint="eastAsia" w:hAnsi="宋体" w:cs="宋体"/>
          <w:color w:val="auto"/>
          <w:sz w:val="24"/>
          <w:szCs w:val="24"/>
          <w:highlight w:val="none"/>
          <w:u w:val="single"/>
          <w:lang w:val="en-US" w:eastAsia="zh-CN"/>
        </w:rPr>
        <w:t xml:space="preserve">          </w:t>
      </w:r>
    </w:p>
    <w:p w14:paraId="28CA98D6">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Ansi="宋体" w:cs="宋体"/>
          <w:color w:val="auto"/>
          <w:sz w:val="24"/>
          <w:szCs w:val="24"/>
          <w:highlight w:val="none"/>
        </w:rPr>
      </w:pPr>
      <w:r>
        <w:rPr>
          <w:rFonts w:hint="eastAsia" w:hAnsi="宋体" w:cs="宋体"/>
          <w:color w:val="auto"/>
          <w:sz w:val="24"/>
          <w:szCs w:val="24"/>
          <w:highlight w:val="none"/>
        </w:rPr>
        <w:t>姓名：</w:t>
      </w:r>
      <w:r>
        <w:rPr>
          <w:rFonts w:hint="eastAsia" w:hAnsi="宋体" w:cs="宋体"/>
          <w:color w:val="auto"/>
          <w:sz w:val="24"/>
          <w:szCs w:val="24"/>
          <w:highlight w:val="none"/>
          <w:u w:val="single"/>
          <w:lang w:val="en-US" w:eastAsia="zh-CN"/>
        </w:rPr>
        <w:t xml:space="preserve">        </w:t>
      </w:r>
      <w:r>
        <w:rPr>
          <w:rFonts w:hint="eastAsia" w:hAnsi="宋体" w:cs="宋体"/>
          <w:color w:val="auto"/>
          <w:sz w:val="24"/>
          <w:szCs w:val="24"/>
          <w:highlight w:val="none"/>
        </w:rPr>
        <w:t xml:space="preserve"> 性别：</w:t>
      </w:r>
      <w:r>
        <w:rPr>
          <w:rFonts w:hint="eastAsia" w:hAnsi="宋体" w:cs="宋体"/>
          <w:color w:val="auto"/>
          <w:sz w:val="24"/>
          <w:szCs w:val="24"/>
          <w:highlight w:val="none"/>
          <w:u w:val="single"/>
          <w:lang w:val="en-US" w:eastAsia="zh-CN"/>
        </w:rPr>
        <w:t xml:space="preserve">         </w:t>
      </w:r>
      <w:r>
        <w:rPr>
          <w:rFonts w:hint="eastAsia" w:hAnsi="宋体" w:cs="宋体"/>
          <w:color w:val="auto"/>
          <w:sz w:val="24"/>
          <w:szCs w:val="24"/>
          <w:highlight w:val="none"/>
        </w:rPr>
        <w:t xml:space="preserve"> 年龄：</w:t>
      </w:r>
      <w:r>
        <w:rPr>
          <w:rFonts w:hint="eastAsia" w:hAnsi="宋体" w:cs="宋体"/>
          <w:color w:val="auto"/>
          <w:sz w:val="24"/>
          <w:szCs w:val="24"/>
          <w:highlight w:val="none"/>
          <w:u w:val="single"/>
          <w:lang w:val="en-US" w:eastAsia="zh-CN"/>
        </w:rPr>
        <w:t xml:space="preserve">        </w:t>
      </w:r>
      <w:r>
        <w:rPr>
          <w:rFonts w:hint="eastAsia" w:hAnsi="宋体" w:cs="宋体"/>
          <w:color w:val="auto"/>
          <w:sz w:val="24"/>
          <w:szCs w:val="24"/>
          <w:highlight w:val="none"/>
        </w:rPr>
        <w:t xml:space="preserve"> 系</w:t>
      </w:r>
      <w:r>
        <w:rPr>
          <w:rFonts w:hint="eastAsia" w:hAnsi="宋体" w:cs="宋体"/>
          <w:color w:val="auto"/>
          <w:sz w:val="24"/>
          <w:szCs w:val="24"/>
          <w:highlight w:val="none"/>
          <w:u w:val="single"/>
          <w:lang w:val="en-US" w:eastAsia="zh-CN"/>
        </w:rPr>
        <w:t xml:space="preserve">             </w:t>
      </w:r>
      <w:r>
        <w:rPr>
          <w:rFonts w:hint="eastAsia" w:hAnsi="宋体" w:cs="宋体"/>
          <w:color w:val="auto"/>
          <w:sz w:val="24"/>
          <w:szCs w:val="24"/>
          <w:highlight w:val="none"/>
        </w:rPr>
        <w:t>（</w:t>
      </w:r>
      <w:r>
        <w:rPr>
          <w:rFonts w:hint="eastAsia" w:hAnsi="宋体"/>
          <w:color w:val="auto"/>
          <w:sz w:val="24"/>
          <w:szCs w:val="24"/>
          <w:highlight w:val="none"/>
        </w:rPr>
        <w:t>投标人</w:t>
      </w:r>
      <w:r>
        <w:rPr>
          <w:rFonts w:hint="eastAsia" w:hAnsi="宋体" w:cs="宋体"/>
          <w:color w:val="auto"/>
          <w:sz w:val="24"/>
          <w:szCs w:val="24"/>
          <w:highlight w:val="none"/>
        </w:rPr>
        <w:t>名称）的法定代表人。</w:t>
      </w:r>
    </w:p>
    <w:p w14:paraId="1E46C1BD">
      <w:pPr>
        <w:keepNext w:val="0"/>
        <w:keepLines w:val="0"/>
        <w:pageBreakBefore w:val="0"/>
        <w:widowControl w:val="0"/>
        <w:kinsoku/>
        <w:wordWrap/>
        <w:overflowPunct/>
        <w:topLinePunct w:val="0"/>
        <w:autoSpaceDE w:val="0"/>
        <w:autoSpaceDN w:val="0"/>
        <w:bidi w:val="0"/>
        <w:adjustRightInd w:val="0"/>
        <w:snapToGrid w:val="0"/>
        <w:spacing w:line="360" w:lineRule="auto"/>
        <w:ind w:firstLine="360" w:firstLineChars="150"/>
        <w:jc w:val="left"/>
        <w:textAlignment w:val="auto"/>
        <w:rPr>
          <w:rFonts w:hint="eastAsia" w:hAnsi="宋体" w:cs="宋体"/>
          <w:color w:val="auto"/>
          <w:sz w:val="24"/>
          <w:szCs w:val="24"/>
          <w:highlight w:val="none"/>
        </w:rPr>
      </w:pPr>
      <w:r>
        <w:rPr>
          <w:rFonts w:hint="eastAsia" w:hAnsi="宋体" w:cs="宋体"/>
          <w:color w:val="auto"/>
          <w:sz w:val="24"/>
          <w:szCs w:val="24"/>
          <w:highlight w:val="none"/>
          <w:lang w:val="en-US" w:eastAsia="zh-CN"/>
        </w:rPr>
        <w:t xml:space="preserve"> </w:t>
      </w:r>
      <w:r>
        <w:rPr>
          <w:rFonts w:hint="eastAsia" w:hAnsi="宋体" w:cs="宋体"/>
          <w:color w:val="auto"/>
          <w:sz w:val="24"/>
          <w:szCs w:val="24"/>
          <w:highlight w:val="none"/>
        </w:rPr>
        <w:t>特此证明</w:t>
      </w:r>
    </w:p>
    <w:p w14:paraId="35346876">
      <w:pPr>
        <w:autoSpaceDE w:val="0"/>
        <w:autoSpaceDN w:val="0"/>
        <w:adjustRightInd w:val="0"/>
        <w:snapToGrid w:val="0"/>
        <w:spacing w:line="360" w:lineRule="auto"/>
        <w:ind w:firstLine="480" w:firstLineChars="200"/>
        <w:jc w:val="left"/>
        <w:rPr>
          <w:rFonts w:hint="eastAsia" w:hAnsi="宋体"/>
          <w:color w:val="auto"/>
          <w:sz w:val="24"/>
          <w:szCs w:val="24"/>
          <w:highlight w:val="none"/>
          <w:lang w:eastAsia="zh-CN"/>
        </w:rPr>
      </w:pPr>
    </w:p>
    <w:p w14:paraId="74D23D51">
      <w:pPr>
        <w:autoSpaceDE w:val="0"/>
        <w:autoSpaceDN w:val="0"/>
        <w:adjustRightInd w:val="0"/>
        <w:snapToGrid w:val="0"/>
        <w:spacing w:line="360" w:lineRule="auto"/>
        <w:ind w:firstLine="480" w:firstLineChars="200"/>
        <w:jc w:val="left"/>
        <w:rPr>
          <w:rFonts w:hAnsi="宋体"/>
          <w:color w:val="auto"/>
          <w:sz w:val="24"/>
          <w:szCs w:val="24"/>
          <w:highlight w:val="none"/>
        </w:rPr>
      </w:pPr>
      <w:r>
        <w:rPr>
          <w:rFonts w:hint="eastAsia" w:hAnsi="宋体"/>
          <w:color w:val="auto"/>
          <w:sz w:val="24"/>
          <w:szCs w:val="24"/>
          <w:highlight w:val="none"/>
          <w:lang w:eastAsia="zh-CN"/>
        </w:rPr>
        <w:t>附件：</w:t>
      </w:r>
      <w:r>
        <w:rPr>
          <w:rFonts w:hint="eastAsia" w:hAnsi="宋体"/>
          <w:color w:val="auto"/>
          <w:sz w:val="24"/>
          <w:szCs w:val="24"/>
          <w:highlight w:val="none"/>
        </w:rPr>
        <w:t>法定代表人身份证</w:t>
      </w:r>
      <w:r>
        <w:rPr>
          <w:rFonts w:hint="eastAsia" w:hAnsi="宋体"/>
          <w:color w:val="auto"/>
          <w:sz w:val="24"/>
          <w:szCs w:val="24"/>
          <w:highlight w:val="none"/>
          <w:lang w:eastAsia="zh-CN"/>
        </w:rPr>
        <w:t>原件</w:t>
      </w:r>
      <w:r>
        <w:rPr>
          <w:rFonts w:hint="eastAsia" w:hAnsi="宋体"/>
          <w:color w:val="auto"/>
          <w:sz w:val="24"/>
          <w:szCs w:val="24"/>
          <w:highlight w:val="none"/>
        </w:rPr>
        <w:t>（正</w:t>
      </w:r>
      <w:r>
        <w:rPr>
          <w:rFonts w:hint="eastAsia" w:hAnsi="宋体"/>
          <w:color w:val="auto"/>
          <w:sz w:val="24"/>
          <w:szCs w:val="24"/>
          <w:highlight w:val="none"/>
          <w:lang w:eastAsia="zh-CN"/>
        </w:rPr>
        <w:t>、</w:t>
      </w:r>
      <w:r>
        <w:rPr>
          <w:rFonts w:hint="eastAsia" w:hAnsi="宋体"/>
          <w:color w:val="auto"/>
          <w:sz w:val="24"/>
          <w:szCs w:val="24"/>
          <w:highlight w:val="none"/>
        </w:rPr>
        <w:t>反面）</w:t>
      </w:r>
      <w:r>
        <w:rPr>
          <w:rFonts w:hint="eastAsia" w:hAnsi="宋体"/>
          <w:color w:val="auto"/>
          <w:sz w:val="24"/>
          <w:szCs w:val="24"/>
          <w:highlight w:val="none"/>
          <w:lang w:eastAsia="zh-CN"/>
        </w:rPr>
        <w:t>彩色扫描件</w:t>
      </w:r>
    </w:p>
    <w:p w14:paraId="16DA3824">
      <w:pPr>
        <w:spacing w:line="360" w:lineRule="auto"/>
        <w:ind w:firstLine="3360" w:firstLineChars="1400"/>
        <w:rPr>
          <w:rFonts w:hint="eastAsia" w:hAnsi="宋体"/>
          <w:color w:val="auto"/>
          <w:sz w:val="24"/>
          <w:szCs w:val="24"/>
          <w:highlight w:val="none"/>
        </w:rPr>
      </w:pPr>
    </w:p>
    <w:p w14:paraId="0232C9D7">
      <w:pPr>
        <w:spacing w:line="360" w:lineRule="auto"/>
        <w:ind w:firstLine="3360" w:firstLineChars="1400"/>
        <w:rPr>
          <w:rFonts w:hAnsi="宋体"/>
          <w:color w:val="auto"/>
          <w:sz w:val="24"/>
          <w:szCs w:val="24"/>
          <w:highlight w:val="none"/>
        </w:rPr>
      </w:pPr>
      <w:r>
        <w:rPr>
          <w:rFonts w:hint="eastAsia" w:hAnsi="宋体"/>
          <w:color w:val="auto"/>
          <w:sz w:val="24"/>
          <w:szCs w:val="24"/>
          <w:highlight w:val="none"/>
        </w:rPr>
        <w:t>投标人（公章）：</w:t>
      </w:r>
    </w:p>
    <w:p w14:paraId="2D5F0D59">
      <w:pPr>
        <w:spacing w:line="360" w:lineRule="auto"/>
        <w:ind w:firstLine="3360" w:firstLineChars="1400"/>
        <w:rPr>
          <w:rFonts w:hAnsi="宋体"/>
          <w:color w:val="auto"/>
          <w:sz w:val="24"/>
          <w:szCs w:val="24"/>
          <w:highlight w:val="none"/>
        </w:rPr>
      </w:pPr>
      <w:r>
        <w:rPr>
          <w:rFonts w:hint="eastAsia" w:hAnsi="宋体"/>
          <w:color w:val="auto"/>
          <w:sz w:val="24"/>
          <w:szCs w:val="24"/>
          <w:highlight w:val="none"/>
        </w:rPr>
        <w:t>法定代表人（签字</w:t>
      </w:r>
      <w:r>
        <w:rPr>
          <w:rFonts w:hint="eastAsia" w:hAnsi="宋体"/>
          <w:color w:val="auto"/>
          <w:sz w:val="24"/>
          <w:szCs w:val="24"/>
          <w:highlight w:val="none"/>
          <w:lang w:eastAsia="zh-CN"/>
        </w:rPr>
        <w:t>或盖章</w:t>
      </w:r>
      <w:r>
        <w:rPr>
          <w:rFonts w:hint="eastAsia" w:hAnsi="宋体"/>
          <w:color w:val="auto"/>
          <w:sz w:val="24"/>
          <w:szCs w:val="24"/>
          <w:highlight w:val="none"/>
        </w:rPr>
        <w:t>）：</w:t>
      </w:r>
    </w:p>
    <w:p w14:paraId="6AF1A3E8">
      <w:pPr>
        <w:spacing w:line="360" w:lineRule="auto"/>
        <w:ind w:firstLine="3360" w:firstLineChars="1400"/>
        <w:rPr>
          <w:rFonts w:hAnsi="宋体"/>
          <w:color w:val="auto"/>
          <w:sz w:val="24"/>
          <w:szCs w:val="24"/>
          <w:highlight w:val="none"/>
        </w:rPr>
      </w:pPr>
      <w:r>
        <w:rPr>
          <w:rFonts w:hint="eastAsia" w:hAnsi="宋体"/>
          <w:color w:val="auto"/>
          <w:sz w:val="24"/>
          <w:szCs w:val="24"/>
          <w:highlight w:val="none"/>
        </w:rPr>
        <w:t>日   期：</w:t>
      </w:r>
      <w:r>
        <w:rPr>
          <w:rFonts w:hAnsi="宋体"/>
          <w:color w:val="auto"/>
          <w:sz w:val="24"/>
          <w:szCs w:val="24"/>
          <w:highlight w:val="none"/>
        </w:rPr>
        <w:t>年</w:t>
      </w:r>
      <w:r>
        <w:rPr>
          <w:rFonts w:hint="eastAsia" w:hAnsi="宋体"/>
          <w:color w:val="auto"/>
          <w:sz w:val="24"/>
          <w:szCs w:val="24"/>
          <w:highlight w:val="none"/>
          <w:lang w:val="en-US" w:eastAsia="zh-CN"/>
        </w:rPr>
        <w:t xml:space="preserve"> </w:t>
      </w:r>
      <w:r>
        <w:rPr>
          <w:rFonts w:hAnsi="宋体"/>
          <w:color w:val="auto"/>
          <w:sz w:val="24"/>
          <w:szCs w:val="24"/>
          <w:highlight w:val="none"/>
        </w:rPr>
        <w:t>月</w:t>
      </w:r>
      <w:r>
        <w:rPr>
          <w:rFonts w:hint="eastAsia" w:hAnsi="宋体"/>
          <w:color w:val="auto"/>
          <w:sz w:val="24"/>
          <w:szCs w:val="24"/>
          <w:highlight w:val="none"/>
          <w:lang w:val="en-US" w:eastAsia="zh-CN"/>
        </w:rPr>
        <w:t xml:space="preserve"> </w:t>
      </w:r>
      <w:r>
        <w:rPr>
          <w:rFonts w:hint="eastAsia" w:hAnsi="宋体"/>
          <w:color w:val="auto"/>
          <w:sz w:val="24"/>
          <w:szCs w:val="24"/>
          <w:highlight w:val="none"/>
        </w:rPr>
        <w:t>日</w:t>
      </w:r>
    </w:p>
    <w:p w14:paraId="53994A6D">
      <w:pPr>
        <w:spacing w:line="360" w:lineRule="auto"/>
        <w:jc w:val="center"/>
        <w:rPr>
          <w:rFonts w:hAnsi="宋体"/>
          <w:b/>
          <w:color w:val="auto"/>
          <w:sz w:val="24"/>
          <w:szCs w:val="24"/>
          <w:highlight w:val="none"/>
        </w:rPr>
      </w:pPr>
    </w:p>
    <w:p w14:paraId="2E0B8CA7">
      <w:pPr>
        <w:spacing w:line="360" w:lineRule="auto"/>
        <w:jc w:val="center"/>
        <w:rPr>
          <w:rFonts w:hint="eastAsia" w:hAnsi="宋体"/>
          <w:b/>
          <w:color w:val="auto"/>
          <w:sz w:val="24"/>
          <w:szCs w:val="24"/>
          <w:highlight w:val="none"/>
        </w:rPr>
      </w:pPr>
    </w:p>
    <w:p w14:paraId="45352467">
      <w:pPr>
        <w:spacing w:line="360" w:lineRule="auto"/>
        <w:jc w:val="center"/>
        <w:rPr>
          <w:rFonts w:hint="eastAsia" w:hAnsi="宋体"/>
          <w:b/>
          <w:color w:val="auto"/>
          <w:sz w:val="24"/>
          <w:szCs w:val="24"/>
          <w:highlight w:val="none"/>
        </w:rPr>
      </w:pPr>
      <w:r>
        <w:rPr>
          <w:rFonts w:hint="eastAsia" w:hAnsi="宋体"/>
          <w:b/>
          <w:color w:val="auto"/>
          <w:sz w:val="24"/>
          <w:szCs w:val="24"/>
          <w:highlight w:val="none"/>
        </w:rPr>
        <w:t>法定代表人授权书</w:t>
      </w:r>
      <w:r>
        <w:rPr>
          <w:rFonts w:hint="eastAsia" w:hAnsi="宋体"/>
          <w:b/>
          <w:color w:val="auto"/>
          <w:sz w:val="24"/>
          <w:szCs w:val="24"/>
          <w:highlight w:val="none"/>
          <w:lang w:eastAsia="zh-CN"/>
        </w:rPr>
        <w:t>（授权代表</w:t>
      </w:r>
      <w:r>
        <w:rPr>
          <w:rFonts w:hint="eastAsia" w:hAnsi="宋体"/>
          <w:b/>
          <w:color w:val="auto"/>
          <w:sz w:val="24"/>
          <w:szCs w:val="24"/>
          <w:highlight w:val="none"/>
        </w:rPr>
        <w:t>参加投标</w:t>
      </w:r>
      <w:r>
        <w:rPr>
          <w:rFonts w:hint="eastAsia" w:hAnsi="宋体"/>
          <w:b/>
          <w:color w:val="auto"/>
          <w:sz w:val="24"/>
          <w:szCs w:val="24"/>
          <w:highlight w:val="none"/>
          <w:lang w:eastAsia="zh-CN"/>
        </w:rPr>
        <w:t>）</w:t>
      </w:r>
    </w:p>
    <w:p w14:paraId="03A0903B">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Ansi="宋体"/>
          <w:color w:val="auto"/>
          <w:sz w:val="24"/>
          <w:szCs w:val="24"/>
          <w:highlight w:val="none"/>
        </w:rPr>
      </w:pPr>
      <w:r>
        <w:rPr>
          <w:rFonts w:hint="eastAsia" w:hAnsi="宋体"/>
          <w:color w:val="auto"/>
          <w:sz w:val="24"/>
          <w:szCs w:val="24"/>
          <w:highlight w:val="none"/>
        </w:rPr>
        <w:t>__________________（采购人名称）：</w:t>
      </w:r>
    </w:p>
    <w:p w14:paraId="590607FA">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Ansi="宋体"/>
          <w:color w:val="auto"/>
          <w:sz w:val="24"/>
          <w:szCs w:val="24"/>
          <w:highlight w:val="none"/>
        </w:rPr>
      </w:pPr>
      <w:r>
        <w:rPr>
          <w:rFonts w:hint="eastAsia" w:hAnsi="宋体"/>
          <w:color w:val="auto"/>
          <w:sz w:val="24"/>
          <w:szCs w:val="24"/>
          <w:highlight w:val="none"/>
        </w:rPr>
        <w:t>本授权声明：</w:t>
      </w:r>
      <w:r>
        <w:rPr>
          <w:rFonts w:hint="eastAsia" w:hAnsi="宋体"/>
          <w:color w:val="auto"/>
          <w:sz w:val="24"/>
          <w:szCs w:val="24"/>
          <w:highlight w:val="none"/>
          <w:u w:val="single"/>
          <w:lang w:val="en-US" w:eastAsia="zh-CN"/>
        </w:rPr>
        <w:t xml:space="preserve">             </w:t>
      </w:r>
      <w:r>
        <w:rPr>
          <w:rFonts w:hint="eastAsia" w:hAnsi="宋体"/>
          <w:color w:val="auto"/>
          <w:sz w:val="24"/>
          <w:szCs w:val="24"/>
          <w:highlight w:val="none"/>
        </w:rPr>
        <w:t>（投标人名称）</w:t>
      </w:r>
      <w:r>
        <w:rPr>
          <w:rFonts w:hint="eastAsia" w:hAnsi="宋体"/>
          <w:color w:val="auto"/>
          <w:sz w:val="24"/>
          <w:szCs w:val="24"/>
          <w:highlight w:val="none"/>
          <w:u w:val="single"/>
          <w:lang w:val="en-US" w:eastAsia="zh-CN"/>
        </w:rPr>
        <w:t xml:space="preserve">             </w:t>
      </w:r>
      <w:r>
        <w:rPr>
          <w:rFonts w:hint="eastAsia" w:hAnsi="宋体"/>
          <w:color w:val="auto"/>
          <w:sz w:val="24"/>
          <w:szCs w:val="24"/>
          <w:highlight w:val="none"/>
        </w:rPr>
        <w:t>（法定代表人姓名、职务）授权</w:t>
      </w:r>
      <w:r>
        <w:rPr>
          <w:rFonts w:hint="eastAsia" w:hAnsi="宋体"/>
          <w:color w:val="auto"/>
          <w:sz w:val="24"/>
          <w:szCs w:val="24"/>
          <w:highlight w:val="none"/>
          <w:u w:val="single"/>
          <w:lang w:val="en-US" w:eastAsia="zh-CN"/>
        </w:rPr>
        <w:t xml:space="preserve">                </w:t>
      </w:r>
      <w:r>
        <w:rPr>
          <w:rFonts w:hint="eastAsia" w:hAnsi="宋体"/>
          <w:color w:val="auto"/>
          <w:sz w:val="24"/>
          <w:szCs w:val="24"/>
          <w:highlight w:val="none"/>
        </w:rPr>
        <w:t>（被授权人姓名、职务）为我方 “</w:t>
      </w:r>
      <w:r>
        <w:rPr>
          <w:rFonts w:hint="eastAsia" w:hAnsi="宋体"/>
          <w:color w:val="auto"/>
          <w:sz w:val="24"/>
          <w:szCs w:val="24"/>
          <w:highlight w:val="none"/>
          <w:u w:val="single"/>
          <w:lang w:val="en-US" w:eastAsia="zh-CN"/>
        </w:rPr>
        <w:t xml:space="preserve">                 </w:t>
      </w:r>
      <w:r>
        <w:rPr>
          <w:rFonts w:hint="eastAsia" w:hAnsi="宋体"/>
          <w:color w:val="auto"/>
          <w:sz w:val="24"/>
          <w:szCs w:val="24"/>
          <w:highlight w:val="none"/>
        </w:rPr>
        <w:t>” 项目（招标文件编号</w:t>
      </w:r>
      <w:r>
        <w:rPr>
          <w:rFonts w:hint="eastAsia" w:hAnsi="宋体"/>
          <w:color w:val="auto"/>
          <w:sz w:val="24"/>
          <w:szCs w:val="24"/>
          <w:highlight w:val="none"/>
          <w:lang w:val="en-US" w:eastAsia="zh-CN"/>
        </w:rPr>
        <w:t>:</w:t>
      </w:r>
      <w:r>
        <w:rPr>
          <w:rFonts w:hint="eastAsia" w:hAnsi="宋体"/>
          <w:color w:val="auto"/>
          <w:sz w:val="24"/>
          <w:szCs w:val="24"/>
          <w:highlight w:val="none"/>
          <w:u w:val="single"/>
          <w:lang w:val="en-US" w:eastAsia="zh-CN"/>
        </w:rPr>
        <w:t xml:space="preserve">           </w:t>
      </w:r>
      <w:r>
        <w:rPr>
          <w:rFonts w:hint="eastAsia" w:hAnsi="宋体"/>
          <w:color w:val="auto"/>
          <w:sz w:val="24"/>
          <w:szCs w:val="24"/>
          <w:highlight w:val="none"/>
        </w:rPr>
        <w:t>）投标活动的合法代表，以我方名义全权处理该项目有关投标、签订合同以及执行合同等一切事宜。</w:t>
      </w:r>
    </w:p>
    <w:p w14:paraId="79B9054A">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hAnsi="宋体"/>
          <w:color w:val="auto"/>
          <w:sz w:val="24"/>
          <w:szCs w:val="24"/>
          <w:highlight w:val="none"/>
        </w:rPr>
      </w:pPr>
      <w:r>
        <w:rPr>
          <w:rFonts w:hint="eastAsia" w:hAnsi="宋体"/>
          <w:color w:val="auto"/>
          <w:sz w:val="24"/>
          <w:szCs w:val="24"/>
          <w:highlight w:val="none"/>
        </w:rPr>
        <w:t>特此声明。</w:t>
      </w:r>
    </w:p>
    <w:p w14:paraId="4BEB978A">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hAnsi="宋体"/>
          <w:color w:val="auto"/>
          <w:sz w:val="24"/>
          <w:szCs w:val="24"/>
          <w:highlight w:val="none"/>
        </w:rPr>
      </w:pPr>
      <w:r>
        <w:rPr>
          <w:rFonts w:hint="eastAsia"/>
          <w:color w:val="auto"/>
          <w:sz w:val="24"/>
          <w:szCs w:val="24"/>
          <w:highlight w:val="none"/>
          <w:lang w:val="en-US" w:eastAsia="zh-CN"/>
        </w:rPr>
        <w:t xml:space="preserve">  </w:t>
      </w:r>
      <w:r>
        <w:rPr>
          <w:rFonts w:hint="eastAsia" w:hAnsi="宋体"/>
          <w:color w:val="auto"/>
          <w:sz w:val="24"/>
          <w:szCs w:val="24"/>
          <w:highlight w:val="none"/>
          <w:lang w:val="en-US" w:eastAsia="zh-CN"/>
        </w:rPr>
        <w:t>附：</w:t>
      </w:r>
      <w:r>
        <w:rPr>
          <w:rFonts w:hint="eastAsia" w:hAnsi="宋体"/>
          <w:color w:val="auto"/>
          <w:sz w:val="24"/>
          <w:szCs w:val="24"/>
          <w:highlight w:val="none"/>
        </w:rPr>
        <w:t>法定代表人身份证</w:t>
      </w:r>
      <w:r>
        <w:rPr>
          <w:rFonts w:hint="eastAsia" w:hAnsi="宋体"/>
          <w:color w:val="auto"/>
          <w:sz w:val="24"/>
          <w:szCs w:val="24"/>
          <w:highlight w:val="none"/>
          <w:lang w:eastAsia="zh-CN"/>
        </w:rPr>
        <w:t>和授权代表</w:t>
      </w:r>
      <w:r>
        <w:rPr>
          <w:rFonts w:hint="eastAsia" w:hAnsi="宋体"/>
          <w:color w:val="auto"/>
          <w:sz w:val="24"/>
          <w:szCs w:val="24"/>
          <w:highlight w:val="none"/>
        </w:rPr>
        <w:t>身份证</w:t>
      </w:r>
      <w:r>
        <w:rPr>
          <w:rFonts w:hint="eastAsia" w:hAnsi="宋体"/>
          <w:color w:val="auto"/>
          <w:sz w:val="24"/>
          <w:szCs w:val="24"/>
          <w:highlight w:val="none"/>
          <w:lang w:eastAsia="zh-CN"/>
        </w:rPr>
        <w:t>原件</w:t>
      </w:r>
      <w:r>
        <w:rPr>
          <w:rFonts w:hint="eastAsia" w:hAnsi="宋体"/>
          <w:color w:val="auto"/>
          <w:sz w:val="24"/>
          <w:szCs w:val="24"/>
          <w:highlight w:val="none"/>
        </w:rPr>
        <w:t>（正</w:t>
      </w:r>
      <w:r>
        <w:rPr>
          <w:rFonts w:hint="eastAsia" w:hAnsi="宋体"/>
          <w:color w:val="auto"/>
          <w:sz w:val="24"/>
          <w:szCs w:val="24"/>
          <w:highlight w:val="none"/>
          <w:lang w:eastAsia="zh-CN"/>
        </w:rPr>
        <w:t>、</w:t>
      </w:r>
      <w:r>
        <w:rPr>
          <w:rFonts w:hint="eastAsia" w:hAnsi="宋体"/>
          <w:color w:val="auto"/>
          <w:sz w:val="24"/>
          <w:szCs w:val="24"/>
          <w:highlight w:val="none"/>
        </w:rPr>
        <w:t>反面）</w:t>
      </w:r>
      <w:r>
        <w:rPr>
          <w:rFonts w:hint="eastAsia" w:hAnsi="宋体"/>
          <w:color w:val="auto"/>
          <w:sz w:val="24"/>
          <w:szCs w:val="24"/>
          <w:highlight w:val="none"/>
          <w:lang w:eastAsia="zh-CN"/>
        </w:rPr>
        <w:t>彩色扫描件</w:t>
      </w:r>
    </w:p>
    <w:p w14:paraId="45ECB5A9">
      <w:pPr>
        <w:pStyle w:val="36"/>
        <w:keepNext w:val="0"/>
        <w:keepLines w:val="0"/>
        <w:pageBreakBefore w:val="0"/>
        <w:widowControl w:val="0"/>
        <w:tabs>
          <w:tab w:val="right" w:leader="dot" w:pos="8400"/>
        </w:tabs>
        <w:kinsoku/>
        <w:wordWrap/>
        <w:overflowPunct/>
        <w:topLinePunct w:val="0"/>
        <w:autoSpaceDE/>
        <w:autoSpaceDN/>
        <w:bidi w:val="0"/>
        <w:adjustRightInd/>
        <w:snapToGrid/>
        <w:spacing w:line="360" w:lineRule="auto"/>
        <w:ind w:left="0"/>
        <w:textAlignment w:val="auto"/>
        <w:rPr>
          <w:rFonts w:hint="eastAsia" w:eastAsia="宋体"/>
          <w:color w:val="auto"/>
          <w:highlight w:val="none"/>
          <w:lang w:val="en-US" w:eastAsia="zh-CN"/>
        </w:rPr>
      </w:pPr>
    </w:p>
    <w:p w14:paraId="5CBBD7AC">
      <w:pPr>
        <w:keepNext w:val="0"/>
        <w:keepLines w:val="0"/>
        <w:pageBreakBefore w:val="0"/>
        <w:widowControl w:val="0"/>
        <w:kinsoku/>
        <w:wordWrap/>
        <w:overflowPunct/>
        <w:topLinePunct w:val="0"/>
        <w:autoSpaceDE/>
        <w:autoSpaceDN/>
        <w:bidi w:val="0"/>
        <w:adjustRightInd/>
        <w:snapToGrid/>
        <w:spacing w:line="360" w:lineRule="auto"/>
        <w:ind w:left="0" w:firstLine="3600" w:firstLineChars="1500"/>
        <w:textAlignment w:val="auto"/>
        <w:rPr>
          <w:rFonts w:hAnsi="宋体"/>
          <w:color w:val="auto"/>
          <w:sz w:val="24"/>
          <w:szCs w:val="24"/>
          <w:highlight w:val="none"/>
        </w:rPr>
      </w:pPr>
      <w:r>
        <w:rPr>
          <w:rFonts w:hint="eastAsia" w:hAnsi="宋体"/>
          <w:color w:val="auto"/>
          <w:sz w:val="24"/>
          <w:szCs w:val="24"/>
          <w:highlight w:val="none"/>
        </w:rPr>
        <w:t xml:space="preserve">投标人（公章）：         </w:t>
      </w:r>
    </w:p>
    <w:p w14:paraId="016E7C81">
      <w:pPr>
        <w:keepNext w:val="0"/>
        <w:keepLines w:val="0"/>
        <w:pageBreakBefore w:val="0"/>
        <w:widowControl w:val="0"/>
        <w:kinsoku/>
        <w:wordWrap/>
        <w:overflowPunct/>
        <w:topLinePunct w:val="0"/>
        <w:autoSpaceDE/>
        <w:autoSpaceDN/>
        <w:bidi w:val="0"/>
        <w:adjustRightInd/>
        <w:snapToGrid/>
        <w:spacing w:line="360" w:lineRule="auto"/>
        <w:ind w:left="0" w:firstLine="3600" w:firstLineChars="1500"/>
        <w:textAlignment w:val="auto"/>
        <w:rPr>
          <w:rFonts w:hAnsi="宋体"/>
          <w:color w:val="auto"/>
          <w:sz w:val="24"/>
          <w:szCs w:val="24"/>
          <w:highlight w:val="none"/>
        </w:rPr>
      </w:pPr>
      <w:r>
        <w:rPr>
          <w:rFonts w:hint="eastAsia" w:hAnsi="宋体"/>
          <w:color w:val="auto"/>
          <w:sz w:val="24"/>
          <w:szCs w:val="24"/>
          <w:highlight w:val="none"/>
        </w:rPr>
        <w:t>法定代表人（签字</w:t>
      </w:r>
      <w:r>
        <w:rPr>
          <w:rFonts w:hint="eastAsia" w:hAnsi="宋体"/>
          <w:color w:val="auto"/>
          <w:sz w:val="24"/>
          <w:szCs w:val="24"/>
          <w:highlight w:val="none"/>
          <w:lang w:eastAsia="zh-CN"/>
        </w:rPr>
        <w:t>或盖章</w:t>
      </w:r>
      <w:r>
        <w:rPr>
          <w:rFonts w:hint="eastAsia" w:hAnsi="宋体"/>
          <w:color w:val="auto"/>
          <w:sz w:val="24"/>
          <w:szCs w:val="24"/>
          <w:highlight w:val="none"/>
        </w:rPr>
        <w:t>）：</w:t>
      </w:r>
    </w:p>
    <w:p w14:paraId="5E04CB6E">
      <w:pPr>
        <w:keepNext w:val="0"/>
        <w:keepLines w:val="0"/>
        <w:pageBreakBefore w:val="0"/>
        <w:widowControl w:val="0"/>
        <w:kinsoku/>
        <w:wordWrap/>
        <w:overflowPunct/>
        <w:topLinePunct w:val="0"/>
        <w:autoSpaceDE/>
        <w:autoSpaceDN/>
        <w:bidi w:val="0"/>
        <w:adjustRightInd/>
        <w:snapToGrid/>
        <w:spacing w:line="360" w:lineRule="auto"/>
        <w:ind w:firstLine="3600" w:firstLineChars="1500"/>
        <w:textAlignment w:val="auto"/>
        <w:rPr>
          <w:rFonts w:hAnsi="宋体"/>
          <w:color w:val="auto"/>
          <w:sz w:val="24"/>
          <w:szCs w:val="24"/>
          <w:highlight w:val="none"/>
        </w:rPr>
      </w:pPr>
      <w:r>
        <w:rPr>
          <w:rFonts w:hint="eastAsia" w:hAnsi="宋体"/>
          <w:color w:val="auto"/>
          <w:sz w:val="24"/>
          <w:szCs w:val="24"/>
          <w:highlight w:val="none"/>
          <w:lang w:eastAsia="zh-CN"/>
        </w:rPr>
        <w:t>授权代表</w:t>
      </w:r>
      <w:r>
        <w:rPr>
          <w:rFonts w:hint="eastAsia" w:hAnsi="宋体"/>
          <w:color w:val="auto"/>
          <w:sz w:val="24"/>
          <w:szCs w:val="24"/>
          <w:highlight w:val="none"/>
        </w:rPr>
        <w:t>（签字</w:t>
      </w:r>
      <w:r>
        <w:rPr>
          <w:rFonts w:hint="eastAsia" w:hAnsi="宋体"/>
          <w:color w:val="auto"/>
          <w:sz w:val="24"/>
          <w:szCs w:val="24"/>
          <w:highlight w:val="none"/>
          <w:lang w:eastAsia="zh-CN"/>
        </w:rPr>
        <w:t>或盖章</w:t>
      </w:r>
      <w:r>
        <w:rPr>
          <w:rFonts w:hint="eastAsia" w:hAnsi="宋体"/>
          <w:color w:val="auto"/>
          <w:sz w:val="24"/>
          <w:szCs w:val="24"/>
          <w:highlight w:val="none"/>
        </w:rPr>
        <w:t>）：</w:t>
      </w:r>
    </w:p>
    <w:p w14:paraId="73941D48">
      <w:pPr>
        <w:keepNext w:val="0"/>
        <w:keepLines w:val="0"/>
        <w:pageBreakBefore w:val="0"/>
        <w:widowControl w:val="0"/>
        <w:kinsoku/>
        <w:wordWrap/>
        <w:overflowPunct/>
        <w:topLinePunct w:val="0"/>
        <w:autoSpaceDE/>
        <w:autoSpaceDN/>
        <w:bidi w:val="0"/>
        <w:adjustRightInd/>
        <w:snapToGrid/>
        <w:spacing w:line="360" w:lineRule="auto"/>
        <w:ind w:left="0" w:firstLine="3600" w:firstLineChars="1500"/>
        <w:textAlignment w:val="auto"/>
        <w:rPr>
          <w:rFonts w:hint="eastAsia" w:hAnsi="宋体"/>
          <w:color w:val="auto"/>
          <w:sz w:val="24"/>
          <w:szCs w:val="24"/>
          <w:highlight w:val="none"/>
        </w:rPr>
      </w:pPr>
      <w:r>
        <w:rPr>
          <w:rFonts w:hint="eastAsia" w:hAnsi="宋体"/>
          <w:color w:val="auto"/>
          <w:sz w:val="24"/>
          <w:szCs w:val="24"/>
          <w:highlight w:val="none"/>
        </w:rPr>
        <w:t>日   期：</w:t>
      </w:r>
      <w:r>
        <w:rPr>
          <w:rFonts w:hAnsi="宋体"/>
          <w:color w:val="auto"/>
          <w:sz w:val="24"/>
          <w:szCs w:val="24"/>
          <w:highlight w:val="none"/>
        </w:rPr>
        <w:t>年</w:t>
      </w:r>
      <w:r>
        <w:rPr>
          <w:rFonts w:hint="eastAsia" w:hAnsi="宋体"/>
          <w:color w:val="auto"/>
          <w:sz w:val="24"/>
          <w:szCs w:val="24"/>
          <w:highlight w:val="none"/>
          <w:lang w:val="en-US" w:eastAsia="zh-CN"/>
        </w:rPr>
        <w:t xml:space="preserve"> </w:t>
      </w:r>
      <w:r>
        <w:rPr>
          <w:rFonts w:hAnsi="宋体"/>
          <w:color w:val="auto"/>
          <w:sz w:val="24"/>
          <w:szCs w:val="24"/>
          <w:highlight w:val="none"/>
        </w:rPr>
        <w:t>月</w:t>
      </w:r>
      <w:r>
        <w:rPr>
          <w:rFonts w:hint="eastAsia" w:hAnsi="宋体"/>
          <w:color w:val="auto"/>
          <w:sz w:val="24"/>
          <w:szCs w:val="24"/>
          <w:highlight w:val="none"/>
          <w:lang w:val="en-US" w:eastAsia="zh-CN"/>
        </w:rPr>
        <w:t xml:space="preserve"> </w:t>
      </w:r>
      <w:r>
        <w:rPr>
          <w:rFonts w:hint="eastAsia" w:hAnsi="宋体"/>
          <w:color w:val="auto"/>
          <w:sz w:val="24"/>
          <w:szCs w:val="24"/>
          <w:highlight w:val="none"/>
        </w:rPr>
        <w:t>日</w:t>
      </w:r>
    </w:p>
    <w:p w14:paraId="0172B29D">
      <w:pPr>
        <w:tabs>
          <w:tab w:val="left" w:pos="3600"/>
        </w:tabs>
        <w:adjustRightInd w:val="0"/>
        <w:snapToGrid w:val="0"/>
        <w:spacing w:line="360" w:lineRule="auto"/>
        <w:jc w:val="center"/>
        <w:rPr>
          <w:rFonts w:hint="eastAsia" w:hAnsi="宋体"/>
          <w:b/>
          <w:color w:val="auto"/>
          <w:sz w:val="28"/>
          <w:szCs w:val="28"/>
          <w:highlight w:val="none"/>
          <w:lang w:eastAsia="zh-CN"/>
        </w:rPr>
      </w:pPr>
    </w:p>
    <w:p w14:paraId="6A66C1D9">
      <w:pPr>
        <w:numPr>
          <w:ilvl w:val="0"/>
          <w:numId w:val="13"/>
        </w:numPr>
        <w:tabs>
          <w:tab w:val="left" w:pos="3600"/>
        </w:tabs>
        <w:adjustRightInd w:val="0"/>
        <w:snapToGrid w:val="0"/>
        <w:spacing w:line="360" w:lineRule="auto"/>
        <w:ind w:left="522" w:leftChars="0" w:firstLine="0" w:firstLineChars="0"/>
        <w:jc w:val="both"/>
        <w:outlineLvl w:val="9"/>
        <w:rPr>
          <w:rFonts w:hint="eastAsia" w:ascii="宋体" w:hAnsi="宋体" w:eastAsia="宋体"/>
          <w:b/>
          <w:color w:val="auto"/>
          <w:sz w:val="24"/>
          <w:szCs w:val="24"/>
          <w:highlight w:val="none"/>
          <w:lang w:eastAsia="zh-CN"/>
        </w:rPr>
      </w:pPr>
      <w:bookmarkStart w:id="108" w:name="_Toc7406"/>
      <w:r>
        <w:rPr>
          <w:rFonts w:hint="eastAsia" w:ascii="宋体" w:hAnsi="宋体" w:eastAsia="宋体"/>
          <w:b/>
          <w:color w:val="auto"/>
          <w:sz w:val="24"/>
          <w:szCs w:val="24"/>
          <w:highlight w:val="none"/>
        </w:rPr>
        <w:t>中小企业证明材料</w:t>
      </w:r>
      <w:r>
        <w:rPr>
          <w:rFonts w:hint="eastAsia" w:ascii="宋体" w:hAnsi="宋体" w:eastAsia="宋体"/>
          <w:b/>
          <w:color w:val="auto"/>
          <w:sz w:val="24"/>
          <w:szCs w:val="24"/>
          <w:highlight w:val="none"/>
          <w:lang w:eastAsia="zh-CN"/>
        </w:rPr>
        <w:t>（原件彩色扫描件）</w:t>
      </w:r>
      <w:bookmarkEnd w:id="108"/>
    </w:p>
    <w:p w14:paraId="039E1D41">
      <w:pPr>
        <w:tabs>
          <w:tab w:val="left" w:pos="3600"/>
        </w:tabs>
        <w:adjustRightInd w:val="0"/>
        <w:snapToGrid w:val="0"/>
        <w:spacing w:line="360" w:lineRule="auto"/>
        <w:rPr>
          <w:rFonts w:hAnsi="宋体"/>
          <w:b/>
          <w:color w:val="auto"/>
          <w:sz w:val="28"/>
          <w:szCs w:val="28"/>
          <w:highlight w:val="none"/>
        </w:rPr>
      </w:pPr>
    </w:p>
    <w:p w14:paraId="155F407F">
      <w:pPr>
        <w:tabs>
          <w:tab w:val="left" w:pos="3600"/>
        </w:tabs>
        <w:adjustRightInd w:val="0"/>
        <w:snapToGrid w:val="0"/>
        <w:spacing w:line="360" w:lineRule="auto"/>
        <w:jc w:val="center"/>
        <w:rPr>
          <w:rFonts w:hint="eastAsia" w:hAnsi="宋体"/>
          <w:b/>
          <w:bCs/>
          <w:color w:val="auto"/>
          <w:sz w:val="24"/>
          <w:szCs w:val="24"/>
          <w:highlight w:val="none"/>
        </w:rPr>
      </w:pPr>
    </w:p>
    <w:p w14:paraId="07FCFCB8">
      <w:pPr>
        <w:tabs>
          <w:tab w:val="left" w:pos="3600"/>
        </w:tabs>
        <w:adjustRightInd w:val="0"/>
        <w:snapToGrid w:val="0"/>
        <w:spacing w:line="360" w:lineRule="auto"/>
        <w:jc w:val="center"/>
        <w:rPr>
          <w:rFonts w:ascii="Times New Roman" w:hAnsi="宋体" w:eastAsia="宋体" w:cs="Times New Roman"/>
          <w:b/>
          <w:bCs/>
          <w:color w:val="auto"/>
          <w:sz w:val="24"/>
          <w:szCs w:val="24"/>
          <w:highlight w:val="none"/>
        </w:rPr>
      </w:pPr>
      <w:r>
        <w:rPr>
          <w:rFonts w:hint="eastAsia" w:hAnsi="宋体"/>
          <w:b/>
          <w:bCs/>
          <w:color w:val="auto"/>
          <w:sz w:val="24"/>
          <w:szCs w:val="24"/>
          <w:highlight w:val="none"/>
        </w:rPr>
        <w:t>中小企业声明函</w:t>
      </w:r>
      <w:r>
        <w:rPr>
          <w:rFonts w:hint="eastAsia" w:ascii="Times New Roman" w:hAnsi="宋体" w:eastAsia="宋体" w:cs="Times New Roman"/>
          <w:b/>
          <w:bCs/>
          <w:color w:val="auto"/>
          <w:sz w:val="24"/>
          <w:szCs w:val="24"/>
          <w:highlight w:val="none"/>
        </w:rPr>
        <w:t>（</w:t>
      </w:r>
      <w:r>
        <w:rPr>
          <w:rFonts w:hint="eastAsia" w:ascii="Times New Roman" w:hAnsi="宋体" w:eastAsia="宋体" w:cs="Times New Roman"/>
          <w:b/>
          <w:bCs/>
          <w:color w:val="auto"/>
          <w:sz w:val="24"/>
          <w:szCs w:val="24"/>
          <w:highlight w:val="none"/>
          <w:lang w:val="en-US" w:eastAsia="zh-CN"/>
        </w:rPr>
        <w:t>全部标的制造商</w:t>
      </w:r>
      <w:r>
        <w:rPr>
          <w:rFonts w:hint="eastAsia" w:ascii="Times New Roman" w:hAnsi="宋体" w:eastAsia="宋体" w:cs="Times New Roman"/>
          <w:b/>
          <w:bCs/>
          <w:color w:val="auto"/>
          <w:sz w:val="24"/>
          <w:szCs w:val="24"/>
          <w:highlight w:val="none"/>
        </w:rPr>
        <w:t>非中小企业则不</w:t>
      </w:r>
      <w:r>
        <w:rPr>
          <w:rFonts w:hint="eastAsia" w:ascii="Times New Roman" w:hAnsi="宋体" w:eastAsia="宋体" w:cs="Times New Roman"/>
          <w:b/>
          <w:bCs/>
          <w:color w:val="auto"/>
          <w:sz w:val="24"/>
          <w:szCs w:val="24"/>
          <w:highlight w:val="none"/>
          <w:lang w:val="en-US" w:eastAsia="zh-CN"/>
        </w:rPr>
        <w:t>提供</w:t>
      </w:r>
      <w:r>
        <w:rPr>
          <w:rFonts w:hint="eastAsia" w:ascii="Times New Roman" w:hAnsi="宋体" w:eastAsia="宋体" w:cs="Times New Roman"/>
          <w:b/>
          <w:bCs/>
          <w:color w:val="auto"/>
          <w:sz w:val="24"/>
          <w:szCs w:val="24"/>
          <w:highlight w:val="none"/>
        </w:rPr>
        <w:t>）</w:t>
      </w:r>
    </w:p>
    <w:p w14:paraId="30C62E2A">
      <w:pPr>
        <w:tabs>
          <w:tab w:val="left" w:pos="3600"/>
        </w:tabs>
        <w:adjustRightInd w:val="0"/>
        <w:snapToGrid w:val="0"/>
        <w:spacing w:line="360" w:lineRule="auto"/>
        <w:jc w:val="center"/>
        <w:rPr>
          <w:rFonts w:hAnsi="宋体"/>
          <w:b/>
          <w:bCs/>
          <w:color w:val="auto"/>
          <w:sz w:val="24"/>
          <w:szCs w:val="24"/>
          <w:highlight w:val="none"/>
        </w:rPr>
      </w:pPr>
    </w:p>
    <w:p w14:paraId="19FEC975">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本公司（联合体）郑重声明，根据《政府采购促进中小企业发展管理办法》（财库〔</w:t>
      </w:r>
      <w:r>
        <w:rPr>
          <w:rFonts w:hint="eastAsia" w:asciiTheme="minorEastAsia" w:hAnsiTheme="minorEastAsia" w:eastAsiaTheme="minorEastAsia" w:cstheme="minorEastAsia"/>
          <w:color w:val="auto"/>
          <w:sz w:val="24"/>
          <w:szCs w:val="24"/>
          <w:highlight w:val="none"/>
          <w:lang w:val="en-US" w:eastAsia="zh-CN"/>
        </w:rPr>
        <w:t>2020</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46号</w:t>
      </w:r>
      <w:r>
        <w:rPr>
          <w:rFonts w:hint="eastAsia" w:asciiTheme="minorEastAsia" w:hAnsiTheme="minorEastAsia" w:eastAsiaTheme="minorEastAsia" w:cstheme="minorEastAsia"/>
          <w:color w:val="auto"/>
          <w:sz w:val="24"/>
          <w:szCs w:val="24"/>
          <w:highlight w:val="none"/>
          <w:lang w:eastAsia="zh-CN"/>
        </w:rPr>
        <w:t>）的规定，本公司（联合体）参加</w:t>
      </w:r>
      <w:r>
        <w:rPr>
          <w:rFonts w:hint="eastAsia" w:asciiTheme="minorEastAsia" w:hAnsiTheme="minorEastAsia" w:eastAsiaTheme="minorEastAsia" w:cstheme="minorEastAsia"/>
          <w:color w:val="auto"/>
          <w:sz w:val="24"/>
          <w:szCs w:val="24"/>
          <w:highlight w:val="none"/>
          <w:u w:val="single"/>
          <w:lang w:eastAsia="zh-CN"/>
        </w:rPr>
        <w:t>（单位名称）</w:t>
      </w:r>
      <w:r>
        <w:rPr>
          <w:rFonts w:hint="eastAsia" w:asciiTheme="minorEastAsia" w:hAnsiTheme="minorEastAsia" w:eastAsiaTheme="minorEastAsia" w:cstheme="minorEastAsia"/>
          <w:color w:val="auto"/>
          <w:sz w:val="24"/>
          <w:szCs w:val="24"/>
          <w:highlight w:val="none"/>
          <w:lang w:eastAsia="zh-CN"/>
        </w:rPr>
        <w:t>的</w:t>
      </w:r>
      <w:r>
        <w:rPr>
          <w:rFonts w:hint="eastAsia" w:asciiTheme="minorEastAsia" w:hAnsiTheme="minorEastAsia" w:eastAsiaTheme="minorEastAsia" w:cstheme="minorEastAsia"/>
          <w:color w:val="auto"/>
          <w:sz w:val="24"/>
          <w:szCs w:val="24"/>
          <w:highlight w:val="none"/>
          <w:u w:val="single"/>
          <w:lang w:eastAsia="zh-CN"/>
        </w:rPr>
        <w:t>（项目名称）</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lang w:eastAsia="zh-CN"/>
        </w:rPr>
        <w:t>采购活动，提供的货物</w:t>
      </w:r>
      <w:r>
        <w:rPr>
          <w:rFonts w:hint="eastAsia" w:asciiTheme="minorEastAsia" w:hAnsiTheme="minorEastAsia" w:eastAsiaTheme="minorEastAsia" w:cstheme="minorEastAsia"/>
          <w:b/>
          <w:bCs/>
          <w:color w:val="FF0000"/>
          <w:sz w:val="24"/>
          <w:szCs w:val="24"/>
          <w:highlight w:val="none"/>
          <w:lang w:eastAsia="zh-CN"/>
        </w:rPr>
        <w:t>全部</w:t>
      </w:r>
      <w:r>
        <w:rPr>
          <w:rFonts w:hint="eastAsia" w:asciiTheme="minorEastAsia" w:hAnsiTheme="minorEastAsia" w:eastAsiaTheme="minorEastAsia" w:cstheme="minorEastAsia"/>
          <w:color w:val="auto"/>
          <w:sz w:val="24"/>
          <w:szCs w:val="24"/>
          <w:highlight w:val="none"/>
          <w:lang w:eastAsia="zh-CN"/>
        </w:rPr>
        <w:t>由符合政策要求的中小企业制造。相关企业（含联合体中的中小企业、签订分包一项协议的中小企业）的具体情况如下：</w:t>
      </w:r>
    </w:p>
    <w:p w14:paraId="40181853">
      <w:pPr>
        <w:keepNext w:val="0"/>
        <w:keepLines w:val="0"/>
        <w:pageBreakBefore w:val="0"/>
        <w:widowControl/>
        <w:numPr>
          <w:ilvl w:val="0"/>
          <w:numId w:val="14"/>
        </w:numPr>
        <w:kinsoku/>
        <w:wordWrap/>
        <w:overflowPunct/>
        <w:topLinePunct w:val="0"/>
        <w:autoSpaceDE/>
        <w:autoSpaceDN/>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u w:val="single"/>
          <w:lang w:val="en-US" w:eastAsia="zh-CN"/>
        </w:rPr>
        <w:t>（标的名称）</w:t>
      </w:r>
      <w:r>
        <w:rPr>
          <w:rFonts w:hint="eastAsia" w:asciiTheme="minorEastAsia" w:hAnsiTheme="minorEastAsia" w:eastAsiaTheme="minorEastAsia" w:cstheme="minorEastAsia"/>
          <w:color w:val="auto"/>
          <w:sz w:val="24"/>
          <w:szCs w:val="24"/>
          <w:highlight w:val="none"/>
          <w:lang w:val="en-US" w:eastAsia="zh-CN"/>
        </w:rPr>
        <w:t>，属于</w:t>
      </w:r>
      <w:r>
        <w:rPr>
          <w:rFonts w:hint="eastAsia" w:asciiTheme="minorEastAsia" w:hAnsiTheme="minorEastAsia" w:eastAsiaTheme="minorEastAsia" w:cstheme="minorEastAsia"/>
          <w:color w:val="auto"/>
          <w:sz w:val="24"/>
          <w:szCs w:val="24"/>
          <w:highlight w:val="none"/>
          <w:u w:val="single"/>
          <w:lang w:val="en-US" w:eastAsia="zh-CN"/>
        </w:rPr>
        <w:t>（采购文件中明确的所属行业）</w:t>
      </w:r>
      <w:r>
        <w:rPr>
          <w:rFonts w:hint="eastAsia" w:asciiTheme="minorEastAsia" w:hAnsiTheme="minorEastAsia" w:eastAsiaTheme="minorEastAsia" w:cstheme="minorEastAsia"/>
          <w:color w:val="auto"/>
          <w:sz w:val="24"/>
          <w:szCs w:val="24"/>
          <w:highlight w:val="none"/>
          <w:lang w:val="en-US" w:eastAsia="zh-CN"/>
        </w:rPr>
        <w:t>行业；制造商为</w:t>
      </w:r>
      <w:r>
        <w:rPr>
          <w:rFonts w:hint="eastAsia" w:asciiTheme="minorEastAsia" w:hAnsiTheme="minorEastAsia" w:eastAsiaTheme="minorEastAsia" w:cstheme="minorEastAsia"/>
          <w:color w:val="auto"/>
          <w:sz w:val="24"/>
          <w:szCs w:val="24"/>
          <w:highlight w:val="none"/>
          <w:u w:val="single"/>
          <w:lang w:val="en-US" w:eastAsia="zh-CN"/>
        </w:rPr>
        <w:t>（企业名称）</w:t>
      </w:r>
      <w:r>
        <w:rPr>
          <w:rFonts w:hint="eastAsia" w:asciiTheme="minorEastAsia" w:hAnsiTheme="minorEastAsia" w:eastAsiaTheme="minorEastAsia" w:cstheme="minorEastAsia"/>
          <w:color w:val="auto"/>
          <w:sz w:val="24"/>
          <w:szCs w:val="24"/>
          <w:highlight w:val="none"/>
          <w:lang w:val="en-US" w:eastAsia="zh-CN"/>
        </w:rPr>
        <w:t>，从业人员____人，营业收入为______万元，资产总额为____万元</w:t>
      </w:r>
      <w:r>
        <w:rPr>
          <w:rFonts w:hint="eastAsia" w:ascii="宋体" w:hAnsi="宋体" w:eastAsia="宋体" w:cs="宋体"/>
          <w:color w:val="auto"/>
          <w:sz w:val="28"/>
          <w:szCs w:val="28"/>
          <w:highlight w:val="none"/>
          <w:lang w:val="en-US" w:eastAsia="zh-CN"/>
        </w:rPr>
        <w:t>¹</w:t>
      </w:r>
      <w:r>
        <w:rPr>
          <w:rFonts w:hint="eastAsia" w:asciiTheme="minorEastAsia" w:hAnsiTheme="minorEastAsia" w:eastAsiaTheme="minorEastAsia" w:cstheme="minorEastAsia"/>
          <w:color w:val="auto"/>
          <w:sz w:val="24"/>
          <w:szCs w:val="24"/>
          <w:highlight w:val="none"/>
          <w:lang w:val="en-US" w:eastAsia="zh-CN"/>
        </w:rPr>
        <w:t>，属于</w:t>
      </w:r>
      <w:r>
        <w:rPr>
          <w:rFonts w:hint="eastAsia" w:asciiTheme="minorEastAsia" w:hAnsiTheme="minorEastAsia" w:eastAsiaTheme="minorEastAsia" w:cstheme="minorEastAsia"/>
          <w:color w:val="auto"/>
          <w:sz w:val="24"/>
          <w:szCs w:val="24"/>
          <w:highlight w:val="none"/>
          <w:u w:val="single"/>
          <w:lang w:val="en-US" w:eastAsia="zh-CN"/>
        </w:rPr>
        <w:t>（中型企业、小型企业、微型企业）</w:t>
      </w:r>
      <w:r>
        <w:rPr>
          <w:rFonts w:hint="eastAsia" w:asciiTheme="minorEastAsia" w:hAnsiTheme="minorEastAsia" w:eastAsiaTheme="minorEastAsia" w:cstheme="minorEastAsia"/>
          <w:color w:val="auto"/>
          <w:sz w:val="24"/>
          <w:szCs w:val="24"/>
          <w:highlight w:val="none"/>
          <w:lang w:val="en-US" w:eastAsia="zh-CN"/>
        </w:rPr>
        <w:t>；</w:t>
      </w:r>
    </w:p>
    <w:p w14:paraId="1C63B748">
      <w:pPr>
        <w:keepNext w:val="0"/>
        <w:keepLines w:val="0"/>
        <w:pageBreakBefore w:val="0"/>
        <w:widowControl/>
        <w:numPr>
          <w:ilvl w:val="0"/>
          <w:numId w:val="14"/>
        </w:numPr>
        <w:kinsoku/>
        <w:wordWrap/>
        <w:overflowPunct/>
        <w:topLinePunct w:val="0"/>
        <w:autoSpaceDE/>
        <w:autoSpaceDN/>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u w:val="single"/>
          <w:lang w:val="en-US" w:eastAsia="zh-CN"/>
        </w:rPr>
        <w:t>（标的名称）</w:t>
      </w:r>
      <w:r>
        <w:rPr>
          <w:rFonts w:hint="eastAsia" w:asciiTheme="minorEastAsia" w:hAnsiTheme="minorEastAsia" w:eastAsiaTheme="minorEastAsia" w:cstheme="minorEastAsia"/>
          <w:color w:val="auto"/>
          <w:sz w:val="24"/>
          <w:szCs w:val="24"/>
          <w:highlight w:val="none"/>
          <w:lang w:val="en-US" w:eastAsia="zh-CN"/>
        </w:rPr>
        <w:t>，属于</w:t>
      </w:r>
      <w:r>
        <w:rPr>
          <w:rFonts w:hint="eastAsia" w:asciiTheme="minorEastAsia" w:hAnsiTheme="minorEastAsia" w:eastAsiaTheme="minorEastAsia" w:cstheme="minorEastAsia"/>
          <w:color w:val="auto"/>
          <w:sz w:val="24"/>
          <w:szCs w:val="24"/>
          <w:highlight w:val="none"/>
          <w:u w:val="single"/>
          <w:lang w:val="en-US" w:eastAsia="zh-CN"/>
        </w:rPr>
        <w:t>（采购文件中明确的所属行业）</w:t>
      </w:r>
      <w:r>
        <w:rPr>
          <w:rFonts w:hint="eastAsia" w:asciiTheme="minorEastAsia" w:hAnsiTheme="minorEastAsia" w:eastAsiaTheme="minorEastAsia" w:cstheme="minorEastAsia"/>
          <w:color w:val="auto"/>
          <w:sz w:val="24"/>
          <w:szCs w:val="24"/>
          <w:highlight w:val="none"/>
          <w:lang w:val="en-US" w:eastAsia="zh-CN"/>
        </w:rPr>
        <w:t>行业；制造商为</w:t>
      </w:r>
      <w:r>
        <w:rPr>
          <w:rFonts w:hint="eastAsia" w:asciiTheme="minorEastAsia" w:hAnsiTheme="minorEastAsia" w:eastAsiaTheme="minorEastAsia" w:cstheme="minorEastAsia"/>
          <w:color w:val="auto"/>
          <w:sz w:val="24"/>
          <w:szCs w:val="24"/>
          <w:highlight w:val="none"/>
          <w:u w:val="single"/>
          <w:lang w:val="en-US" w:eastAsia="zh-CN"/>
        </w:rPr>
        <w:t>（企业名称）</w:t>
      </w:r>
      <w:r>
        <w:rPr>
          <w:rFonts w:hint="eastAsia" w:asciiTheme="minorEastAsia" w:hAnsiTheme="minorEastAsia" w:eastAsiaTheme="minorEastAsia" w:cstheme="minorEastAsia"/>
          <w:color w:val="auto"/>
          <w:sz w:val="24"/>
          <w:szCs w:val="24"/>
          <w:highlight w:val="none"/>
          <w:lang w:val="en-US" w:eastAsia="zh-CN"/>
        </w:rPr>
        <w:t xml:space="preserve">，从业人员____人，营业收入为___万元，资产总额为___万元，属于             </w:t>
      </w:r>
      <w:r>
        <w:rPr>
          <w:rFonts w:hint="eastAsia" w:asciiTheme="minorEastAsia" w:hAnsiTheme="minorEastAsia" w:eastAsiaTheme="minorEastAsia" w:cstheme="minorEastAsia"/>
          <w:color w:val="auto"/>
          <w:sz w:val="24"/>
          <w:szCs w:val="24"/>
          <w:highlight w:val="none"/>
          <w:u w:val="single"/>
          <w:lang w:val="en-US" w:eastAsia="zh-CN"/>
        </w:rPr>
        <w:t>（中型企业、小型企业、微型企业）</w:t>
      </w:r>
      <w:r>
        <w:rPr>
          <w:rFonts w:hint="eastAsia" w:asciiTheme="minorEastAsia" w:hAnsiTheme="minorEastAsia" w:eastAsiaTheme="minorEastAsia" w:cstheme="minorEastAsia"/>
          <w:color w:val="auto"/>
          <w:sz w:val="24"/>
          <w:szCs w:val="24"/>
          <w:highlight w:val="none"/>
          <w:lang w:val="en-US" w:eastAsia="zh-CN"/>
        </w:rPr>
        <w:t>；</w:t>
      </w:r>
    </w:p>
    <w:p w14:paraId="49DDEEE7">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jc w:val="both"/>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w:t>
      </w:r>
    </w:p>
    <w:p w14:paraId="1663F55F">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     以上企业，不属于大企业的分支机构，不存在控股股东为大企业的情形，也不存在与大企业的负责人为同一人的情形。</w:t>
      </w:r>
    </w:p>
    <w:p w14:paraId="289F6DF4">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    本企业对上述声明内容的真实性负责。如有虚假，将依法承担相应责任。</w:t>
      </w:r>
    </w:p>
    <w:p w14:paraId="1E6F18E2">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4766AD1C">
      <w:pPr>
        <w:adjustRightInd w:val="0"/>
        <w:snapToGrid w:val="0"/>
        <w:spacing w:line="36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企业名称（公章）：</w:t>
      </w:r>
    </w:p>
    <w:p w14:paraId="4FB72D68">
      <w:pPr>
        <w:adjustRightInd w:val="0"/>
        <w:snapToGrid w:val="0"/>
        <w:spacing w:line="36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日</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期：</w:t>
      </w:r>
    </w:p>
    <w:p w14:paraId="011AC4B6">
      <w:pPr>
        <w:autoSpaceDN w:val="0"/>
        <w:spacing w:line="360" w:lineRule="auto"/>
        <w:jc w:val="left"/>
        <w:rPr>
          <w:rFonts w:hint="eastAsia"/>
          <w:b w:val="0"/>
          <w:bCs w:val="0"/>
          <w:color w:val="auto"/>
          <w:sz w:val="20"/>
          <w:szCs w:val="16"/>
          <w:highlight w:val="none"/>
        </w:rPr>
      </w:pPr>
      <w:r>
        <w:rPr>
          <w:rFonts w:hint="eastAsia"/>
          <w:b w:val="0"/>
          <w:bCs w:val="0"/>
          <w:color w:val="auto"/>
          <w:sz w:val="20"/>
          <w:szCs w:val="16"/>
          <w:highlight w:val="none"/>
        </w:rPr>
        <w:t>1从业人员、营业收入、资产总额填报上一年度数据，无上一年度数据的新成立企业可不填报。</w:t>
      </w:r>
    </w:p>
    <w:p w14:paraId="771F3032">
      <w:pPr>
        <w:autoSpaceDN w:val="0"/>
        <w:spacing w:line="360" w:lineRule="auto"/>
        <w:jc w:val="center"/>
        <w:rPr>
          <w:rFonts w:hint="eastAsia"/>
          <w:b/>
          <w:bCs/>
          <w:color w:val="auto"/>
          <w:sz w:val="24"/>
          <w:highlight w:val="none"/>
        </w:rPr>
      </w:pPr>
    </w:p>
    <w:p w14:paraId="60090070">
      <w:pPr>
        <w:autoSpaceDN w:val="0"/>
        <w:spacing w:line="360" w:lineRule="auto"/>
        <w:jc w:val="center"/>
        <w:rPr>
          <w:b/>
          <w:bCs/>
          <w:color w:val="auto"/>
          <w:sz w:val="24"/>
          <w:highlight w:val="none"/>
        </w:rPr>
      </w:pPr>
      <w:r>
        <w:rPr>
          <w:rFonts w:hint="eastAsia"/>
          <w:b/>
          <w:bCs/>
          <w:color w:val="auto"/>
          <w:sz w:val="24"/>
          <w:highlight w:val="none"/>
        </w:rPr>
        <w:t>残疾人福利性单位声明函</w:t>
      </w:r>
    </w:p>
    <w:p w14:paraId="3832255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color w:val="auto"/>
          <w:sz w:val="24"/>
          <w:szCs w:val="21"/>
          <w:highlight w:val="none"/>
        </w:rPr>
      </w:pPr>
      <w:r>
        <w:rPr>
          <w:rFonts w:hint="eastAsia"/>
          <w:color w:val="auto"/>
          <w:sz w:val="24"/>
          <w:szCs w:val="21"/>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164D3D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color w:val="auto"/>
          <w:sz w:val="24"/>
          <w:szCs w:val="21"/>
          <w:highlight w:val="none"/>
        </w:rPr>
      </w:pPr>
      <w:r>
        <w:rPr>
          <w:rFonts w:hint="eastAsia"/>
          <w:color w:val="auto"/>
          <w:sz w:val="24"/>
          <w:szCs w:val="21"/>
          <w:highlight w:val="none"/>
        </w:rPr>
        <w:t>本单位对上述声明的真实性负责。如有虚假，将依法承担相应责任。</w:t>
      </w:r>
    </w:p>
    <w:p w14:paraId="3EBD2E77">
      <w:pPr>
        <w:snapToGrid w:val="0"/>
        <w:spacing w:line="360" w:lineRule="auto"/>
        <w:ind w:firstLine="480" w:firstLineChars="200"/>
        <w:rPr>
          <w:rFonts w:hint="eastAsia"/>
          <w:color w:val="auto"/>
          <w:sz w:val="24"/>
          <w:szCs w:val="21"/>
          <w:highlight w:val="none"/>
        </w:rPr>
      </w:pPr>
      <w:r>
        <w:rPr>
          <w:rFonts w:hint="eastAsia"/>
          <w:color w:val="auto"/>
          <w:sz w:val="24"/>
          <w:szCs w:val="21"/>
          <w:highlight w:val="none"/>
        </w:rPr>
        <w:t xml:space="preserve"> </w:t>
      </w:r>
    </w:p>
    <w:p w14:paraId="6337E94C">
      <w:pPr>
        <w:snapToGrid w:val="0"/>
        <w:spacing w:line="360" w:lineRule="auto"/>
        <w:ind w:firstLine="480" w:firstLineChars="200"/>
        <w:rPr>
          <w:rFonts w:hint="eastAsia"/>
          <w:color w:val="auto"/>
          <w:sz w:val="24"/>
          <w:szCs w:val="21"/>
          <w:highlight w:val="none"/>
        </w:rPr>
      </w:pPr>
    </w:p>
    <w:p w14:paraId="6CD14850">
      <w:pPr>
        <w:snapToGrid w:val="0"/>
        <w:spacing w:line="360" w:lineRule="auto"/>
        <w:ind w:firstLine="480" w:firstLineChars="200"/>
        <w:rPr>
          <w:rFonts w:hint="eastAsia"/>
          <w:color w:val="auto"/>
          <w:sz w:val="24"/>
          <w:szCs w:val="21"/>
          <w:highlight w:val="none"/>
        </w:rPr>
      </w:pPr>
      <w:r>
        <w:rPr>
          <w:rFonts w:hint="eastAsia"/>
          <w:color w:val="auto"/>
          <w:sz w:val="24"/>
          <w:szCs w:val="21"/>
          <w:highlight w:val="none"/>
          <w:lang w:val="en-US" w:eastAsia="zh-CN"/>
        </w:rPr>
        <w:t xml:space="preserve">                                    </w:t>
      </w:r>
      <w:r>
        <w:rPr>
          <w:rFonts w:hint="eastAsia"/>
          <w:color w:val="auto"/>
          <w:sz w:val="24"/>
          <w:szCs w:val="21"/>
          <w:highlight w:val="none"/>
        </w:rPr>
        <w:t>单位名称（</w:t>
      </w:r>
      <w:r>
        <w:rPr>
          <w:rFonts w:hint="eastAsia"/>
          <w:color w:val="auto"/>
          <w:sz w:val="24"/>
          <w:szCs w:val="21"/>
          <w:highlight w:val="none"/>
          <w:lang w:eastAsia="zh-CN"/>
        </w:rPr>
        <w:t>公</w:t>
      </w:r>
      <w:r>
        <w:rPr>
          <w:rFonts w:hint="eastAsia"/>
          <w:color w:val="auto"/>
          <w:sz w:val="24"/>
          <w:szCs w:val="21"/>
          <w:highlight w:val="none"/>
        </w:rPr>
        <w:t>章）：</w:t>
      </w:r>
    </w:p>
    <w:p w14:paraId="431D7250">
      <w:pPr>
        <w:snapToGrid w:val="0"/>
        <w:spacing w:line="360" w:lineRule="auto"/>
        <w:ind w:firstLine="480" w:firstLineChars="200"/>
        <w:rPr>
          <w:rFonts w:hint="eastAsia"/>
          <w:color w:val="auto"/>
          <w:sz w:val="24"/>
          <w:szCs w:val="21"/>
          <w:highlight w:val="none"/>
        </w:rPr>
      </w:pPr>
      <w:r>
        <w:rPr>
          <w:rFonts w:hint="eastAsia"/>
          <w:color w:val="auto"/>
          <w:sz w:val="24"/>
          <w:szCs w:val="21"/>
          <w:highlight w:val="none"/>
        </w:rPr>
        <w:t xml:space="preserve">     </w:t>
      </w:r>
      <w:r>
        <w:rPr>
          <w:rFonts w:hint="eastAsia"/>
          <w:color w:val="auto"/>
          <w:sz w:val="24"/>
          <w:szCs w:val="21"/>
          <w:highlight w:val="none"/>
          <w:lang w:val="en-US" w:eastAsia="zh-CN"/>
        </w:rPr>
        <w:t xml:space="preserve">                             </w:t>
      </w:r>
      <w:r>
        <w:rPr>
          <w:rFonts w:hint="eastAsia"/>
          <w:color w:val="auto"/>
          <w:sz w:val="24"/>
          <w:szCs w:val="21"/>
          <w:highlight w:val="none"/>
        </w:rPr>
        <w:t xml:space="preserve">  日  期：</w:t>
      </w:r>
    </w:p>
    <w:p w14:paraId="7C033169">
      <w:pPr>
        <w:pStyle w:val="36"/>
        <w:tabs>
          <w:tab w:val="right" w:leader="dot" w:pos="8400"/>
        </w:tabs>
        <w:rPr>
          <w:rFonts w:hint="eastAsia"/>
          <w:color w:val="auto"/>
        </w:rPr>
      </w:pPr>
    </w:p>
    <w:p w14:paraId="69214C44">
      <w:pPr>
        <w:autoSpaceDN w:val="0"/>
        <w:spacing w:line="360" w:lineRule="auto"/>
        <w:jc w:val="center"/>
        <w:rPr>
          <w:rFonts w:hint="eastAsia"/>
          <w:b/>
          <w:bCs/>
          <w:color w:val="auto"/>
          <w:sz w:val="24"/>
          <w:highlight w:val="none"/>
        </w:rPr>
      </w:pPr>
      <w:r>
        <w:rPr>
          <w:rFonts w:hint="eastAsia"/>
          <w:b/>
          <w:bCs/>
          <w:color w:val="auto"/>
          <w:sz w:val="24"/>
          <w:highlight w:val="none"/>
        </w:rPr>
        <w:t>省级以上监狱管理局、戒毒管理局（含新疆生产建设兵团）出具的</w:t>
      </w:r>
    </w:p>
    <w:p w14:paraId="06DE90DF">
      <w:pPr>
        <w:autoSpaceDN w:val="0"/>
        <w:spacing w:line="360" w:lineRule="auto"/>
        <w:jc w:val="center"/>
        <w:rPr>
          <w:rFonts w:hint="eastAsia"/>
          <w:b/>
          <w:bCs/>
          <w:color w:val="auto"/>
          <w:sz w:val="24"/>
          <w:highlight w:val="none"/>
        </w:rPr>
      </w:pPr>
      <w:r>
        <w:rPr>
          <w:rFonts w:hint="eastAsia"/>
          <w:b/>
          <w:bCs/>
          <w:color w:val="auto"/>
          <w:sz w:val="24"/>
          <w:highlight w:val="none"/>
        </w:rPr>
        <w:t>属于监狱企业证明文件（</w:t>
      </w:r>
      <w:r>
        <w:rPr>
          <w:rFonts w:hint="eastAsia"/>
          <w:b/>
          <w:bCs/>
          <w:color w:val="auto"/>
          <w:sz w:val="24"/>
          <w:highlight w:val="none"/>
          <w:lang w:eastAsia="zh-CN"/>
        </w:rPr>
        <w:t>原件</w:t>
      </w:r>
      <w:r>
        <w:rPr>
          <w:rFonts w:hint="eastAsia"/>
          <w:b/>
          <w:bCs/>
          <w:color w:val="auto"/>
          <w:sz w:val="24"/>
          <w:highlight w:val="none"/>
        </w:rPr>
        <w:t>彩色扫描件）</w:t>
      </w:r>
      <w:r>
        <w:rPr>
          <w:rFonts w:hint="eastAsia"/>
          <w:b/>
          <w:bCs/>
          <w:color w:val="auto"/>
          <w:sz w:val="24"/>
          <w:highlight w:val="none"/>
          <w:lang w:eastAsia="zh-CN"/>
        </w:rPr>
        <w:t>（格式自拟）</w:t>
      </w:r>
    </w:p>
    <w:p w14:paraId="32F20E1F">
      <w:pPr>
        <w:numPr>
          <w:ilvl w:val="0"/>
          <w:numId w:val="0"/>
        </w:numPr>
        <w:tabs>
          <w:tab w:val="left" w:pos="3600"/>
        </w:tabs>
        <w:adjustRightInd w:val="0"/>
        <w:snapToGrid w:val="0"/>
        <w:spacing w:line="360" w:lineRule="auto"/>
        <w:ind w:left="522" w:leftChars="0"/>
        <w:jc w:val="both"/>
        <w:outlineLvl w:val="9"/>
        <w:rPr>
          <w:rFonts w:hint="default" w:ascii="宋体" w:hAnsi="宋体" w:eastAsia="宋体" w:cs="Times New Roman"/>
          <w:b/>
          <w:color w:val="auto"/>
          <w:sz w:val="24"/>
          <w:szCs w:val="24"/>
          <w:highlight w:val="none"/>
          <w:lang w:val="en-US" w:eastAsia="zh-CN"/>
        </w:rPr>
      </w:pPr>
      <w:bookmarkStart w:id="109" w:name="_Toc2568"/>
      <w:r>
        <w:rPr>
          <w:rFonts w:hint="eastAsia" w:ascii="宋体" w:hAnsi="宋体" w:eastAsia="宋体" w:cs="Times New Roman"/>
          <w:b/>
          <w:color w:val="auto"/>
          <w:sz w:val="24"/>
          <w:szCs w:val="24"/>
          <w:highlight w:val="none"/>
          <w:lang w:val="en-US" w:eastAsia="zh-CN"/>
        </w:rPr>
        <w:t>九、非联合体投标声明函（格式自拟）</w:t>
      </w:r>
      <w:bookmarkEnd w:id="109"/>
    </w:p>
    <w:p w14:paraId="5C809B53">
      <w:pPr>
        <w:pStyle w:val="36"/>
        <w:tabs>
          <w:tab w:val="right" w:leader="dot" w:pos="8400"/>
        </w:tabs>
        <w:rPr>
          <w:color w:val="auto"/>
        </w:rPr>
      </w:pPr>
    </w:p>
    <w:p w14:paraId="3C1BE6D0">
      <w:pPr>
        <w:rPr>
          <w:rFonts w:ascii="华文中宋" w:hAnsi="华文中宋" w:eastAsia="华文中宋"/>
          <w:color w:val="auto"/>
          <w:sz w:val="24"/>
          <w:szCs w:val="24"/>
          <w:highlight w:val="none"/>
        </w:rPr>
      </w:pPr>
      <w:r>
        <w:rPr>
          <w:rFonts w:hint="eastAsia" w:hAnsi="宋体"/>
          <w:b/>
          <w:color w:val="auto"/>
          <w:sz w:val="32"/>
          <w:szCs w:val="32"/>
          <w:highlight w:val="none"/>
        </w:rPr>
        <w:t xml:space="preserve">    以上所有资格全部为招标文件的实质性要求，有一项不符合即为无效投标。</w:t>
      </w:r>
    </w:p>
    <w:p w14:paraId="4FD2C1E0">
      <w:pPr>
        <w:snapToGrid w:val="0"/>
        <w:spacing w:line="360" w:lineRule="exact"/>
        <w:rPr>
          <w:rFonts w:hint="eastAsia" w:ascii="华文中宋" w:hAnsi="华文中宋" w:eastAsia="华文中宋"/>
          <w:color w:val="auto"/>
          <w:sz w:val="24"/>
          <w:szCs w:val="24"/>
          <w:highlight w:val="none"/>
        </w:rPr>
      </w:pPr>
    </w:p>
    <w:p w14:paraId="68A5A5B5">
      <w:pPr>
        <w:pageBreakBefore w:val="0"/>
        <w:widowControl w:val="0"/>
        <w:kinsoku/>
        <w:wordWrap/>
        <w:overflowPunct/>
        <w:topLinePunct w:val="0"/>
        <w:autoSpaceDE/>
        <w:autoSpaceDN/>
        <w:bidi w:val="0"/>
        <w:adjustRightInd/>
        <w:snapToGrid w:val="0"/>
        <w:spacing w:line="360" w:lineRule="auto"/>
        <w:textAlignment w:val="auto"/>
        <w:rPr>
          <w:rFonts w:hint="eastAsia" w:ascii="华文中宋" w:hAnsi="华文中宋" w:eastAsia="华文中宋"/>
          <w:color w:val="auto"/>
          <w:sz w:val="24"/>
          <w:szCs w:val="24"/>
          <w:highlight w:val="none"/>
        </w:rPr>
      </w:pPr>
      <w:r>
        <w:rPr>
          <w:rFonts w:hint="eastAsia" w:ascii="华文中宋" w:hAnsi="华文中宋" w:eastAsia="华文中宋"/>
          <w:color w:val="auto"/>
          <w:sz w:val="24"/>
          <w:szCs w:val="24"/>
          <w:highlight w:val="none"/>
        </w:rPr>
        <w:t>说明：</w:t>
      </w:r>
    </w:p>
    <w:p w14:paraId="55B98C0A">
      <w:pPr>
        <w:pageBreakBefore w:val="0"/>
        <w:widowControl w:val="0"/>
        <w:kinsoku/>
        <w:wordWrap/>
        <w:overflowPunct/>
        <w:topLinePunct w:val="0"/>
        <w:autoSpaceDE/>
        <w:autoSpaceDN/>
        <w:bidi w:val="0"/>
        <w:adjustRightInd/>
        <w:snapToGrid w:val="0"/>
        <w:spacing w:line="360" w:lineRule="auto"/>
        <w:ind w:firstLine="480"/>
        <w:textAlignment w:val="auto"/>
        <w:rPr>
          <w:rFonts w:hint="eastAsia" w:ascii="华文中宋" w:hAnsi="华文中宋" w:eastAsia="华文中宋"/>
          <w:color w:val="auto"/>
          <w:sz w:val="24"/>
          <w:szCs w:val="24"/>
          <w:highlight w:val="none"/>
          <w:lang w:val="en-US" w:eastAsia="zh-CN"/>
        </w:rPr>
      </w:pPr>
      <w:r>
        <w:rPr>
          <w:rFonts w:hint="eastAsia" w:ascii="华文中宋" w:hAnsi="华文中宋" w:eastAsia="华文中宋"/>
          <w:color w:val="auto"/>
          <w:sz w:val="24"/>
          <w:szCs w:val="24"/>
          <w:highlight w:val="none"/>
          <w:lang w:val="en-US" w:eastAsia="zh-CN"/>
        </w:rPr>
        <w:t>1.所要求提供的资格证明文件必须在每一项资料的扫描件首页或逐页加盖投标人公章。</w:t>
      </w:r>
    </w:p>
    <w:p w14:paraId="1FE8A9F9">
      <w:pPr>
        <w:pageBreakBefore w:val="0"/>
        <w:widowControl w:val="0"/>
        <w:kinsoku/>
        <w:wordWrap/>
        <w:overflowPunct/>
        <w:topLinePunct w:val="0"/>
        <w:autoSpaceDE/>
        <w:autoSpaceDN/>
        <w:bidi w:val="0"/>
        <w:adjustRightInd/>
        <w:snapToGrid w:val="0"/>
        <w:spacing w:line="360" w:lineRule="auto"/>
        <w:ind w:firstLine="480"/>
        <w:textAlignment w:val="auto"/>
        <w:rPr>
          <w:rFonts w:ascii="华文中宋" w:hAnsi="华文中宋" w:eastAsia="华文中宋"/>
          <w:color w:val="auto"/>
          <w:sz w:val="24"/>
          <w:szCs w:val="24"/>
          <w:highlight w:val="none"/>
        </w:rPr>
      </w:pPr>
      <w:r>
        <w:rPr>
          <w:rFonts w:hint="eastAsia" w:ascii="华文中宋" w:hAnsi="华文中宋" w:eastAsia="华文中宋"/>
          <w:color w:val="auto"/>
          <w:sz w:val="24"/>
          <w:szCs w:val="24"/>
          <w:highlight w:val="none"/>
          <w:lang w:val="en-US" w:eastAsia="zh-CN"/>
        </w:rPr>
        <w:t>2.</w:t>
      </w:r>
      <w:r>
        <w:rPr>
          <w:rFonts w:hint="eastAsia" w:ascii="华文中宋" w:hAnsi="华文中宋" w:eastAsia="华文中宋"/>
          <w:color w:val="auto"/>
          <w:sz w:val="24"/>
          <w:szCs w:val="24"/>
          <w:highlight w:val="none"/>
        </w:rPr>
        <w:t>提供的原件扫描件不清晰、无法辨认或内容不符合规定，该项内容将视为无效。</w:t>
      </w:r>
    </w:p>
    <w:p w14:paraId="7C51230E">
      <w:pPr>
        <w:pageBreakBefore w:val="0"/>
        <w:widowControl w:val="0"/>
        <w:kinsoku/>
        <w:wordWrap/>
        <w:overflowPunct/>
        <w:topLinePunct w:val="0"/>
        <w:autoSpaceDE/>
        <w:autoSpaceDN/>
        <w:bidi w:val="0"/>
        <w:adjustRightInd/>
        <w:snapToGrid w:val="0"/>
        <w:spacing w:line="360" w:lineRule="auto"/>
        <w:textAlignment w:val="auto"/>
        <w:rPr>
          <w:rFonts w:ascii="华文中宋" w:hAnsi="华文中宋" w:eastAsia="华文中宋"/>
          <w:color w:val="auto"/>
          <w:sz w:val="24"/>
          <w:szCs w:val="24"/>
          <w:highlight w:val="none"/>
        </w:rPr>
      </w:pPr>
      <w:r>
        <w:rPr>
          <w:rFonts w:hint="eastAsia" w:ascii="华文中宋" w:hAnsi="华文中宋" w:eastAsia="华文中宋"/>
          <w:color w:val="auto"/>
          <w:sz w:val="24"/>
          <w:szCs w:val="24"/>
          <w:highlight w:val="none"/>
          <w:lang w:val="en-US" w:eastAsia="zh-CN"/>
        </w:rPr>
        <w:t xml:space="preserve">    3.</w:t>
      </w:r>
      <w:r>
        <w:rPr>
          <w:rFonts w:hint="eastAsia" w:ascii="华文中宋" w:hAnsi="华文中宋" w:eastAsia="华文中宋"/>
          <w:color w:val="auto"/>
          <w:sz w:val="24"/>
          <w:szCs w:val="24"/>
          <w:highlight w:val="none"/>
        </w:rPr>
        <w:t>资格审查的内容若有一项未提供或达不到检查标准，将导致其不具备投标资格，且不允许在开标后补正。投标人为国家机关、事业单位、团体组织或个人的，不提供资格证明文件中的第二、三、四项内容。</w:t>
      </w:r>
    </w:p>
    <w:p w14:paraId="59A53386">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华文中宋" w:hAnsi="华文中宋" w:eastAsia="华文中宋"/>
          <w:color w:val="auto"/>
          <w:sz w:val="24"/>
          <w:szCs w:val="24"/>
          <w:highlight w:val="none"/>
        </w:rPr>
      </w:pPr>
      <w:r>
        <w:rPr>
          <w:rFonts w:hint="eastAsia" w:ascii="华文中宋" w:hAnsi="华文中宋" w:eastAsia="华文中宋"/>
          <w:color w:val="auto"/>
          <w:sz w:val="24"/>
          <w:szCs w:val="24"/>
          <w:highlight w:val="none"/>
          <w:lang w:val="en-US" w:eastAsia="zh-CN"/>
        </w:rPr>
        <w:t>4..</w:t>
      </w:r>
      <w:r>
        <w:rPr>
          <w:rFonts w:hint="eastAsia" w:ascii="华文中宋" w:hAnsi="华文中宋" w:eastAsia="华文中宋"/>
          <w:color w:val="auto"/>
          <w:sz w:val="24"/>
          <w:szCs w:val="24"/>
          <w:highlight w:val="none"/>
        </w:rPr>
        <w:t>依法免税或不需要缴纳社会保障金的投标人，应提供相应的文件证明，复印件或原件清晰、真实、有效。</w:t>
      </w:r>
    </w:p>
    <w:p w14:paraId="4E7ADA96">
      <w:pPr>
        <w:pStyle w:val="36"/>
        <w:rPr>
          <w:rFonts w:hint="eastAsia" w:ascii="华文中宋" w:hAnsi="华文中宋" w:eastAsia="华文中宋"/>
          <w:color w:val="auto"/>
          <w:sz w:val="24"/>
          <w:szCs w:val="24"/>
          <w:highlight w:val="none"/>
        </w:rPr>
      </w:pPr>
    </w:p>
    <w:p w14:paraId="00565BD0">
      <w:pPr>
        <w:pStyle w:val="4"/>
        <w:keepNext w:val="0"/>
        <w:keepLines w:val="0"/>
        <w:pageBreakBefore/>
        <w:widowControl w:val="0"/>
        <w:kinsoku/>
        <w:wordWrap/>
        <w:overflowPunct/>
        <w:topLinePunct w:val="0"/>
        <w:autoSpaceDE/>
        <w:autoSpaceDN/>
        <w:bidi w:val="0"/>
        <w:adjustRightInd/>
        <w:snapToGrid/>
        <w:spacing w:line="360" w:lineRule="auto"/>
        <w:ind w:firstLine="562" w:firstLineChars="200"/>
        <w:textAlignment w:val="auto"/>
        <w:outlineLvl w:val="1"/>
        <w:rPr>
          <w:rFonts w:hAnsi="宋体"/>
          <w:b/>
          <w:color w:val="auto"/>
          <w:kern w:val="2"/>
          <w:sz w:val="28"/>
          <w:szCs w:val="28"/>
          <w:highlight w:val="none"/>
        </w:rPr>
      </w:pPr>
      <w:bookmarkStart w:id="110" w:name="_Toc9740"/>
      <w:r>
        <w:rPr>
          <w:rFonts w:hint="eastAsia" w:hAnsi="宋体"/>
          <w:b/>
          <w:color w:val="auto"/>
          <w:kern w:val="2"/>
          <w:sz w:val="28"/>
          <w:szCs w:val="28"/>
          <w:highlight w:val="none"/>
          <w:lang w:val="en-US" w:eastAsia="zh-CN"/>
        </w:rPr>
        <w:t>六</w:t>
      </w:r>
      <w:r>
        <w:rPr>
          <w:rFonts w:hint="eastAsia" w:hAnsi="宋体"/>
          <w:b/>
          <w:color w:val="auto"/>
          <w:kern w:val="2"/>
          <w:sz w:val="28"/>
          <w:szCs w:val="28"/>
          <w:highlight w:val="none"/>
        </w:rPr>
        <w:t>、投标人及其投标产品的相关资料和业绩证明材料</w:t>
      </w:r>
      <w:bookmarkEnd w:id="110"/>
    </w:p>
    <w:p w14:paraId="0BA18633">
      <w:pPr>
        <w:pStyle w:val="18"/>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Ansi="宋体"/>
          <w:color w:val="auto"/>
          <w:sz w:val="24"/>
          <w:szCs w:val="24"/>
          <w:highlight w:val="none"/>
        </w:rPr>
      </w:pPr>
      <w:r>
        <w:rPr>
          <w:rFonts w:hint="eastAsia" w:hAnsi="宋体"/>
          <w:color w:val="auto"/>
          <w:sz w:val="24"/>
          <w:szCs w:val="24"/>
          <w:highlight w:val="none"/>
        </w:rPr>
        <w:t xml:space="preserve">（1） </w:t>
      </w:r>
      <w:r>
        <w:rPr>
          <w:rFonts w:hint="eastAsia" w:hAnsi="宋体"/>
          <w:b/>
          <w:bCs/>
          <w:color w:val="auto"/>
          <w:sz w:val="24"/>
          <w:szCs w:val="24"/>
          <w:highlight w:val="none"/>
        </w:rPr>
        <w:t>产品说明书或公开发行的彩页（印刷版</w:t>
      </w:r>
      <w:r>
        <w:rPr>
          <w:rFonts w:hint="eastAsia" w:hAnsi="宋体"/>
          <w:b/>
          <w:bCs/>
          <w:color w:val="auto"/>
          <w:sz w:val="24"/>
          <w:szCs w:val="24"/>
          <w:highlight w:val="none"/>
          <w:lang w:eastAsia="zh-CN"/>
        </w:rPr>
        <w:t>原件彩色</w:t>
      </w:r>
      <w:r>
        <w:rPr>
          <w:rFonts w:hint="eastAsia" w:hAnsi="宋体"/>
          <w:b/>
          <w:bCs/>
          <w:color w:val="auto"/>
          <w:sz w:val="24"/>
          <w:szCs w:val="24"/>
          <w:highlight w:val="none"/>
        </w:rPr>
        <w:t>扫描件），如电子投标文件的技术参数与产品说明书或彩页（印刷版</w:t>
      </w:r>
      <w:r>
        <w:rPr>
          <w:rFonts w:hint="eastAsia" w:hAnsi="宋体"/>
          <w:b/>
          <w:bCs/>
          <w:color w:val="auto"/>
          <w:sz w:val="24"/>
          <w:szCs w:val="24"/>
          <w:highlight w:val="none"/>
          <w:lang w:eastAsia="zh-CN"/>
        </w:rPr>
        <w:t>原件彩色</w:t>
      </w:r>
      <w:r>
        <w:rPr>
          <w:rFonts w:hint="eastAsia" w:hAnsi="宋体"/>
          <w:b/>
          <w:bCs/>
          <w:color w:val="auto"/>
          <w:sz w:val="24"/>
          <w:szCs w:val="24"/>
          <w:highlight w:val="none"/>
        </w:rPr>
        <w:t>扫描件）不符，以产品说明书或彩页（印刷版</w:t>
      </w:r>
      <w:r>
        <w:rPr>
          <w:rFonts w:hint="eastAsia" w:hAnsi="宋体"/>
          <w:b/>
          <w:bCs/>
          <w:color w:val="auto"/>
          <w:sz w:val="24"/>
          <w:szCs w:val="24"/>
          <w:highlight w:val="none"/>
          <w:lang w:eastAsia="zh-CN"/>
        </w:rPr>
        <w:t>原件彩色</w:t>
      </w:r>
      <w:r>
        <w:rPr>
          <w:rFonts w:hint="eastAsia" w:hAnsi="宋体"/>
          <w:b/>
          <w:bCs/>
          <w:color w:val="auto"/>
          <w:sz w:val="24"/>
          <w:szCs w:val="24"/>
          <w:highlight w:val="none"/>
        </w:rPr>
        <w:t>扫描件）为准。</w:t>
      </w:r>
    </w:p>
    <w:p w14:paraId="490BE1A0">
      <w:pPr>
        <w:pStyle w:val="18"/>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Ansi="宋体"/>
          <w:color w:val="auto"/>
          <w:sz w:val="24"/>
          <w:szCs w:val="24"/>
          <w:highlight w:val="none"/>
        </w:rPr>
      </w:pPr>
      <w:r>
        <w:rPr>
          <w:rFonts w:hint="eastAsia" w:hAnsi="宋体"/>
          <w:color w:val="auto"/>
          <w:sz w:val="24"/>
          <w:szCs w:val="24"/>
          <w:highlight w:val="none"/>
        </w:rPr>
        <w:t>（2） 投标人认为有必要提供的其他有关资料</w:t>
      </w:r>
    </w:p>
    <w:p w14:paraId="5DAE88C6">
      <w:pPr>
        <w:pStyle w:val="18"/>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Ansi="宋体"/>
          <w:color w:val="auto"/>
          <w:sz w:val="24"/>
          <w:szCs w:val="24"/>
          <w:highlight w:val="none"/>
        </w:rPr>
      </w:pPr>
      <w:r>
        <w:rPr>
          <w:rFonts w:hint="eastAsia" w:hAnsi="宋体"/>
          <w:color w:val="auto"/>
          <w:sz w:val="24"/>
          <w:szCs w:val="24"/>
          <w:highlight w:val="none"/>
        </w:rPr>
        <w:t>（3） 业绩表</w:t>
      </w:r>
    </w:p>
    <w:p w14:paraId="392B8443">
      <w:pPr>
        <w:spacing w:before="0" w:after="0" w:line="360" w:lineRule="auto"/>
        <w:jc w:val="center"/>
        <w:outlineLvl w:val="9"/>
        <w:rPr>
          <w:rFonts w:ascii="宋体" w:hAnsi="宋体" w:eastAsia="宋体" w:cs="Arial"/>
          <w:bCs/>
          <w:color w:val="auto"/>
          <w:sz w:val="24"/>
          <w:szCs w:val="24"/>
          <w:highlight w:val="none"/>
        </w:rPr>
      </w:pPr>
      <w:r>
        <w:rPr>
          <w:rFonts w:hint="eastAsia" w:ascii="宋体" w:hAnsi="宋体" w:eastAsia="宋体" w:cs="Arial"/>
          <w:bCs/>
          <w:color w:val="auto"/>
          <w:sz w:val="24"/>
          <w:szCs w:val="24"/>
          <w:highlight w:val="none"/>
        </w:rPr>
        <w:t>投标人类似项目业绩一览表</w:t>
      </w:r>
    </w:p>
    <w:tbl>
      <w:tblPr>
        <w:tblStyle w:val="46"/>
        <w:tblW w:w="8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890"/>
        <w:gridCol w:w="699"/>
        <w:gridCol w:w="1122"/>
        <w:gridCol w:w="1316"/>
        <w:gridCol w:w="1025"/>
        <w:gridCol w:w="696"/>
        <w:gridCol w:w="2359"/>
      </w:tblGrid>
      <w:tr w14:paraId="15C12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0"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14:paraId="6116CD5C">
            <w:pPr>
              <w:snapToGrid w:val="0"/>
              <w:jc w:val="center"/>
              <w:rPr>
                <w:color w:val="auto"/>
                <w:sz w:val="24"/>
                <w:highlight w:val="none"/>
              </w:rPr>
            </w:pPr>
            <w:r>
              <w:rPr>
                <w:color w:val="auto"/>
                <w:sz w:val="24"/>
                <w:highlight w:val="none"/>
              </w:rPr>
              <w:t>序号</w:t>
            </w:r>
          </w:p>
        </w:tc>
        <w:tc>
          <w:tcPr>
            <w:tcW w:w="890" w:type="dxa"/>
            <w:tcBorders>
              <w:top w:val="single" w:color="auto" w:sz="4" w:space="0"/>
              <w:left w:val="single" w:color="auto" w:sz="4" w:space="0"/>
              <w:bottom w:val="single" w:color="auto" w:sz="4" w:space="0"/>
              <w:right w:val="single" w:color="auto" w:sz="4" w:space="0"/>
            </w:tcBorders>
            <w:vAlign w:val="center"/>
          </w:tcPr>
          <w:p w14:paraId="7A3B1844">
            <w:pPr>
              <w:snapToGrid w:val="0"/>
              <w:jc w:val="center"/>
              <w:rPr>
                <w:color w:val="auto"/>
                <w:sz w:val="24"/>
                <w:highlight w:val="none"/>
              </w:rPr>
            </w:pPr>
            <w:r>
              <w:rPr>
                <w:color w:val="auto"/>
                <w:sz w:val="24"/>
                <w:highlight w:val="none"/>
              </w:rPr>
              <w:t>用户单位名称</w:t>
            </w:r>
          </w:p>
        </w:tc>
        <w:tc>
          <w:tcPr>
            <w:tcW w:w="699" w:type="dxa"/>
            <w:tcBorders>
              <w:top w:val="single" w:color="auto" w:sz="4" w:space="0"/>
              <w:left w:val="single" w:color="auto" w:sz="4" w:space="0"/>
              <w:bottom w:val="single" w:color="auto" w:sz="4" w:space="0"/>
              <w:right w:val="single" w:color="auto" w:sz="4" w:space="0"/>
            </w:tcBorders>
            <w:vAlign w:val="center"/>
          </w:tcPr>
          <w:p w14:paraId="2A55204F">
            <w:pPr>
              <w:snapToGrid w:val="0"/>
              <w:jc w:val="center"/>
              <w:rPr>
                <w:color w:val="auto"/>
                <w:sz w:val="24"/>
                <w:highlight w:val="none"/>
              </w:rPr>
            </w:pPr>
            <w:r>
              <w:rPr>
                <w:color w:val="auto"/>
                <w:sz w:val="24"/>
                <w:highlight w:val="none"/>
              </w:rPr>
              <w:t>项目内容</w:t>
            </w:r>
          </w:p>
        </w:tc>
        <w:tc>
          <w:tcPr>
            <w:tcW w:w="1122" w:type="dxa"/>
            <w:tcBorders>
              <w:top w:val="single" w:color="auto" w:sz="4" w:space="0"/>
              <w:left w:val="single" w:color="auto" w:sz="4" w:space="0"/>
              <w:bottom w:val="single" w:color="auto" w:sz="4" w:space="0"/>
              <w:right w:val="single" w:color="auto" w:sz="4" w:space="0"/>
            </w:tcBorders>
            <w:vAlign w:val="center"/>
          </w:tcPr>
          <w:p w14:paraId="318F9E90">
            <w:pPr>
              <w:snapToGrid w:val="0"/>
              <w:jc w:val="center"/>
              <w:rPr>
                <w:color w:val="auto"/>
                <w:sz w:val="24"/>
                <w:highlight w:val="none"/>
              </w:rPr>
            </w:pPr>
            <w:r>
              <w:rPr>
                <w:color w:val="auto"/>
                <w:sz w:val="24"/>
                <w:highlight w:val="none"/>
              </w:rPr>
              <w:t>实施地点</w:t>
            </w:r>
          </w:p>
        </w:tc>
        <w:tc>
          <w:tcPr>
            <w:tcW w:w="1316" w:type="dxa"/>
            <w:tcBorders>
              <w:top w:val="single" w:color="auto" w:sz="4" w:space="0"/>
              <w:left w:val="single" w:color="auto" w:sz="4" w:space="0"/>
              <w:bottom w:val="single" w:color="auto" w:sz="4" w:space="0"/>
              <w:right w:val="single" w:color="auto" w:sz="4" w:space="0"/>
            </w:tcBorders>
            <w:vAlign w:val="center"/>
          </w:tcPr>
          <w:p w14:paraId="4098D345">
            <w:pPr>
              <w:snapToGrid w:val="0"/>
              <w:jc w:val="center"/>
              <w:rPr>
                <w:color w:val="auto"/>
                <w:sz w:val="24"/>
                <w:highlight w:val="none"/>
              </w:rPr>
            </w:pPr>
            <w:r>
              <w:rPr>
                <w:rFonts w:hint="eastAsia"/>
                <w:color w:val="auto"/>
                <w:sz w:val="24"/>
                <w:highlight w:val="none"/>
              </w:rPr>
              <w:t>用户</w:t>
            </w:r>
            <w:r>
              <w:rPr>
                <w:color w:val="auto"/>
                <w:sz w:val="24"/>
                <w:highlight w:val="none"/>
              </w:rPr>
              <w:t>联系人及联系方式</w:t>
            </w:r>
          </w:p>
        </w:tc>
        <w:tc>
          <w:tcPr>
            <w:tcW w:w="1025" w:type="dxa"/>
            <w:tcBorders>
              <w:top w:val="single" w:color="auto" w:sz="4" w:space="0"/>
              <w:left w:val="single" w:color="auto" w:sz="4" w:space="0"/>
              <w:bottom w:val="single" w:color="auto" w:sz="4" w:space="0"/>
              <w:right w:val="single" w:color="auto" w:sz="4" w:space="0"/>
            </w:tcBorders>
            <w:vAlign w:val="center"/>
          </w:tcPr>
          <w:p w14:paraId="26720607">
            <w:pPr>
              <w:snapToGrid w:val="0"/>
              <w:jc w:val="center"/>
              <w:rPr>
                <w:color w:val="auto"/>
                <w:sz w:val="24"/>
                <w:highlight w:val="none"/>
              </w:rPr>
            </w:pPr>
            <w:r>
              <w:rPr>
                <w:color w:val="auto"/>
                <w:sz w:val="24"/>
                <w:highlight w:val="none"/>
              </w:rPr>
              <w:t>项目起止时间</w:t>
            </w:r>
          </w:p>
        </w:tc>
        <w:tc>
          <w:tcPr>
            <w:tcW w:w="696" w:type="dxa"/>
            <w:tcBorders>
              <w:top w:val="single" w:color="auto" w:sz="4" w:space="0"/>
              <w:left w:val="single" w:color="auto" w:sz="4" w:space="0"/>
              <w:bottom w:val="single" w:color="auto" w:sz="4" w:space="0"/>
              <w:right w:val="single" w:color="auto" w:sz="4" w:space="0"/>
            </w:tcBorders>
            <w:vAlign w:val="center"/>
          </w:tcPr>
          <w:p w14:paraId="41D28E3E">
            <w:pPr>
              <w:snapToGrid w:val="0"/>
              <w:jc w:val="center"/>
              <w:rPr>
                <w:color w:val="auto"/>
                <w:sz w:val="24"/>
                <w:highlight w:val="none"/>
              </w:rPr>
            </w:pPr>
            <w:r>
              <w:rPr>
                <w:color w:val="auto"/>
                <w:sz w:val="24"/>
                <w:highlight w:val="none"/>
              </w:rPr>
              <w:t>合同金额</w:t>
            </w:r>
          </w:p>
        </w:tc>
        <w:tc>
          <w:tcPr>
            <w:tcW w:w="2359" w:type="dxa"/>
            <w:tcBorders>
              <w:top w:val="single" w:color="auto" w:sz="4" w:space="0"/>
              <w:left w:val="single" w:color="auto" w:sz="4" w:space="0"/>
              <w:bottom w:val="single" w:color="auto" w:sz="4" w:space="0"/>
              <w:right w:val="single" w:color="auto" w:sz="4" w:space="0"/>
            </w:tcBorders>
            <w:vAlign w:val="center"/>
          </w:tcPr>
          <w:p w14:paraId="2848EF8D">
            <w:pPr>
              <w:tabs>
                <w:tab w:val="left" w:pos="555"/>
                <w:tab w:val="left" w:pos="2214"/>
                <w:tab w:val="left" w:pos="3774"/>
                <w:tab w:val="left" w:pos="4854"/>
                <w:tab w:val="left" w:pos="5934"/>
                <w:tab w:val="left" w:pos="7014"/>
                <w:tab w:val="left" w:pos="8214"/>
                <w:tab w:val="left" w:pos="10134"/>
                <w:tab w:val="left" w:pos="11124"/>
              </w:tabs>
              <w:spacing w:line="360" w:lineRule="auto"/>
              <w:rPr>
                <w:color w:val="auto"/>
                <w:sz w:val="24"/>
                <w:highlight w:val="none"/>
              </w:rPr>
            </w:pPr>
            <w:r>
              <w:rPr>
                <w:rFonts w:hint="eastAsia"/>
                <w:color w:val="auto"/>
                <w:sz w:val="24"/>
                <w:highlight w:val="none"/>
              </w:rPr>
              <w:t>用户盖章的成功履行合同或</w:t>
            </w:r>
            <w:r>
              <w:rPr>
                <w:rFonts w:hint="eastAsia" w:hAnsi="宋体" w:cs="Arial"/>
                <w:color w:val="auto"/>
                <w:sz w:val="24"/>
                <w:szCs w:val="24"/>
                <w:highlight w:val="none"/>
              </w:rPr>
              <w:t>中标（成交）通知书</w:t>
            </w:r>
            <w:r>
              <w:rPr>
                <w:rFonts w:hint="eastAsia"/>
                <w:color w:val="auto"/>
                <w:sz w:val="24"/>
                <w:highlight w:val="none"/>
              </w:rPr>
              <w:t>的</w:t>
            </w:r>
            <w:r>
              <w:rPr>
                <w:rFonts w:hint="eastAsia"/>
                <w:color w:val="auto"/>
                <w:sz w:val="24"/>
                <w:highlight w:val="none"/>
                <w:lang w:eastAsia="zh-CN"/>
              </w:rPr>
              <w:t>原件彩色扫描件</w:t>
            </w:r>
            <w:r>
              <w:rPr>
                <w:rFonts w:hint="eastAsia" w:hAnsi="宋体" w:cs="Arial"/>
                <w:color w:val="auto"/>
                <w:sz w:val="24"/>
                <w:szCs w:val="24"/>
                <w:highlight w:val="none"/>
              </w:rPr>
              <w:t>等</w:t>
            </w:r>
            <w:r>
              <w:rPr>
                <w:rFonts w:hint="eastAsia"/>
                <w:color w:val="auto"/>
                <w:sz w:val="24"/>
                <w:highlight w:val="none"/>
              </w:rPr>
              <w:t>相关证明材料</w:t>
            </w:r>
            <w:r>
              <w:rPr>
                <w:rFonts w:hint="eastAsia"/>
                <w:bCs/>
                <w:color w:val="auto"/>
                <w:sz w:val="24"/>
                <w:highlight w:val="none"/>
              </w:rPr>
              <w:t>所在页码</w:t>
            </w:r>
          </w:p>
        </w:tc>
      </w:tr>
      <w:tr w14:paraId="25E44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Borders>
              <w:top w:val="single" w:color="auto" w:sz="4" w:space="0"/>
              <w:left w:val="single" w:color="auto" w:sz="4" w:space="0"/>
              <w:bottom w:val="single" w:color="auto" w:sz="4" w:space="0"/>
              <w:right w:val="single" w:color="auto" w:sz="4" w:space="0"/>
            </w:tcBorders>
            <w:vAlign w:val="center"/>
          </w:tcPr>
          <w:p w14:paraId="3DD01DC0">
            <w:pPr>
              <w:snapToGrid w:val="0"/>
              <w:jc w:val="center"/>
              <w:rPr>
                <w:color w:val="auto"/>
                <w:sz w:val="24"/>
                <w:highlight w:val="none"/>
              </w:rPr>
            </w:pPr>
          </w:p>
        </w:tc>
        <w:tc>
          <w:tcPr>
            <w:tcW w:w="890" w:type="dxa"/>
            <w:tcBorders>
              <w:top w:val="single" w:color="auto" w:sz="4" w:space="0"/>
              <w:left w:val="single" w:color="auto" w:sz="4" w:space="0"/>
              <w:bottom w:val="single" w:color="auto" w:sz="4" w:space="0"/>
              <w:right w:val="single" w:color="auto" w:sz="4" w:space="0"/>
            </w:tcBorders>
            <w:vAlign w:val="center"/>
          </w:tcPr>
          <w:p w14:paraId="53E138FA">
            <w:pPr>
              <w:snapToGrid w:val="0"/>
              <w:jc w:val="center"/>
              <w:rPr>
                <w:color w:val="auto"/>
                <w:sz w:val="24"/>
                <w:highlight w:val="none"/>
              </w:rPr>
            </w:pPr>
          </w:p>
        </w:tc>
        <w:tc>
          <w:tcPr>
            <w:tcW w:w="699" w:type="dxa"/>
            <w:tcBorders>
              <w:top w:val="single" w:color="auto" w:sz="4" w:space="0"/>
              <w:left w:val="single" w:color="auto" w:sz="4" w:space="0"/>
              <w:bottom w:val="single" w:color="auto" w:sz="4" w:space="0"/>
              <w:right w:val="single" w:color="auto" w:sz="4" w:space="0"/>
            </w:tcBorders>
            <w:vAlign w:val="center"/>
          </w:tcPr>
          <w:p w14:paraId="46697EB6">
            <w:pPr>
              <w:snapToGrid w:val="0"/>
              <w:jc w:val="center"/>
              <w:rPr>
                <w:color w:val="auto"/>
                <w:sz w:val="24"/>
                <w:highlight w:val="none"/>
              </w:rPr>
            </w:pPr>
          </w:p>
        </w:tc>
        <w:tc>
          <w:tcPr>
            <w:tcW w:w="1122" w:type="dxa"/>
            <w:tcBorders>
              <w:top w:val="single" w:color="auto" w:sz="4" w:space="0"/>
              <w:left w:val="single" w:color="auto" w:sz="4" w:space="0"/>
              <w:bottom w:val="single" w:color="auto" w:sz="4" w:space="0"/>
              <w:right w:val="single" w:color="auto" w:sz="4" w:space="0"/>
            </w:tcBorders>
            <w:vAlign w:val="center"/>
          </w:tcPr>
          <w:p w14:paraId="465D27B3">
            <w:pPr>
              <w:snapToGrid w:val="0"/>
              <w:jc w:val="center"/>
              <w:rPr>
                <w:color w:val="auto"/>
                <w:sz w:val="24"/>
                <w:highlight w:val="none"/>
              </w:rPr>
            </w:pPr>
          </w:p>
        </w:tc>
        <w:tc>
          <w:tcPr>
            <w:tcW w:w="1316" w:type="dxa"/>
            <w:tcBorders>
              <w:top w:val="single" w:color="auto" w:sz="4" w:space="0"/>
              <w:left w:val="single" w:color="auto" w:sz="4" w:space="0"/>
              <w:bottom w:val="single" w:color="auto" w:sz="4" w:space="0"/>
              <w:right w:val="single" w:color="auto" w:sz="4" w:space="0"/>
            </w:tcBorders>
            <w:vAlign w:val="center"/>
          </w:tcPr>
          <w:p w14:paraId="12F30EC4">
            <w:pPr>
              <w:snapToGrid w:val="0"/>
              <w:jc w:val="center"/>
              <w:rPr>
                <w:color w:val="auto"/>
                <w:sz w:val="24"/>
                <w:highlight w:val="none"/>
              </w:rPr>
            </w:pPr>
          </w:p>
        </w:tc>
        <w:tc>
          <w:tcPr>
            <w:tcW w:w="1025" w:type="dxa"/>
            <w:tcBorders>
              <w:top w:val="single" w:color="auto" w:sz="4" w:space="0"/>
              <w:left w:val="single" w:color="auto" w:sz="4" w:space="0"/>
              <w:bottom w:val="single" w:color="auto" w:sz="4" w:space="0"/>
              <w:right w:val="single" w:color="auto" w:sz="4" w:space="0"/>
            </w:tcBorders>
            <w:vAlign w:val="center"/>
          </w:tcPr>
          <w:p w14:paraId="6A66A520">
            <w:pPr>
              <w:snapToGrid w:val="0"/>
              <w:jc w:val="center"/>
              <w:rPr>
                <w:color w:val="auto"/>
                <w:sz w:val="24"/>
                <w:highlight w:val="none"/>
              </w:rPr>
            </w:pPr>
          </w:p>
        </w:tc>
        <w:tc>
          <w:tcPr>
            <w:tcW w:w="696" w:type="dxa"/>
            <w:tcBorders>
              <w:top w:val="single" w:color="auto" w:sz="4" w:space="0"/>
              <w:left w:val="single" w:color="auto" w:sz="4" w:space="0"/>
              <w:bottom w:val="single" w:color="auto" w:sz="4" w:space="0"/>
              <w:right w:val="single" w:color="auto" w:sz="4" w:space="0"/>
            </w:tcBorders>
            <w:vAlign w:val="center"/>
          </w:tcPr>
          <w:p w14:paraId="60C8E89C">
            <w:pPr>
              <w:snapToGrid w:val="0"/>
              <w:jc w:val="center"/>
              <w:rPr>
                <w:color w:val="auto"/>
                <w:sz w:val="24"/>
                <w:highlight w:val="none"/>
              </w:rPr>
            </w:pPr>
          </w:p>
        </w:tc>
        <w:tc>
          <w:tcPr>
            <w:tcW w:w="2359" w:type="dxa"/>
            <w:tcBorders>
              <w:top w:val="single" w:color="auto" w:sz="4" w:space="0"/>
              <w:left w:val="single" w:color="auto" w:sz="4" w:space="0"/>
              <w:bottom w:val="single" w:color="auto" w:sz="4" w:space="0"/>
              <w:right w:val="single" w:color="auto" w:sz="4" w:space="0"/>
            </w:tcBorders>
            <w:vAlign w:val="center"/>
          </w:tcPr>
          <w:p w14:paraId="0409B4B8">
            <w:pPr>
              <w:snapToGrid w:val="0"/>
              <w:jc w:val="center"/>
              <w:rPr>
                <w:color w:val="auto"/>
                <w:sz w:val="24"/>
                <w:highlight w:val="none"/>
              </w:rPr>
            </w:pPr>
          </w:p>
        </w:tc>
      </w:tr>
      <w:tr w14:paraId="56E0E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Borders>
              <w:top w:val="single" w:color="auto" w:sz="4" w:space="0"/>
              <w:left w:val="single" w:color="auto" w:sz="4" w:space="0"/>
              <w:bottom w:val="single" w:color="auto" w:sz="4" w:space="0"/>
              <w:right w:val="single" w:color="auto" w:sz="4" w:space="0"/>
            </w:tcBorders>
            <w:vAlign w:val="center"/>
          </w:tcPr>
          <w:p w14:paraId="20AE0CA1">
            <w:pPr>
              <w:snapToGrid w:val="0"/>
              <w:jc w:val="center"/>
              <w:rPr>
                <w:color w:val="auto"/>
                <w:sz w:val="24"/>
                <w:highlight w:val="none"/>
              </w:rPr>
            </w:pPr>
          </w:p>
        </w:tc>
        <w:tc>
          <w:tcPr>
            <w:tcW w:w="890" w:type="dxa"/>
            <w:tcBorders>
              <w:top w:val="single" w:color="auto" w:sz="4" w:space="0"/>
              <w:left w:val="single" w:color="auto" w:sz="4" w:space="0"/>
              <w:bottom w:val="single" w:color="auto" w:sz="4" w:space="0"/>
              <w:right w:val="single" w:color="auto" w:sz="4" w:space="0"/>
            </w:tcBorders>
            <w:vAlign w:val="center"/>
          </w:tcPr>
          <w:p w14:paraId="47528ECB">
            <w:pPr>
              <w:snapToGrid w:val="0"/>
              <w:jc w:val="center"/>
              <w:rPr>
                <w:color w:val="auto"/>
                <w:sz w:val="24"/>
                <w:highlight w:val="none"/>
              </w:rPr>
            </w:pPr>
          </w:p>
        </w:tc>
        <w:tc>
          <w:tcPr>
            <w:tcW w:w="699" w:type="dxa"/>
            <w:tcBorders>
              <w:top w:val="single" w:color="auto" w:sz="4" w:space="0"/>
              <w:left w:val="single" w:color="auto" w:sz="4" w:space="0"/>
              <w:bottom w:val="single" w:color="auto" w:sz="4" w:space="0"/>
              <w:right w:val="single" w:color="auto" w:sz="4" w:space="0"/>
            </w:tcBorders>
            <w:vAlign w:val="center"/>
          </w:tcPr>
          <w:p w14:paraId="1F474C02">
            <w:pPr>
              <w:snapToGrid w:val="0"/>
              <w:jc w:val="center"/>
              <w:rPr>
                <w:color w:val="auto"/>
                <w:sz w:val="24"/>
                <w:highlight w:val="none"/>
              </w:rPr>
            </w:pPr>
          </w:p>
        </w:tc>
        <w:tc>
          <w:tcPr>
            <w:tcW w:w="1122" w:type="dxa"/>
            <w:tcBorders>
              <w:top w:val="single" w:color="auto" w:sz="4" w:space="0"/>
              <w:left w:val="single" w:color="auto" w:sz="4" w:space="0"/>
              <w:bottom w:val="single" w:color="auto" w:sz="4" w:space="0"/>
              <w:right w:val="single" w:color="auto" w:sz="4" w:space="0"/>
            </w:tcBorders>
            <w:vAlign w:val="center"/>
          </w:tcPr>
          <w:p w14:paraId="3560455B">
            <w:pPr>
              <w:snapToGrid w:val="0"/>
              <w:jc w:val="center"/>
              <w:rPr>
                <w:color w:val="auto"/>
                <w:sz w:val="24"/>
                <w:highlight w:val="none"/>
              </w:rPr>
            </w:pPr>
          </w:p>
        </w:tc>
        <w:tc>
          <w:tcPr>
            <w:tcW w:w="1316" w:type="dxa"/>
            <w:tcBorders>
              <w:top w:val="single" w:color="auto" w:sz="4" w:space="0"/>
              <w:left w:val="single" w:color="auto" w:sz="4" w:space="0"/>
              <w:bottom w:val="single" w:color="auto" w:sz="4" w:space="0"/>
              <w:right w:val="single" w:color="auto" w:sz="4" w:space="0"/>
            </w:tcBorders>
            <w:vAlign w:val="center"/>
          </w:tcPr>
          <w:p w14:paraId="6939B81C">
            <w:pPr>
              <w:snapToGrid w:val="0"/>
              <w:jc w:val="center"/>
              <w:rPr>
                <w:color w:val="auto"/>
                <w:sz w:val="24"/>
                <w:highlight w:val="none"/>
              </w:rPr>
            </w:pPr>
          </w:p>
        </w:tc>
        <w:tc>
          <w:tcPr>
            <w:tcW w:w="1025" w:type="dxa"/>
            <w:tcBorders>
              <w:top w:val="single" w:color="auto" w:sz="4" w:space="0"/>
              <w:left w:val="single" w:color="auto" w:sz="4" w:space="0"/>
              <w:bottom w:val="single" w:color="auto" w:sz="4" w:space="0"/>
              <w:right w:val="single" w:color="auto" w:sz="4" w:space="0"/>
            </w:tcBorders>
            <w:vAlign w:val="center"/>
          </w:tcPr>
          <w:p w14:paraId="46A4FAB8">
            <w:pPr>
              <w:snapToGrid w:val="0"/>
              <w:jc w:val="center"/>
              <w:rPr>
                <w:color w:val="auto"/>
                <w:sz w:val="24"/>
                <w:highlight w:val="none"/>
              </w:rPr>
            </w:pPr>
          </w:p>
        </w:tc>
        <w:tc>
          <w:tcPr>
            <w:tcW w:w="696" w:type="dxa"/>
            <w:tcBorders>
              <w:top w:val="single" w:color="auto" w:sz="4" w:space="0"/>
              <w:left w:val="single" w:color="auto" w:sz="4" w:space="0"/>
              <w:bottom w:val="single" w:color="auto" w:sz="4" w:space="0"/>
              <w:right w:val="single" w:color="auto" w:sz="4" w:space="0"/>
            </w:tcBorders>
            <w:vAlign w:val="center"/>
          </w:tcPr>
          <w:p w14:paraId="415FF0CD">
            <w:pPr>
              <w:snapToGrid w:val="0"/>
              <w:jc w:val="center"/>
              <w:rPr>
                <w:color w:val="auto"/>
                <w:sz w:val="24"/>
                <w:highlight w:val="none"/>
              </w:rPr>
            </w:pPr>
          </w:p>
        </w:tc>
        <w:tc>
          <w:tcPr>
            <w:tcW w:w="2359" w:type="dxa"/>
            <w:tcBorders>
              <w:top w:val="single" w:color="auto" w:sz="4" w:space="0"/>
              <w:left w:val="single" w:color="auto" w:sz="4" w:space="0"/>
              <w:bottom w:val="single" w:color="auto" w:sz="4" w:space="0"/>
              <w:right w:val="single" w:color="auto" w:sz="4" w:space="0"/>
            </w:tcBorders>
            <w:vAlign w:val="center"/>
          </w:tcPr>
          <w:p w14:paraId="4F96994C">
            <w:pPr>
              <w:snapToGrid w:val="0"/>
              <w:jc w:val="center"/>
              <w:rPr>
                <w:color w:val="auto"/>
                <w:sz w:val="24"/>
                <w:highlight w:val="none"/>
              </w:rPr>
            </w:pPr>
          </w:p>
        </w:tc>
      </w:tr>
      <w:tr w14:paraId="7D0F1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Borders>
              <w:top w:val="single" w:color="auto" w:sz="4" w:space="0"/>
              <w:left w:val="single" w:color="auto" w:sz="4" w:space="0"/>
              <w:bottom w:val="single" w:color="auto" w:sz="4" w:space="0"/>
              <w:right w:val="single" w:color="auto" w:sz="4" w:space="0"/>
            </w:tcBorders>
            <w:vAlign w:val="center"/>
          </w:tcPr>
          <w:p w14:paraId="332C70EE">
            <w:pPr>
              <w:snapToGrid w:val="0"/>
              <w:jc w:val="center"/>
              <w:rPr>
                <w:color w:val="auto"/>
                <w:sz w:val="24"/>
                <w:highlight w:val="none"/>
              </w:rPr>
            </w:pPr>
          </w:p>
        </w:tc>
        <w:tc>
          <w:tcPr>
            <w:tcW w:w="890" w:type="dxa"/>
            <w:tcBorders>
              <w:top w:val="single" w:color="auto" w:sz="4" w:space="0"/>
              <w:left w:val="single" w:color="auto" w:sz="4" w:space="0"/>
              <w:bottom w:val="single" w:color="auto" w:sz="4" w:space="0"/>
              <w:right w:val="single" w:color="auto" w:sz="4" w:space="0"/>
            </w:tcBorders>
            <w:vAlign w:val="center"/>
          </w:tcPr>
          <w:p w14:paraId="76F9E518">
            <w:pPr>
              <w:snapToGrid w:val="0"/>
              <w:jc w:val="center"/>
              <w:rPr>
                <w:color w:val="auto"/>
                <w:sz w:val="24"/>
                <w:highlight w:val="none"/>
              </w:rPr>
            </w:pPr>
          </w:p>
        </w:tc>
        <w:tc>
          <w:tcPr>
            <w:tcW w:w="699" w:type="dxa"/>
            <w:tcBorders>
              <w:top w:val="single" w:color="auto" w:sz="4" w:space="0"/>
              <w:left w:val="single" w:color="auto" w:sz="4" w:space="0"/>
              <w:bottom w:val="single" w:color="auto" w:sz="4" w:space="0"/>
              <w:right w:val="single" w:color="auto" w:sz="4" w:space="0"/>
            </w:tcBorders>
            <w:vAlign w:val="center"/>
          </w:tcPr>
          <w:p w14:paraId="3DF716CD">
            <w:pPr>
              <w:snapToGrid w:val="0"/>
              <w:jc w:val="center"/>
              <w:rPr>
                <w:color w:val="auto"/>
                <w:sz w:val="24"/>
                <w:highlight w:val="none"/>
              </w:rPr>
            </w:pPr>
          </w:p>
        </w:tc>
        <w:tc>
          <w:tcPr>
            <w:tcW w:w="1122" w:type="dxa"/>
            <w:tcBorders>
              <w:top w:val="single" w:color="auto" w:sz="4" w:space="0"/>
              <w:left w:val="single" w:color="auto" w:sz="4" w:space="0"/>
              <w:bottom w:val="single" w:color="auto" w:sz="4" w:space="0"/>
              <w:right w:val="single" w:color="auto" w:sz="4" w:space="0"/>
            </w:tcBorders>
            <w:vAlign w:val="center"/>
          </w:tcPr>
          <w:p w14:paraId="2286992F">
            <w:pPr>
              <w:snapToGrid w:val="0"/>
              <w:jc w:val="center"/>
              <w:rPr>
                <w:color w:val="auto"/>
                <w:sz w:val="24"/>
                <w:highlight w:val="none"/>
              </w:rPr>
            </w:pPr>
          </w:p>
        </w:tc>
        <w:tc>
          <w:tcPr>
            <w:tcW w:w="1316" w:type="dxa"/>
            <w:tcBorders>
              <w:top w:val="single" w:color="auto" w:sz="4" w:space="0"/>
              <w:left w:val="single" w:color="auto" w:sz="4" w:space="0"/>
              <w:bottom w:val="single" w:color="auto" w:sz="4" w:space="0"/>
              <w:right w:val="single" w:color="auto" w:sz="4" w:space="0"/>
            </w:tcBorders>
            <w:vAlign w:val="center"/>
          </w:tcPr>
          <w:p w14:paraId="5C78F7E7">
            <w:pPr>
              <w:snapToGrid w:val="0"/>
              <w:jc w:val="center"/>
              <w:rPr>
                <w:color w:val="auto"/>
                <w:sz w:val="24"/>
                <w:highlight w:val="none"/>
              </w:rPr>
            </w:pPr>
          </w:p>
        </w:tc>
        <w:tc>
          <w:tcPr>
            <w:tcW w:w="1025" w:type="dxa"/>
            <w:tcBorders>
              <w:top w:val="single" w:color="auto" w:sz="4" w:space="0"/>
              <w:left w:val="single" w:color="auto" w:sz="4" w:space="0"/>
              <w:bottom w:val="single" w:color="auto" w:sz="4" w:space="0"/>
              <w:right w:val="single" w:color="auto" w:sz="4" w:space="0"/>
            </w:tcBorders>
            <w:vAlign w:val="center"/>
          </w:tcPr>
          <w:p w14:paraId="61C40FF3">
            <w:pPr>
              <w:snapToGrid w:val="0"/>
              <w:jc w:val="center"/>
              <w:rPr>
                <w:color w:val="auto"/>
                <w:sz w:val="24"/>
                <w:highlight w:val="none"/>
              </w:rPr>
            </w:pPr>
          </w:p>
        </w:tc>
        <w:tc>
          <w:tcPr>
            <w:tcW w:w="696" w:type="dxa"/>
            <w:tcBorders>
              <w:top w:val="single" w:color="auto" w:sz="4" w:space="0"/>
              <w:left w:val="single" w:color="auto" w:sz="4" w:space="0"/>
              <w:bottom w:val="single" w:color="auto" w:sz="4" w:space="0"/>
              <w:right w:val="single" w:color="auto" w:sz="4" w:space="0"/>
            </w:tcBorders>
            <w:vAlign w:val="center"/>
          </w:tcPr>
          <w:p w14:paraId="5350C443">
            <w:pPr>
              <w:snapToGrid w:val="0"/>
              <w:jc w:val="center"/>
              <w:rPr>
                <w:color w:val="auto"/>
                <w:sz w:val="24"/>
                <w:highlight w:val="none"/>
              </w:rPr>
            </w:pPr>
          </w:p>
        </w:tc>
        <w:tc>
          <w:tcPr>
            <w:tcW w:w="2359" w:type="dxa"/>
            <w:tcBorders>
              <w:top w:val="single" w:color="auto" w:sz="4" w:space="0"/>
              <w:left w:val="single" w:color="auto" w:sz="4" w:space="0"/>
              <w:bottom w:val="single" w:color="auto" w:sz="4" w:space="0"/>
              <w:right w:val="single" w:color="auto" w:sz="4" w:space="0"/>
            </w:tcBorders>
            <w:vAlign w:val="center"/>
          </w:tcPr>
          <w:p w14:paraId="760A0969">
            <w:pPr>
              <w:snapToGrid w:val="0"/>
              <w:jc w:val="center"/>
              <w:rPr>
                <w:color w:val="auto"/>
                <w:sz w:val="24"/>
                <w:highlight w:val="none"/>
              </w:rPr>
            </w:pPr>
          </w:p>
        </w:tc>
      </w:tr>
      <w:tr w14:paraId="71E30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Borders>
              <w:top w:val="single" w:color="auto" w:sz="4" w:space="0"/>
              <w:left w:val="single" w:color="auto" w:sz="4" w:space="0"/>
              <w:bottom w:val="single" w:color="auto" w:sz="4" w:space="0"/>
              <w:right w:val="single" w:color="auto" w:sz="4" w:space="0"/>
            </w:tcBorders>
            <w:vAlign w:val="center"/>
          </w:tcPr>
          <w:p w14:paraId="794EDEBD">
            <w:pPr>
              <w:snapToGrid w:val="0"/>
              <w:jc w:val="center"/>
              <w:rPr>
                <w:color w:val="auto"/>
                <w:sz w:val="24"/>
                <w:highlight w:val="none"/>
              </w:rPr>
            </w:pPr>
          </w:p>
        </w:tc>
        <w:tc>
          <w:tcPr>
            <w:tcW w:w="890" w:type="dxa"/>
            <w:tcBorders>
              <w:top w:val="single" w:color="auto" w:sz="4" w:space="0"/>
              <w:left w:val="single" w:color="auto" w:sz="4" w:space="0"/>
              <w:bottom w:val="single" w:color="auto" w:sz="4" w:space="0"/>
              <w:right w:val="single" w:color="auto" w:sz="4" w:space="0"/>
            </w:tcBorders>
            <w:vAlign w:val="center"/>
          </w:tcPr>
          <w:p w14:paraId="37A546A0">
            <w:pPr>
              <w:snapToGrid w:val="0"/>
              <w:jc w:val="center"/>
              <w:rPr>
                <w:color w:val="auto"/>
                <w:sz w:val="24"/>
                <w:highlight w:val="none"/>
              </w:rPr>
            </w:pPr>
          </w:p>
        </w:tc>
        <w:tc>
          <w:tcPr>
            <w:tcW w:w="699" w:type="dxa"/>
            <w:tcBorders>
              <w:top w:val="single" w:color="auto" w:sz="4" w:space="0"/>
              <w:left w:val="single" w:color="auto" w:sz="4" w:space="0"/>
              <w:bottom w:val="single" w:color="auto" w:sz="4" w:space="0"/>
              <w:right w:val="single" w:color="auto" w:sz="4" w:space="0"/>
            </w:tcBorders>
            <w:vAlign w:val="center"/>
          </w:tcPr>
          <w:p w14:paraId="5150691D">
            <w:pPr>
              <w:snapToGrid w:val="0"/>
              <w:jc w:val="center"/>
              <w:rPr>
                <w:color w:val="auto"/>
                <w:sz w:val="24"/>
                <w:highlight w:val="none"/>
              </w:rPr>
            </w:pPr>
          </w:p>
        </w:tc>
        <w:tc>
          <w:tcPr>
            <w:tcW w:w="1122" w:type="dxa"/>
            <w:tcBorders>
              <w:top w:val="single" w:color="auto" w:sz="4" w:space="0"/>
              <w:left w:val="single" w:color="auto" w:sz="4" w:space="0"/>
              <w:bottom w:val="single" w:color="auto" w:sz="4" w:space="0"/>
              <w:right w:val="single" w:color="auto" w:sz="4" w:space="0"/>
            </w:tcBorders>
            <w:vAlign w:val="center"/>
          </w:tcPr>
          <w:p w14:paraId="393A6CD8">
            <w:pPr>
              <w:snapToGrid w:val="0"/>
              <w:jc w:val="center"/>
              <w:rPr>
                <w:color w:val="auto"/>
                <w:sz w:val="24"/>
                <w:highlight w:val="none"/>
              </w:rPr>
            </w:pPr>
          </w:p>
        </w:tc>
        <w:tc>
          <w:tcPr>
            <w:tcW w:w="1316" w:type="dxa"/>
            <w:tcBorders>
              <w:top w:val="single" w:color="auto" w:sz="4" w:space="0"/>
              <w:left w:val="single" w:color="auto" w:sz="4" w:space="0"/>
              <w:bottom w:val="single" w:color="auto" w:sz="4" w:space="0"/>
              <w:right w:val="single" w:color="auto" w:sz="4" w:space="0"/>
            </w:tcBorders>
            <w:vAlign w:val="center"/>
          </w:tcPr>
          <w:p w14:paraId="20B9119A">
            <w:pPr>
              <w:snapToGrid w:val="0"/>
              <w:jc w:val="center"/>
              <w:rPr>
                <w:color w:val="auto"/>
                <w:sz w:val="24"/>
                <w:highlight w:val="none"/>
              </w:rPr>
            </w:pPr>
          </w:p>
        </w:tc>
        <w:tc>
          <w:tcPr>
            <w:tcW w:w="1025" w:type="dxa"/>
            <w:tcBorders>
              <w:top w:val="single" w:color="auto" w:sz="4" w:space="0"/>
              <w:left w:val="single" w:color="auto" w:sz="4" w:space="0"/>
              <w:bottom w:val="single" w:color="auto" w:sz="4" w:space="0"/>
              <w:right w:val="single" w:color="auto" w:sz="4" w:space="0"/>
            </w:tcBorders>
            <w:vAlign w:val="center"/>
          </w:tcPr>
          <w:p w14:paraId="104BF3DD">
            <w:pPr>
              <w:snapToGrid w:val="0"/>
              <w:jc w:val="center"/>
              <w:rPr>
                <w:color w:val="auto"/>
                <w:sz w:val="24"/>
                <w:highlight w:val="none"/>
              </w:rPr>
            </w:pPr>
          </w:p>
        </w:tc>
        <w:tc>
          <w:tcPr>
            <w:tcW w:w="696" w:type="dxa"/>
            <w:tcBorders>
              <w:top w:val="single" w:color="auto" w:sz="4" w:space="0"/>
              <w:left w:val="single" w:color="auto" w:sz="4" w:space="0"/>
              <w:bottom w:val="single" w:color="auto" w:sz="4" w:space="0"/>
              <w:right w:val="single" w:color="auto" w:sz="4" w:space="0"/>
            </w:tcBorders>
            <w:vAlign w:val="center"/>
          </w:tcPr>
          <w:p w14:paraId="7FCAF596">
            <w:pPr>
              <w:snapToGrid w:val="0"/>
              <w:jc w:val="center"/>
              <w:rPr>
                <w:color w:val="auto"/>
                <w:sz w:val="24"/>
                <w:highlight w:val="none"/>
              </w:rPr>
            </w:pPr>
          </w:p>
        </w:tc>
        <w:tc>
          <w:tcPr>
            <w:tcW w:w="2359" w:type="dxa"/>
            <w:tcBorders>
              <w:top w:val="single" w:color="auto" w:sz="4" w:space="0"/>
              <w:left w:val="single" w:color="auto" w:sz="4" w:space="0"/>
              <w:bottom w:val="single" w:color="auto" w:sz="4" w:space="0"/>
              <w:right w:val="single" w:color="auto" w:sz="4" w:space="0"/>
            </w:tcBorders>
            <w:vAlign w:val="center"/>
          </w:tcPr>
          <w:p w14:paraId="15B202C0">
            <w:pPr>
              <w:snapToGrid w:val="0"/>
              <w:jc w:val="center"/>
              <w:rPr>
                <w:color w:val="auto"/>
                <w:sz w:val="24"/>
                <w:highlight w:val="none"/>
              </w:rPr>
            </w:pPr>
          </w:p>
        </w:tc>
      </w:tr>
      <w:tr w14:paraId="48E8D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Borders>
              <w:top w:val="single" w:color="auto" w:sz="4" w:space="0"/>
              <w:left w:val="single" w:color="auto" w:sz="4" w:space="0"/>
              <w:bottom w:val="single" w:color="auto" w:sz="4" w:space="0"/>
              <w:right w:val="single" w:color="auto" w:sz="4" w:space="0"/>
            </w:tcBorders>
            <w:vAlign w:val="center"/>
          </w:tcPr>
          <w:p w14:paraId="238D3C1E">
            <w:pPr>
              <w:snapToGrid w:val="0"/>
              <w:jc w:val="center"/>
              <w:rPr>
                <w:color w:val="auto"/>
                <w:sz w:val="24"/>
                <w:highlight w:val="none"/>
              </w:rPr>
            </w:pPr>
          </w:p>
        </w:tc>
        <w:tc>
          <w:tcPr>
            <w:tcW w:w="890" w:type="dxa"/>
            <w:tcBorders>
              <w:top w:val="single" w:color="auto" w:sz="4" w:space="0"/>
              <w:left w:val="single" w:color="auto" w:sz="4" w:space="0"/>
              <w:bottom w:val="single" w:color="auto" w:sz="4" w:space="0"/>
              <w:right w:val="single" w:color="auto" w:sz="4" w:space="0"/>
            </w:tcBorders>
            <w:vAlign w:val="center"/>
          </w:tcPr>
          <w:p w14:paraId="5D723FD5">
            <w:pPr>
              <w:snapToGrid w:val="0"/>
              <w:jc w:val="center"/>
              <w:rPr>
                <w:color w:val="auto"/>
                <w:sz w:val="24"/>
                <w:highlight w:val="none"/>
              </w:rPr>
            </w:pPr>
          </w:p>
        </w:tc>
        <w:tc>
          <w:tcPr>
            <w:tcW w:w="699" w:type="dxa"/>
            <w:tcBorders>
              <w:top w:val="single" w:color="auto" w:sz="4" w:space="0"/>
              <w:left w:val="single" w:color="auto" w:sz="4" w:space="0"/>
              <w:bottom w:val="single" w:color="auto" w:sz="4" w:space="0"/>
              <w:right w:val="single" w:color="auto" w:sz="4" w:space="0"/>
            </w:tcBorders>
            <w:vAlign w:val="center"/>
          </w:tcPr>
          <w:p w14:paraId="35991F2F">
            <w:pPr>
              <w:snapToGrid w:val="0"/>
              <w:jc w:val="center"/>
              <w:rPr>
                <w:color w:val="auto"/>
                <w:sz w:val="24"/>
                <w:highlight w:val="none"/>
              </w:rPr>
            </w:pPr>
          </w:p>
        </w:tc>
        <w:tc>
          <w:tcPr>
            <w:tcW w:w="1122" w:type="dxa"/>
            <w:tcBorders>
              <w:top w:val="single" w:color="auto" w:sz="4" w:space="0"/>
              <w:left w:val="single" w:color="auto" w:sz="4" w:space="0"/>
              <w:bottom w:val="single" w:color="auto" w:sz="4" w:space="0"/>
              <w:right w:val="single" w:color="auto" w:sz="4" w:space="0"/>
            </w:tcBorders>
            <w:vAlign w:val="center"/>
          </w:tcPr>
          <w:p w14:paraId="1A27ABEE">
            <w:pPr>
              <w:snapToGrid w:val="0"/>
              <w:jc w:val="center"/>
              <w:rPr>
                <w:color w:val="auto"/>
                <w:sz w:val="24"/>
                <w:highlight w:val="none"/>
              </w:rPr>
            </w:pPr>
          </w:p>
        </w:tc>
        <w:tc>
          <w:tcPr>
            <w:tcW w:w="1316" w:type="dxa"/>
            <w:tcBorders>
              <w:top w:val="single" w:color="auto" w:sz="4" w:space="0"/>
              <w:left w:val="single" w:color="auto" w:sz="4" w:space="0"/>
              <w:bottom w:val="single" w:color="auto" w:sz="4" w:space="0"/>
              <w:right w:val="single" w:color="auto" w:sz="4" w:space="0"/>
            </w:tcBorders>
            <w:vAlign w:val="center"/>
          </w:tcPr>
          <w:p w14:paraId="3C7C6E36">
            <w:pPr>
              <w:snapToGrid w:val="0"/>
              <w:jc w:val="center"/>
              <w:rPr>
                <w:color w:val="auto"/>
                <w:sz w:val="24"/>
                <w:highlight w:val="none"/>
              </w:rPr>
            </w:pPr>
          </w:p>
        </w:tc>
        <w:tc>
          <w:tcPr>
            <w:tcW w:w="1025" w:type="dxa"/>
            <w:tcBorders>
              <w:top w:val="single" w:color="auto" w:sz="4" w:space="0"/>
              <w:left w:val="single" w:color="auto" w:sz="4" w:space="0"/>
              <w:bottom w:val="single" w:color="auto" w:sz="4" w:space="0"/>
              <w:right w:val="single" w:color="auto" w:sz="4" w:space="0"/>
            </w:tcBorders>
            <w:vAlign w:val="center"/>
          </w:tcPr>
          <w:p w14:paraId="28454333">
            <w:pPr>
              <w:snapToGrid w:val="0"/>
              <w:jc w:val="center"/>
              <w:rPr>
                <w:color w:val="auto"/>
                <w:sz w:val="24"/>
                <w:highlight w:val="none"/>
              </w:rPr>
            </w:pPr>
          </w:p>
        </w:tc>
        <w:tc>
          <w:tcPr>
            <w:tcW w:w="696" w:type="dxa"/>
            <w:tcBorders>
              <w:top w:val="single" w:color="auto" w:sz="4" w:space="0"/>
              <w:left w:val="single" w:color="auto" w:sz="4" w:space="0"/>
              <w:bottom w:val="single" w:color="auto" w:sz="4" w:space="0"/>
              <w:right w:val="single" w:color="auto" w:sz="4" w:space="0"/>
            </w:tcBorders>
            <w:vAlign w:val="center"/>
          </w:tcPr>
          <w:p w14:paraId="40A9DD78">
            <w:pPr>
              <w:snapToGrid w:val="0"/>
              <w:jc w:val="center"/>
              <w:rPr>
                <w:color w:val="auto"/>
                <w:sz w:val="24"/>
                <w:highlight w:val="none"/>
              </w:rPr>
            </w:pPr>
          </w:p>
        </w:tc>
        <w:tc>
          <w:tcPr>
            <w:tcW w:w="2359" w:type="dxa"/>
            <w:tcBorders>
              <w:top w:val="single" w:color="auto" w:sz="4" w:space="0"/>
              <w:left w:val="single" w:color="auto" w:sz="4" w:space="0"/>
              <w:bottom w:val="single" w:color="auto" w:sz="4" w:space="0"/>
              <w:right w:val="single" w:color="auto" w:sz="4" w:space="0"/>
            </w:tcBorders>
            <w:vAlign w:val="center"/>
          </w:tcPr>
          <w:p w14:paraId="75F829F4">
            <w:pPr>
              <w:snapToGrid w:val="0"/>
              <w:jc w:val="center"/>
              <w:rPr>
                <w:color w:val="auto"/>
                <w:sz w:val="24"/>
                <w:highlight w:val="none"/>
              </w:rPr>
            </w:pPr>
          </w:p>
        </w:tc>
      </w:tr>
      <w:tr w14:paraId="31DDF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Borders>
              <w:top w:val="single" w:color="auto" w:sz="4" w:space="0"/>
              <w:left w:val="single" w:color="auto" w:sz="4" w:space="0"/>
              <w:bottom w:val="single" w:color="auto" w:sz="4" w:space="0"/>
              <w:right w:val="single" w:color="auto" w:sz="4" w:space="0"/>
            </w:tcBorders>
            <w:vAlign w:val="center"/>
          </w:tcPr>
          <w:p w14:paraId="01810966">
            <w:pPr>
              <w:snapToGrid w:val="0"/>
              <w:jc w:val="center"/>
              <w:rPr>
                <w:color w:val="auto"/>
                <w:sz w:val="24"/>
                <w:highlight w:val="none"/>
              </w:rPr>
            </w:pPr>
          </w:p>
        </w:tc>
        <w:tc>
          <w:tcPr>
            <w:tcW w:w="890" w:type="dxa"/>
            <w:tcBorders>
              <w:top w:val="single" w:color="auto" w:sz="4" w:space="0"/>
              <w:left w:val="single" w:color="auto" w:sz="4" w:space="0"/>
              <w:bottom w:val="single" w:color="auto" w:sz="4" w:space="0"/>
              <w:right w:val="single" w:color="auto" w:sz="4" w:space="0"/>
            </w:tcBorders>
            <w:vAlign w:val="center"/>
          </w:tcPr>
          <w:p w14:paraId="5005776A">
            <w:pPr>
              <w:snapToGrid w:val="0"/>
              <w:jc w:val="center"/>
              <w:rPr>
                <w:color w:val="auto"/>
                <w:sz w:val="24"/>
                <w:highlight w:val="none"/>
              </w:rPr>
            </w:pPr>
          </w:p>
        </w:tc>
        <w:tc>
          <w:tcPr>
            <w:tcW w:w="699" w:type="dxa"/>
            <w:tcBorders>
              <w:top w:val="single" w:color="auto" w:sz="4" w:space="0"/>
              <w:left w:val="single" w:color="auto" w:sz="4" w:space="0"/>
              <w:bottom w:val="single" w:color="auto" w:sz="4" w:space="0"/>
              <w:right w:val="single" w:color="auto" w:sz="4" w:space="0"/>
            </w:tcBorders>
            <w:vAlign w:val="center"/>
          </w:tcPr>
          <w:p w14:paraId="3028247A">
            <w:pPr>
              <w:snapToGrid w:val="0"/>
              <w:jc w:val="center"/>
              <w:rPr>
                <w:color w:val="auto"/>
                <w:sz w:val="24"/>
                <w:highlight w:val="none"/>
              </w:rPr>
            </w:pPr>
          </w:p>
        </w:tc>
        <w:tc>
          <w:tcPr>
            <w:tcW w:w="1122" w:type="dxa"/>
            <w:tcBorders>
              <w:top w:val="single" w:color="auto" w:sz="4" w:space="0"/>
              <w:left w:val="single" w:color="auto" w:sz="4" w:space="0"/>
              <w:bottom w:val="single" w:color="auto" w:sz="4" w:space="0"/>
              <w:right w:val="single" w:color="auto" w:sz="4" w:space="0"/>
            </w:tcBorders>
            <w:vAlign w:val="center"/>
          </w:tcPr>
          <w:p w14:paraId="0D50BD27">
            <w:pPr>
              <w:snapToGrid w:val="0"/>
              <w:jc w:val="center"/>
              <w:rPr>
                <w:color w:val="auto"/>
                <w:sz w:val="24"/>
                <w:highlight w:val="none"/>
              </w:rPr>
            </w:pPr>
          </w:p>
        </w:tc>
        <w:tc>
          <w:tcPr>
            <w:tcW w:w="1316" w:type="dxa"/>
            <w:tcBorders>
              <w:top w:val="single" w:color="auto" w:sz="4" w:space="0"/>
              <w:left w:val="single" w:color="auto" w:sz="4" w:space="0"/>
              <w:bottom w:val="single" w:color="auto" w:sz="4" w:space="0"/>
              <w:right w:val="single" w:color="auto" w:sz="4" w:space="0"/>
            </w:tcBorders>
            <w:vAlign w:val="center"/>
          </w:tcPr>
          <w:p w14:paraId="28E4A6AE">
            <w:pPr>
              <w:snapToGrid w:val="0"/>
              <w:jc w:val="center"/>
              <w:rPr>
                <w:color w:val="auto"/>
                <w:sz w:val="24"/>
                <w:highlight w:val="none"/>
              </w:rPr>
            </w:pPr>
          </w:p>
        </w:tc>
        <w:tc>
          <w:tcPr>
            <w:tcW w:w="1025" w:type="dxa"/>
            <w:tcBorders>
              <w:top w:val="single" w:color="auto" w:sz="4" w:space="0"/>
              <w:left w:val="single" w:color="auto" w:sz="4" w:space="0"/>
              <w:bottom w:val="single" w:color="auto" w:sz="4" w:space="0"/>
              <w:right w:val="single" w:color="auto" w:sz="4" w:space="0"/>
            </w:tcBorders>
            <w:vAlign w:val="center"/>
          </w:tcPr>
          <w:p w14:paraId="44D2412B">
            <w:pPr>
              <w:snapToGrid w:val="0"/>
              <w:jc w:val="center"/>
              <w:rPr>
                <w:color w:val="auto"/>
                <w:sz w:val="24"/>
                <w:highlight w:val="none"/>
              </w:rPr>
            </w:pPr>
          </w:p>
        </w:tc>
        <w:tc>
          <w:tcPr>
            <w:tcW w:w="696" w:type="dxa"/>
            <w:tcBorders>
              <w:top w:val="single" w:color="auto" w:sz="4" w:space="0"/>
              <w:left w:val="single" w:color="auto" w:sz="4" w:space="0"/>
              <w:bottom w:val="single" w:color="auto" w:sz="4" w:space="0"/>
              <w:right w:val="single" w:color="auto" w:sz="4" w:space="0"/>
            </w:tcBorders>
            <w:vAlign w:val="center"/>
          </w:tcPr>
          <w:p w14:paraId="364CBCB1">
            <w:pPr>
              <w:snapToGrid w:val="0"/>
              <w:jc w:val="center"/>
              <w:rPr>
                <w:color w:val="auto"/>
                <w:sz w:val="24"/>
                <w:highlight w:val="none"/>
              </w:rPr>
            </w:pPr>
          </w:p>
        </w:tc>
        <w:tc>
          <w:tcPr>
            <w:tcW w:w="2359" w:type="dxa"/>
            <w:tcBorders>
              <w:top w:val="single" w:color="auto" w:sz="4" w:space="0"/>
              <w:left w:val="single" w:color="auto" w:sz="4" w:space="0"/>
              <w:bottom w:val="single" w:color="auto" w:sz="4" w:space="0"/>
              <w:right w:val="single" w:color="auto" w:sz="4" w:space="0"/>
            </w:tcBorders>
            <w:vAlign w:val="center"/>
          </w:tcPr>
          <w:p w14:paraId="1BD125B0">
            <w:pPr>
              <w:snapToGrid w:val="0"/>
              <w:jc w:val="center"/>
              <w:rPr>
                <w:color w:val="auto"/>
                <w:sz w:val="24"/>
                <w:highlight w:val="none"/>
              </w:rPr>
            </w:pPr>
          </w:p>
        </w:tc>
      </w:tr>
      <w:tr w14:paraId="1D691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Borders>
              <w:top w:val="single" w:color="auto" w:sz="4" w:space="0"/>
              <w:left w:val="single" w:color="auto" w:sz="4" w:space="0"/>
              <w:bottom w:val="single" w:color="auto" w:sz="4" w:space="0"/>
              <w:right w:val="single" w:color="auto" w:sz="4" w:space="0"/>
            </w:tcBorders>
            <w:vAlign w:val="center"/>
          </w:tcPr>
          <w:p w14:paraId="573D2FBA">
            <w:pPr>
              <w:snapToGrid w:val="0"/>
              <w:jc w:val="center"/>
              <w:rPr>
                <w:color w:val="auto"/>
                <w:sz w:val="24"/>
                <w:highlight w:val="none"/>
              </w:rPr>
            </w:pPr>
          </w:p>
        </w:tc>
        <w:tc>
          <w:tcPr>
            <w:tcW w:w="890" w:type="dxa"/>
            <w:tcBorders>
              <w:top w:val="single" w:color="auto" w:sz="4" w:space="0"/>
              <w:left w:val="single" w:color="auto" w:sz="4" w:space="0"/>
              <w:bottom w:val="single" w:color="auto" w:sz="4" w:space="0"/>
              <w:right w:val="single" w:color="auto" w:sz="4" w:space="0"/>
            </w:tcBorders>
            <w:vAlign w:val="center"/>
          </w:tcPr>
          <w:p w14:paraId="096BDACC">
            <w:pPr>
              <w:snapToGrid w:val="0"/>
              <w:jc w:val="center"/>
              <w:rPr>
                <w:color w:val="auto"/>
                <w:sz w:val="24"/>
                <w:highlight w:val="none"/>
              </w:rPr>
            </w:pPr>
          </w:p>
        </w:tc>
        <w:tc>
          <w:tcPr>
            <w:tcW w:w="699" w:type="dxa"/>
            <w:tcBorders>
              <w:top w:val="single" w:color="auto" w:sz="4" w:space="0"/>
              <w:left w:val="single" w:color="auto" w:sz="4" w:space="0"/>
              <w:bottom w:val="single" w:color="auto" w:sz="4" w:space="0"/>
              <w:right w:val="single" w:color="auto" w:sz="4" w:space="0"/>
            </w:tcBorders>
            <w:vAlign w:val="center"/>
          </w:tcPr>
          <w:p w14:paraId="676A7E8B">
            <w:pPr>
              <w:snapToGrid w:val="0"/>
              <w:jc w:val="center"/>
              <w:rPr>
                <w:color w:val="auto"/>
                <w:sz w:val="24"/>
                <w:highlight w:val="none"/>
              </w:rPr>
            </w:pPr>
          </w:p>
        </w:tc>
        <w:tc>
          <w:tcPr>
            <w:tcW w:w="1122" w:type="dxa"/>
            <w:tcBorders>
              <w:top w:val="single" w:color="auto" w:sz="4" w:space="0"/>
              <w:left w:val="single" w:color="auto" w:sz="4" w:space="0"/>
              <w:bottom w:val="single" w:color="auto" w:sz="4" w:space="0"/>
              <w:right w:val="single" w:color="auto" w:sz="4" w:space="0"/>
            </w:tcBorders>
            <w:vAlign w:val="center"/>
          </w:tcPr>
          <w:p w14:paraId="2112A9FC">
            <w:pPr>
              <w:snapToGrid w:val="0"/>
              <w:jc w:val="center"/>
              <w:rPr>
                <w:color w:val="auto"/>
                <w:sz w:val="24"/>
                <w:highlight w:val="none"/>
              </w:rPr>
            </w:pPr>
          </w:p>
        </w:tc>
        <w:tc>
          <w:tcPr>
            <w:tcW w:w="1316" w:type="dxa"/>
            <w:tcBorders>
              <w:top w:val="single" w:color="auto" w:sz="4" w:space="0"/>
              <w:left w:val="single" w:color="auto" w:sz="4" w:space="0"/>
              <w:bottom w:val="single" w:color="auto" w:sz="4" w:space="0"/>
              <w:right w:val="single" w:color="auto" w:sz="4" w:space="0"/>
            </w:tcBorders>
            <w:vAlign w:val="center"/>
          </w:tcPr>
          <w:p w14:paraId="31DE4700">
            <w:pPr>
              <w:snapToGrid w:val="0"/>
              <w:jc w:val="center"/>
              <w:rPr>
                <w:color w:val="auto"/>
                <w:sz w:val="24"/>
                <w:highlight w:val="none"/>
              </w:rPr>
            </w:pPr>
          </w:p>
        </w:tc>
        <w:tc>
          <w:tcPr>
            <w:tcW w:w="1025" w:type="dxa"/>
            <w:tcBorders>
              <w:top w:val="single" w:color="auto" w:sz="4" w:space="0"/>
              <w:left w:val="single" w:color="auto" w:sz="4" w:space="0"/>
              <w:bottom w:val="single" w:color="auto" w:sz="4" w:space="0"/>
              <w:right w:val="single" w:color="auto" w:sz="4" w:space="0"/>
            </w:tcBorders>
            <w:vAlign w:val="center"/>
          </w:tcPr>
          <w:p w14:paraId="04AE0FAE">
            <w:pPr>
              <w:snapToGrid w:val="0"/>
              <w:jc w:val="center"/>
              <w:rPr>
                <w:color w:val="auto"/>
                <w:sz w:val="24"/>
                <w:highlight w:val="none"/>
              </w:rPr>
            </w:pPr>
          </w:p>
        </w:tc>
        <w:tc>
          <w:tcPr>
            <w:tcW w:w="696" w:type="dxa"/>
            <w:tcBorders>
              <w:top w:val="single" w:color="auto" w:sz="4" w:space="0"/>
              <w:left w:val="single" w:color="auto" w:sz="4" w:space="0"/>
              <w:bottom w:val="single" w:color="auto" w:sz="4" w:space="0"/>
              <w:right w:val="single" w:color="auto" w:sz="4" w:space="0"/>
            </w:tcBorders>
            <w:vAlign w:val="center"/>
          </w:tcPr>
          <w:p w14:paraId="27AC7649">
            <w:pPr>
              <w:snapToGrid w:val="0"/>
              <w:jc w:val="center"/>
              <w:rPr>
                <w:color w:val="auto"/>
                <w:sz w:val="24"/>
                <w:highlight w:val="none"/>
              </w:rPr>
            </w:pPr>
          </w:p>
        </w:tc>
        <w:tc>
          <w:tcPr>
            <w:tcW w:w="2359" w:type="dxa"/>
            <w:tcBorders>
              <w:top w:val="single" w:color="auto" w:sz="4" w:space="0"/>
              <w:left w:val="single" w:color="auto" w:sz="4" w:space="0"/>
              <w:bottom w:val="single" w:color="auto" w:sz="4" w:space="0"/>
              <w:right w:val="single" w:color="auto" w:sz="4" w:space="0"/>
            </w:tcBorders>
            <w:vAlign w:val="center"/>
          </w:tcPr>
          <w:p w14:paraId="3B827573">
            <w:pPr>
              <w:snapToGrid w:val="0"/>
              <w:jc w:val="center"/>
              <w:rPr>
                <w:color w:val="auto"/>
                <w:sz w:val="24"/>
                <w:highlight w:val="none"/>
              </w:rPr>
            </w:pPr>
          </w:p>
        </w:tc>
      </w:tr>
      <w:tr w14:paraId="2ADD5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Borders>
              <w:top w:val="single" w:color="auto" w:sz="4" w:space="0"/>
              <w:left w:val="single" w:color="auto" w:sz="4" w:space="0"/>
              <w:bottom w:val="single" w:color="auto" w:sz="4" w:space="0"/>
              <w:right w:val="single" w:color="auto" w:sz="4" w:space="0"/>
            </w:tcBorders>
            <w:vAlign w:val="center"/>
          </w:tcPr>
          <w:p w14:paraId="3D9FAE47">
            <w:pPr>
              <w:snapToGrid w:val="0"/>
              <w:jc w:val="center"/>
              <w:rPr>
                <w:color w:val="auto"/>
                <w:sz w:val="24"/>
                <w:highlight w:val="none"/>
              </w:rPr>
            </w:pPr>
          </w:p>
        </w:tc>
        <w:tc>
          <w:tcPr>
            <w:tcW w:w="890" w:type="dxa"/>
            <w:tcBorders>
              <w:top w:val="single" w:color="auto" w:sz="4" w:space="0"/>
              <w:left w:val="single" w:color="auto" w:sz="4" w:space="0"/>
              <w:bottom w:val="single" w:color="auto" w:sz="4" w:space="0"/>
              <w:right w:val="single" w:color="auto" w:sz="4" w:space="0"/>
            </w:tcBorders>
            <w:vAlign w:val="center"/>
          </w:tcPr>
          <w:p w14:paraId="13813BFD">
            <w:pPr>
              <w:snapToGrid w:val="0"/>
              <w:jc w:val="center"/>
              <w:rPr>
                <w:color w:val="auto"/>
                <w:sz w:val="24"/>
                <w:highlight w:val="none"/>
              </w:rPr>
            </w:pPr>
          </w:p>
        </w:tc>
        <w:tc>
          <w:tcPr>
            <w:tcW w:w="699" w:type="dxa"/>
            <w:tcBorders>
              <w:top w:val="single" w:color="auto" w:sz="4" w:space="0"/>
              <w:left w:val="single" w:color="auto" w:sz="4" w:space="0"/>
              <w:bottom w:val="single" w:color="auto" w:sz="4" w:space="0"/>
              <w:right w:val="single" w:color="auto" w:sz="4" w:space="0"/>
            </w:tcBorders>
            <w:vAlign w:val="center"/>
          </w:tcPr>
          <w:p w14:paraId="059D2180">
            <w:pPr>
              <w:snapToGrid w:val="0"/>
              <w:jc w:val="center"/>
              <w:rPr>
                <w:color w:val="auto"/>
                <w:sz w:val="24"/>
                <w:highlight w:val="none"/>
              </w:rPr>
            </w:pPr>
          </w:p>
        </w:tc>
        <w:tc>
          <w:tcPr>
            <w:tcW w:w="1122" w:type="dxa"/>
            <w:tcBorders>
              <w:top w:val="single" w:color="auto" w:sz="4" w:space="0"/>
              <w:left w:val="single" w:color="auto" w:sz="4" w:space="0"/>
              <w:bottom w:val="single" w:color="auto" w:sz="4" w:space="0"/>
              <w:right w:val="single" w:color="auto" w:sz="4" w:space="0"/>
            </w:tcBorders>
            <w:vAlign w:val="center"/>
          </w:tcPr>
          <w:p w14:paraId="064DB069">
            <w:pPr>
              <w:snapToGrid w:val="0"/>
              <w:jc w:val="center"/>
              <w:rPr>
                <w:color w:val="auto"/>
                <w:sz w:val="24"/>
                <w:highlight w:val="none"/>
              </w:rPr>
            </w:pPr>
          </w:p>
        </w:tc>
        <w:tc>
          <w:tcPr>
            <w:tcW w:w="1316" w:type="dxa"/>
            <w:tcBorders>
              <w:top w:val="single" w:color="auto" w:sz="4" w:space="0"/>
              <w:left w:val="single" w:color="auto" w:sz="4" w:space="0"/>
              <w:bottom w:val="single" w:color="auto" w:sz="4" w:space="0"/>
              <w:right w:val="single" w:color="auto" w:sz="4" w:space="0"/>
            </w:tcBorders>
            <w:vAlign w:val="center"/>
          </w:tcPr>
          <w:p w14:paraId="63CAC7AD">
            <w:pPr>
              <w:snapToGrid w:val="0"/>
              <w:jc w:val="center"/>
              <w:rPr>
                <w:color w:val="auto"/>
                <w:sz w:val="24"/>
                <w:highlight w:val="none"/>
              </w:rPr>
            </w:pPr>
          </w:p>
        </w:tc>
        <w:tc>
          <w:tcPr>
            <w:tcW w:w="1025" w:type="dxa"/>
            <w:tcBorders>
              <w:top w:val="single" w:color="auto" w:sz="4" w:space="0"/>
              <w:left w:val="single" w:color="auto" w:sz="4" w:space="0"/>
              <w:bottom w:val="single" w:color="auto" w:sz="4" w:space="0"/>
              <w:right w:val="single" w:color="auto" w:sz="4" w:space="0"/>
            </w:tcBorders>
            <w:vAlign w:val="center"/>
          </w:tcPr>
          <w:p w14:paraId="2BCD7BF2">
            <w:pPr>
              <w:snapToGrid w:val="0"/>
              <w:jc w:val="center"/>
              <w:rPr>
                <w:color w:val="auto"/>
                <w:sz w:val="24"/>
                <w:highlight w:val="none"/>
              </w:rPr>
            </w:pPr>
          </w:p>
        </w:tc>
        <w:tc>
          <w:tcPr>
            <w:tcW w:w="696" w:type="dxa"/>
            <w:tcBorders>
              <w:top w:val="single" w:color="auto" w:sz="4" w:space="0"/>
              <w:left w:val="single" w:color="auto" w:sz="4" w:space="0"/>
              <w:bottom w:val="single" w:color="auto" w:sz="4" w:space="0"/>
              <w:right w:val="single" w:color="auto" w:sz="4" w:space="0"/>
            </w:tcBorders>
            <w:vAlign w:val="center"/>
          </w:tcPr>
          <w:p w14:paraId="6FF21656">
            <w:pPr>
              <w:snapToGrid w:val="0"/>
              <w:jc w:val="center"/>
              <w:rPr>
                <w:color w:val="auto"/>
                <w:sz w:val="24"/>
                <w:highlight w:val="none"/>
              </w:rPr>
            </w:pPr>
          </w:p>
        </w:tc>
        <w:tc>
          <w:tcPr>
            <w:tcW w:w="2359" w:type="dxa"/>
            <w:tcBorders>
              <w:top w:val="single" w:color="auto" w:sz="4" w:space="0"/>
              <w:left w:val="single" w:color="auto" w:sz="4" w:space="0"/>
              <w:bottom w:val="single" w:color="auto" w:sz="4" w:space="0"/>
              <w:right w:val="single" w:color="auto" w:sz="4" w:space="0"/>
            </w:tcBorders>
            <w:vAlign w:val="center"/>
          </w:tcPr>
          <w:p w14:paraId="46259476">
            <w:pPr>
              <w:snapToGrid w:val="0"/>
              <w:jc w:val="center"/>
              <w:rPr>
                <w:color w:val="auto"/>
                <w:sz w:val="24"/>
                <w:highlight w:val="none"/>
              </w:rPr>
            </w:pPr>
          </w:p>
        </w:tc>
      </w:tr>
    </w:tbl>
    <w:p w14:paraId="2D6D67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highlight w:val="none"/>
        </w:rPr>
      </w:pPr>
      <w:r>
        <w:rPr>
          <w:color w:val="auto"/>
          <w:sz w:val="24"/>
          <w:highlight w:val="none"/>
        </w:rPr>
        <w:t>备注：若</w:t>
      </w:r>
      <w:r>
        <w:rPr>
          <w:rFonts w:hint="eastAsia"/>
          <w:color w:val="auto"/>
          <w:sz w:val="24"/>
          <w:highlight w:val="none"/>
        </w:rPr>
        <w:t>招标文件评分因素及评标标准中</w:t>
      </w:r>
      <w:r>
        <w:rPr>
          <w:color w:val="auto"/>
          <w:sz w:val="24"/>
          <w:highlight w:val="none"/>
        </w:rPr>
        <w:t>要求提供</w:t>
      </w:r>
      <w:r>
        <w:rPr>
          <w:rFonts w:hint="eastAsia"/>
          <w:color w:val="auto"/>
          <w:sz w:val="24"/>
          <w:highlight w:val="none"/>
        </w:rPr>
        <w:t>业绩</w:t>
      </w:r>
      <w:r>
        <w:rPr>
          <w:color w:val="auto"/>
          <w:sz w:val="24"/>
          <w:highlight w:val="none"/>
        </w:rPr>
        <w:t>的，投标人所列业绩应按其要求将证明材料按顺序附后</w:t>
      </w:r>
      <w:r>
        <w:rPr>
          <w:rFonts w:hint="eastAsia"/>
          <w:color w:val="auto"/>
          <w:sz w:val="24"/>
          <w:highlight w:val="none"/>
        </w:rPr>
        <w:t>，并在表中标明材料所在页码</w:t>
      </w:r>
      <w:r>
        <w:rPr>
          <w:color w:val="auto"/>
          <w:sz w:val="24"/>
          <w:highlight w:val="none"/>
        </w:rPr>
        <w:t>。</w:t>
      </w:r>
    </w:p>
    <w:p w14:paraId="249AD5DA">
      <w:pPr>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cs="Arial"/>
          <w:color w:val="auto"/>
          <w:sz w:val="24"/>
          <w:szCs w:val="24"/>
          <w:highlight w:val="none"/>
        </w:rPr>
      </w:pPr>
    </w:p>
    <w:p w14:paraId="38911499">
      <w:pPr>
        <w:adjustRightInd w:val="0"/>
        <w:spacing w:line="360" w:lineRule="auto"/>
        <w:ind w:firstLine="3600" w:firstLineChars="1500"/>
        <w:jc w:val="left"/>
        <w:rPr>
          <w:rFonts w:hAnsi="宋体"/>
          <w:color w:val="auto"/>
          <w:sz w:val="24"/>
          <w:szCs w:val="24"/>
          <w:highlight w:val="none"/>
        </w:rPr>
      </w:pPr>
      <w:r>
        <w:rPr>
          <w:rFonts w:hint="eastAsia" w:hAnsi="宋体"/>
          <w:color w:val="auto"/>
          <w:sz w:val="24"/>
          <w:szCs w:val="24"/>
          <w:highlight w:val="none"/>
        </w:rPr>
        <w:t xml:space="preserve">投标人（公章）：         </w:t>
      </w:r>
    </w:p>
    <w:p w14:paraId="2A17047F">
      <w:pPr>
        <w:adjustRightInd w:val="0"/>
        <w:spacing w:line="360" w:lineRule="auto"/>
        <w:jc w:val="left"/>
        <w:rPr>
          <w:rFonts w:hAnsi="宋体"/>
          <w:bCs/>
          <w:color w:val="auto"/>
          <w:sz w:val="24"/>
          <w:szCs w:val="24"/>
          <w:highlight w:val="none"/>
        </w:rPr>
      </w:pPr>
      <w:r>
        <w:rPr>
          <w:rFonts w:hint="eastAsia" w:hAnsi="宋体"/>
          <w:color w:val="auto"/>
          <w:sz w:val="24"/>
          <w:szCs w:val="24"/>
          <w:highlight w:val="none"/>
        </w:rPr>
        <w:t xml:space="preserve">    </w:t>
      </w:r>
      <w:r>
        <w:rPr>
          <w:rFonts w:hint="eastAsia" w:hAnsi="宋体"/>
          <w:color w:val="auto"/>
          <w:sz w:val="24"/>
          <w:szCs w:val="24"/>
          <w:highlight w:val="none"/>
          <w:lang w:val="en-US" w:eastAsia="zh-CN"/>
        </w:rPr>
        <w:t xml:space="preserve">                          </w:t>
      </w:r>
      <w:r>
        <w:rPr>
          <w:rFonts w:hint="eastAsia" w:hAnsi="宋体"/>
          <w:color w:val="auto"/>
          <w:sz w:val="24"/>
          <w:szCs w:val="24"/>
          <w:highlight w:val="none"/>
        </w:rPr>
        <w:t>法定代表人或</w:t>
      </w:r>
      <w:r>
        <w:rPr>
          <w:rFonts w:hint="eastAsia" w:hAnsi="宋体"/>
          <w:color w:val="auto"/>
          <w:sz w:val="24"/>
          <w:szCs w:val="24"/>
          <w:highlight w:val="none"/>
          <w:lang w:eastAsia="zh-CN"/>
        </w:rPr>
        <w:t>授权代表</w:t>
      </w:r>
      <w:r>
        <w:rPr>
          <w:rFonts w:hint="eastAsia" w:hAnsi="宋体"/>
          <w:color w:val="auto"/>
          <w:sz w:val="24"/>
          <w:szCs w:val="24"/>
          <w:highlight w:val="none"/>
        </w:rPr>
        <w:t>（签字</w:t>
      </w:r>
      <w:r>
        <w:rPr>
          <w:rFonts w:hint="eastAsia" w:hAnsi="宋体"/>
          <w:color w:val="auto"/>
          <w:sz w:val="24"/>
          <w:szCs w:val="24"/>
          <w:highlight w:val="none"/>
          <w:lang w:eastAsia="zh-CN"/>
        </w:rPr>
        <w:t>或盖章</w:t>
      </w:r>
      <w:r>
        <w:rPr>
          <w:rFonts w:hint="eastAsia" w:hAnsi="宋体"/>
          <w:color w:val="auto"/>
          <w:sz w:val="24"/>
          <w:szCs w:val="24"/>
          <w:highlight w:val="none"/>
        </w:rPr>
        <w:t>）：</w:t>
      </w:r>
    </w:p>
    <w:p w14:paraId="78FD31E7">
      <w:pPr>
        <w:spacing w:line="360" w:lineRule="auto"/>
        <w:ind w:firstLine="480" w:firstLineChars="200"/>
        <w:jc w:val="center"/>
        <w:rPr>
          <w:rFonts w:hint="eastAsia" w:hAnsi="宋体"/>
          <w:b/>
          <w:color w:val="auto"/>
          <w:kern w:val="2"/>
          <w:sz w:val="24"/>
          <w:szCs w:val="24"/>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hAnsi="宋体"/>
          <w:bCs/>
          <w:color w:val="auto"/>
          <w:sz w:val="24"/>
          <w:szCs w:val="24"/>
          <w:highlight w:val="none"/>
          <w:lang w:val="en-US" w:eastAsia="zh-CN"/>
        </w:rPr>
        <w:t xml:space="preserve"> </w:t>
      </w:r>
      <w:r>
        <w:rPr>
          <w:rFonts w:hint="eastAsia" w:hAnsi="宋体"/>
          <w:bCs/>
          <w:color w:val="auto"/>
          <w:sz w:val="24"/>
          <w:szCs w:val="24"/>
          <w:highlight w:val="none"/>
        </w:rPr>
        <w:t>日  期</w:t>
      </w:r>
      <w:r>
        <w:rPr>
          <w:rFonts w:hAnsi="宋体"/>
          <w:bCs/>
          <w:color w:val="auto"/>
          <w:sz w:val="24"/>
          <w:szCs w:val="24"/>
          <w:highlight w:val="none"/>
        </w:rPr>
        <w:t>:</w:t>
      </w:r>
      <w:r>
        <w:rPr>
          <w:rFonts w:hint="eastAsia" w:hAnsi="宋体"/>
          <w:bCs/>
          <w:color w:val="auto"/>
          <w:sz w:val="24"/>
          <w:szCs w:val="24"/>
          <w:highlight w:val="none"/>
          <w:lang w:val="en-US" w:eastAsia="zh-CN"/>
        </w:rPr>
        <w:t xml:space="preserve"> </w:t>
      </w:r>
      <w:r>
        <w:rPr>
          <w:rFonts w:hAnsi="宋体"/>
          <w:color w:val="auto"/>
          <w:sz w:val="24"/>
          <w:szCs w:val="24"/>
          <w:highlight w:val="none"/>
        </w:rPr>
        <w:t>年</w:t>
      </w:r>
      <w:r>
        <w:rPr>
          <w:rFonts w:hint="eastAsia" w:hAnsi="宋体"/>
          <w:color w:val="auto"/>
          <w:sz w:val="24"/>
          <w:szCs w:val="24"/>
          <w:highlight w:val="none"/>
          <w:lang w:val="en-US" w:eastAsia="zh-CN"/>
        </w:rPr>
        <w:t xml:space="preserve"> </w:t>
      </w:r>
      <w:r>
        <w:rPr>
          <w:rFonts w:hAnsi="宋体"/>
          <w:color w:val="auto"/>
          <w:sz w:val="24"/>
          <w:szCs w:val="24"/>
          <w:highlight w:val="none"/>
        </w:rPr>
        <w:t>月</w:t>
      </w:r>
      <w:r>
        <w:rPr>
          <w:rFonts w:hint="eastAsia" w:hAnsi="宋体"/>
          <w:color w:val="auto"/>
          <w:sz w:val="24"/>
          <w:szCs w:val="24"/>
          <w:highlight w:val="none"/>
          <w:lang w:val="en-US" w:eastAsia="zh-CN"/>
        </w:rPr>
        <w:t xml:space="preserve"> </w:t>
      </w:r>
      <w:r>
        <w:rPr>
          <w:rFonts w:hint="eastAsia" w:hAnsi="宋体"/>
          <w:color w:val="auto"/>
          <w:sz w:val="24"/>
          <w:szCs w:val="24"/>
          <w:highlight w:val="none"/>
        </w:rPr>
        <w:t>日</w:t>
      </w:r>
      <w:r>
        <w:rPr>
          <w:rFonts w:hint="eastAsia" w:hAnsi="宋体"/>
          <w:b/>
          <w:color w:val="auto"/>
          <w:kern w:val="2"/>
          <w:sz w:val="24"/>
          <w:szCs w:val="24"/>
          <w:highlight w:val="none"/>
        </w:rPr>
        <w:br w:type="textWrapping"/>
      </w:r>
    </w:p>
    <w:p w14:paraId="4BBCC298">
      <w:pPr>
        <w:pStyle w:val="5"/>
        <w:pageBreakBefore/>
        <w:adjustRightInd/>
        <w:spacing w:before="0" w:after="0" w:line="360" w:lineRule="auto"/>
        <w:jc w:val="center"/>
        <w:textAlignment w:val="auto"/>
        <w:outlineLvl w:val="1"/>
        <w:rPr>
          <w:rFonts w:ascii="宋体"/>
          <w:b w:val="0"/>
          <w:bCs w:val="0"/>
          <w:kern w:val="2"/>
          <w:sz w:val="28"/>
          <w:szCs w:val="28"/>
        </w:rPr>
      </w:pPr>
      <w:bookmarkStart w:id="111" w:name="_Toc13304"/>
      <w:bookmarkStart w:id="112" w:name="_Toc12958"/>
      <w:bookmarkStart w:id="113" w:name="_Toc22913"/>
      <w:bookmarkStart w:id="114" w:name="_Toc387653057"/>
      <w:r>
        <w:rPr>
          <w:rFonts w:hint="eastAsia" w:ascii="宋体" w:hAnsi="宋体" w:cs="宋体"/>
          <w:b w:val="0"/>
          <w:bCs w:val="0"/>
          <w:kern w:val="2"/>
          <w:sz w:val="28"/>
          <w:szCs w:val="28"/>
          <w:lang w:val="en-US" w:eastAsia="zh-CN"/>
        </w:rPr>
        <w:t>七</w:t>
      </w:r>
      <w:r>
        <w:rPr>
          <w:rFonts w:hint="eastAsia" w:ascii="宋体" w:hAnsi="宋体" w:cs="宋体"/>
          <w:b w:val="0"/>
          <w:bCs w:val="0"/>
          <w:kern w:val="2"/>
          <w:sz w:val="28"/>
          <w:szCs w:val="28"/>
        </w:rPr>
        <w:t>、商务响应表</w:t>
      </w:r>
      <w:bookmarkEnd w:id="111"/>
      <w:bookmarkEnd w:id="112"/>
      <w:bookmarkEnd w:id="113"/>
    </w:p>
    <w:p w14:paraId="22543E43">
      <w:pPr>
        <w:spacing w:line="460" w:lineRule="exact"/>
        <w:rPr>
          <w:color w:val="auto"/>
          <w:sz w:val="24"/>
          <w:highlight w:val="none"/>
        </w:rPr>
      </w:pPr>
      <w:bookmarkStart w:id="115" w:name="_Toc16509"/>
      <w:bookmarkStart w:id="116" w:name="_Toc17074"/>
      <w:r>
        <w:rPr>
          <w:color w:val="auto"/>
          <w:sz w:val="24"/>
          <w:highlight w:val="none"/>
        </w:rPr>
        <w:t>项目名称：</w:t>
      </w:r>
    </w:p>
    <w:p w14:paraId="13BD54B9">
      <w:pPr>
        <w:spacing w:line="460" w:lineRule="exact"/>
        <w:rPr>
          <w:color w:val="auto"/>
          <w:sz w:val="24"/>
          <w:highlight w:val="none"/>
        </w:rPr>
      </w:pPr>
      <w:r>
        <w:rPr>
          <w:rFonts w:hint="eastAsia"/>
          <w:color w:val="auto"/>
          <w:sz w:val="24"/>
          <w:highlight w:val="none"/>
        </w:rPr>
        <w:t>招标文件</w:t>
      </w:r>
      <w:r>
        <w:rPr>
          <w:color w:val="auto"/>
          <w:sz w:val="24"/>
          <w:highlight w:val="none"/>
        </w:rPr>
        <w:t>编号：</w:t>
      </w:r>
    </w:p>
    <w:p w14:paraId="7EE860B1">
      <w:pPr>
        <w:spacing w:line="460" w:lineRule="exact"/>
        <w:rPr>
          <w:color w:val="auto"/>
          <w:sz w:val="24"/>
          <w:highlight w:val="none"/>
          <w:u w:val="single"/>
        </w:rPr>
      </w:pPr>
      <w:r>
        <w:rPr>
          <w:color w:val="auto"/>
          <w:sz w:val="24"/>
          <w:highlight w:val="none"/>
        </w:rPr>
        <w:t>包</w:t>
      </w:r>
      <w:r>
        <w:rPr>
          <w:rFonts w:hint="eastAsia"/>
          <w:color w:val="auto"/>
          <w:sz w:val="24"/>
          <w:highlight w:val="none"/>
          <w:lang w:val="en-US" w:eastAsia="zh-CN"/>
        </w:rPr>
        <w:t xml:space="preserve">    </w:t>
      </w:r>
      <w:r>
        <w:rPr>
          <w:color w:val="auto"/>
          <w:sz w:val="24"/>
          <w:highlight w:val="none"/>
        </w:rPr>
        <w:t>号：</w:t>
      </w:r>
    </w:p>
    <w:tbl>
      <w:tblPr>
        <w:tblStyle w:val="46"/>
        <w:tblW w:w="9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2500"/>
        <w:gridCol w:w="2680"/>
        <w:gridCol w:w="1979"/>
        <w:gridCol w:w="1241"/>
      </w:tblGrid>
      <w:tr w14:paraId="5CC68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69A6A57A">
            <w:pPr>
              <w:keepNext w:val="0"/>
              <w:keepLines w:val="0"/>
              <w:pageBreakBefore w:val="0"/>
              <w:widowControl/>
              <w:kinsoku/>
              <w:wordWrap/>
              <w:overflowPunct/>
              <w:topLinePunct w:val="0"/>
              <w:autoSpaceDE/>
              <w:autoSpaceDN/>
              <w:bidi w:val="0"/>
              <w:adjustRightInd/>
              <w:snapToGrid w:val="0"/>
              <w:spacing w:line="360" w:lineRule="auto"/>
              <w:jc w:val="center"/>
              <w:textAlignment w:val="auto"/>
              <w:rPr>
                <w:color w:val="auto"/>
                <w:sz w:val="22"/>
                <w:szCs w:val="20"/>
                <w:highlight w:val="none"/>
              </w:rPr>
            </w:pPr>
            <w:r>
              <w:rPr>
                <w:color w:val="auto"/>
                <w:sz w:val="22"/>
                <w:szCs w:val="20"/>
                <w:highlight w:val="none"/>
              </w:rPr>
              <w:t>序号</w:t>
            </w:r>
          </w:p>
        </w:tc>
        <w:tc>
          <w:tcPr>
            <w:tcW w:w="2500" w:type="dxa"/>
            <w:vAlign w:val="center"/>
          </w:tcPr>
          <w:p w14:paraId="12EC00E9">
            <w:pPr>
              <w:keepNext w:val="0"/>
              <w:keepLines w:val="0"/>
              <w:pageBreakBefore w:val="0"/>
              <w:widowControl/>
              <w:kinsoku/>
              <w:wordWrap/>
              <w:overflowPunct/>
              <w:topLinePunct w:val="0"/>
              <w:autoSpaceDE/>
              <w:autoSpaceDN/>
              <w:bidi w:val="0"/>
              <w:adjustRightInd/>
              <w:snapToGrid w:val="0"/>
              <w:spacing w:line="360" w:lineRule="auto"/>
              <w:jc w:val="center"/>
              <w:textAlignment w:val="auto"/>
              <w:rPr>
                <w:color w:val="auto"/>
                <w:sz w:val="22"/>
                <w:szCs w:val="20"/>
                <w:highlight w:val="none"/>
              </w:rPr>
            </w:pPr>
            <w:r>
              <w:rPr>
                <w:color w:val="auto"/>
                <w:sz w:val="22"/>
                <w:szCs w:val="20"/>
                <w:highlight w:val="none"/>
              </w:rPr>
              <w:t>招标要求</w:t>
            </w:r>
          </w:p>
        </w:tc>
        <w:tc>
          <w:tcPr>
            <w:tcW w:w="2680" w:type="dxa"/>
            <w:vAlign w:val="center"/>
          </w:tcPr>
          <w:p w14:paraId="03136E41">
            <w:pPr>
              <w:keepNext w:val="0"/>
              <w:keepLines w:val="0"/>
              <w:pageBreakBefore w:val="0"/>
              <w:widowControl/>
              <w:kinsoku/>
              <w:wordWrap/>
              <w:overflowPunct/>
              <w:topLinePunct w:val="0"/>
              <w:autoSpaceDE/>
              <w:autoSpaceDN/>
              <w:bidi w:val="0"/>
              <w:adjustRightInd/>
              <w:snapToGrid w:val="0"/>
              <w:spacing w:line="360" w:lineRule="auto"/>
              <w:jc w:val="center"/>
              <w:textAlignment w:val="auto"/>
              <w:rPr>
                <w:color w:val="auto"/>
                <w:sz w:val="22"/>
                <w:szCs w:val="20"/>
                <w:highlight w:val="none"/>
              </w:rPr>
            </w:pPr>
            <w:r>
              <w:rPr>
                <w:color w:val="auto"/>
                <w:sz w:val="22"/>
                <w:szCs w:val="20"/>
                <w:highlight w:val="none"/>
              </w:rPr>
              <w:t>投标应答</w:t>
            </w:r>
          </w:p>
        </w:tc>
        <w:tc>
          <w:tcPr>
            <w:tcW w:w="1979" w:type="dxa"/>
            <w:vAlign w:val="center"/>
          </w:tcPr>
          <w:p w14:paraId="1F55E43D">
            <w:pPr>
              <w:keepNext w:val="0"/>
              <w:keepLines w:val="0"/>
              <w:pageBreakBefore w:val="0"/>
              <w:widowControl/>
              <w:kinsoku/>
              <w:wordWrap/>
              <w:overflowPunct/>
              <w:topLinePunct w:val="0"/>
              <w:autoSpaceDE/>
              <w:autoSpaceDN/>
              <w:bidi w:val="0"/>
              <w:adjustRightInd/>
              <w:snapToGrid w:val="0"/>
              <w:spacing w:line="360" w:lineRule="auto"/>
              <w:jc w:val="center"/>
              <w:textAlignment w:val="auto"/>
              <w:rPr>
                <w:color w:val="auto"/>
                <w:sz w:val="22"/>
                <w:szCs w:val="20"/>
                <w:highlight w:val="none"/>
              </w:rPr>
            </w:pPr>
            <w:r>
              <w:rPr>
                <w:color w:val="auto"/>
                <w:sz w:val="22"/>
                <w:szCs w:val="20"/>
                <w:highlight w:val="none"/>
              </w:rPr>
              <w:t>偏离说明</w:t>
            </w:r>
          </w:p>
        </w:tc>
        <w:tc>
          <w:tcPr>
            <w:tcW w:w="1241" w:type="dxa"/>
            <w:vAlign w:val="center"/>
          </w:tcPr>
          <w:p w14:paraId="4BC96093">
            <w:pPr>
              <w:keepNext w:val="0"/>
              <w:keepLines w:val="0"/>
              <w:pageBreakBefore w:val="0"/>
              <w:widowControl/>
              <w:kinsoku/>
              <w:wordWrap/>
              <w:overflowPunct/>
              <w:topLinePunct w:val="0"/>
              <w:autoSpaceDE/>
              <w:autoSpaceDN/>
              <w:bidi w:val="0"/>
              <w:adjustRightInd/>
              <w:snapToGrid w:val="0"/>
              <w:spacing w:line="360" w:lineRule="auto"/>
              <w:jc w:val="center"/>
              <w:textAlignment w:val="auto"/>
              <w:rPr>
                <w:color w:val="auto"/>
                <w:sz w:val="22"/>
                <w:szCs w:val="20"/>
                <w:highlight w:val="none"/>
              </w:rPr>
            </w:pPr>
            <w:r>
              <w:rPr>
                <w:color w:val="auto"/>
                <w:sz w:val="22"/>
                <w:szCs w:val="20"/>
                <w:highlight w:val="none"/>
              </w:rPr>
              <w:t>备注</w:t>
            </w:r>
          </w:p>
        </w:tc>
      </w:tr>
      <w:tr w14:paraId="0DC05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0" w:type="dxa"/>
            <w:gridSpan w:val="5"/>
            <w:vAlign w:val="center"/>
          </w:tcPr>
          <w:p w14:paraId="500A46C9">
            <w:pPr>
              <w:keepNext w:val="0"/>
              <w:keepLines w:val="0"/>
              <w:pageBreakBefore w:val="0"/>
              <w:widowControl/>
              <w:kinsoku/>
              <w:wordWrap/>
              <w:overflowPunct/>
              <w:topLinePunct w:val="0"/>
              <w:autoSpaceDE/>
              <w:autoSpaceDN/>
              <w:bidi w:val="0"/>
              <w:adjustRightInd/>
              <w:snapToGrid w:val="0"/>
              <w:spacing w:line="360" w:lineRule="auto"/>
              <w:jc w:val="left"/>
              <w:textAlignment w:val="auto"/>
              <w:rPr>
                <w:color w:val="auto"/>
                <w:sz w:val="22"/>
                <w:szCs w:val="20"/>
                <w:highlight w:val="none"/>
              </w:rPr>
            </w:pPr>
            <w:r>
              <w:rPr>
                <w:color w:val="auto"/>
                <w:sz w:val="22"/>
                <w:szCs w:val="20"/>
                <w:highlight w:val="none"/>
              </w:rPr>
              <w:t>（</w:t>
            </w:r>
            <w:r>
              <w:rPr>
                <w:rFonts w:hint="eastAsia"/>
                <w:color w:val="auto"/>
                <w:sz w:val="22"/>
                <w:szCs w:val="20"/>
                <w:highlight w:val="none"/>
              </w:rPr>
              <w:t>一</w:t>
            </w:r>
            <w:r>
              <w:rPr>
                <w:color w:val="auto"/>
                <w:sz w:val="22"/>
                <w:szCs w:val="20"/>
                <w:highlight w:val="none"/>
              </w:rPr>
              <w:t>）报价要求</w:t>
            </w:r>
          </w:p>
        </w:tc>
      </w:tr>
      <w:tr w14:paraId="3AC5A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05AE586B">
            <w:pPr>
              <w:keepNext w:val="0"/>
              <w:keepLines w:val="0"/>
              <w:pageBreakBefore w:val="0"/>
              <w:widowControl/>
              <w:kinsoku/>
              <w:wordWrap/>
              <w:overflowPunct/>
              <w:topLinePunct w:val="0"/>
              <w:autoSpaceDE/>
              <w:autoSpaceDN/>
              <w:bidi w:val="0"/>
              <w:adjustRightInd/>
              <w:snapToGrid w:val="0"/>
              <w:spacing w:line="360" w:lineRule="auto"/>
              <w:jc w:val="center"/>
              <w:textAlignment w:val="auto"/>
              <w:rPr>
                <w:color w:val="auto"/>
                <w:sz w:val="22"/>
                <w:szCs w:val="20"/>
                <w:highlight w:val="none"/>
              </w:rPr>
            </w:pPr>
          </w:p>
        </w:tc>
        <w:tc>
          <w:tcPr>
            <w:tcW w:w="2500" w:type="dxa"/>
            <w:vAlign w:val="center"/>
          </w:tcPr>
          <w:p w14:paraId="517EE4AA">
            <w:pPr>
              <w:keepNext w:val="0"/>
              <w:keepLines w:val="0"/>
              <w:pageBreakBefore w:val="0"/>
              <w:widowControl/>
              <w:kinsoku/>
              <w:wordWrap/>
              <w:overflowPunct/>
              <w:topLinePunct w:val="0"/>
              <w:autoSpaceDE/>
              <w:autoSpaceDN/>
              <w:bidi w:val="0"/>
              <w:adjustRightInd/>
              <w:snapToGrid w:val="0"/>
              <w:spacing w:line="360" w:lineRule="auto"/>
              <w:jc w:val="left"/>
              <w:textAlignment w:val="auto"/>
              <w:rPr>
                <w:color w:val="auto"/>
                <w:sz w:val="22"/>
                <w:szCs w:val="20"/>
                <w:highlight w:val="none"/>
              </w:rPr>
            </w:pPr>
          </w:p>
        </w:tc>
        <w:tc>
          <w:tcPr>
            <w:tcW w:w="2680" w:type="dxa"/>
            <w:vAlign w:val="center"/>
          </w:tcPr>
          <w:p w14:paraId="70FB52D1">
            <w:pPr>
              <w:keepNext w:val="0"/>
              <w:keepLines w:val="0"/>
              <w:pageBreakBefore w:val="0"/>
              <w:widowControl/>
              <w:kinsoku/>
              <w:wordWrap/>
              <w:overflowPunct/>
              <w:topLinePunct w:val="0"/>
              <w:autoSpaceDE/>
              <w:autoSpaceDN/>
              <w:bidi w:val="0"/>
              <w:adjustRightInd/>
              <w:snapToGrid w:val="0"/>
              <w:spacing w:line="360" w:lineRule="auto"/>
              <w:jc w:val="left"/>
              <w:textAlignment w:val="auto"/>
              <w:rPr>
                <w:color w:val="auto"/>
                <w:sz w:val="22"/>
                <w:szCs w:val="20"/>
                <w:highlight w:val="none"/>
              </w:rPr>
            </w:pPr>
          </w:p>
        </w:tc>
        <w:tc>
          <w:tcPr>
            <w:tcW w:w="1979" w:type="dxa"/>
            <w:vAlign w:val="center"/>
          </w:tcPr>
          <w:p w14:paraId="5F464CD3">
            <w:pPr>
              <w:keepNext w:val="0"/>
              <w:keepLines w:val="0"/>
              <w:pageBreakBefore w:val="0"/>
              <w:widowControl/>
              <w:kinsoku/>
              <w:wordWrap/>
              <w:overflowPunct/>
              <w:topLinePunct w:val="0"/>
              <w:autoSpaceDE/>
              <w:autoSpaceDN/>
              <w:bidi w:val="0"/>
              <w:adjustRightInd/>
              <w:snapToGrid w:val="0"/>
              <w:spacing w:line="360" w:lineRule="auto"/>
              <w:jc w:val="left"/>
              <w:textAlignment w:val="auto"/>
              <w:rPr>
                <w:color w:val="auto"/>
                <w:sz w:val="22"/>
                <w:szCs w:val="20"/>
                <w:highlight w:val="none"/>
              </w:rPr>
            </w:pPr>
          </w:p>
        </w:tc>
        <w:tc>
          <w:tcPr>
            <w:tcW w:w="1241" w:type="dxa"/>
            <w:vAlign w:val="center"/>
          </w:tcPr>
          <w:p w14:paraId="2FE4C7EF">
            <w:pPr>
              <w:keepNext w:val="0"/>
              <w:keepLines w:val="0"/>
              <w:pageBreakBefore w:val="0"/>
              <w:widowControl/>
              <w:kinsoku/>
              <w:wordWrap/>
              <w:overflowPunct/>
              <w:topLinePunct w:val="0"/>
              <w:autoSpaceDE/>
              <w:autoSpaceDN/>
              <w:bidi w:val="0"/>
              <w:adjustRightInd/>
              <w:snapToGrid w:val="0"/>
              <w:spacing w:line="360" w:lineRule="auto"/>
              <w:jc w:val="left"/>
              <w:textAlignment w:val="auto"/>
              <w:rPr>
                <w:color w:val="auto"/>
                <w:sz w:val="22"/>
                <w:szCs w:val="20"/>
                <w:highlight w:val="none"/>
              </w:rPr>
            </w:pPr>
          </w:p>
        </w:tc>
      </w:tr>
      <w:tr w14:paraId="2F651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480" w:type="dxa"/>
            <w:gridSpan w:val="5"/>
            <w:vAlign w:val="center"/>
          </w:tcPr>
          <w:p w14:paraId="601F09CD">
            <w:pPr>
              <w:keepNext w:val="0"/>
              <w:keepLines w:val="0"/>
              <w:pageBreakBefore w:val="0"/>
              <w:widowControl/>
              <w:kinsoku/>
              <w:wordWrap/>
              <w:overflowPunct/>
              <w:topLinePunct w:val="0"/>
              <w:autoSpaceDE/>
              <w:autoSpaceDN/>
              <w:bidi w:val="0"/>
              <w:adjustRightInd/>
              <w:snapToGrid w:val="0"/>
              <w:spacing w:line="360" w:lineRule="auto"/>
              <w:jc w:val="left"/>
              <w:textAlignment w:val="auto"/>
              <w:rPr>
                <w:color w:val="auto"/>
                <w:sz w:val="22"/>
                <w:szCs w:val="20"/>
                <w:highlight w:val="none"/>
              </w:rPr>
            </w:pPr>
            <w:r>
              <w:rPr>
                <w:rFonts w:hint="eastAsia"/>
                <w:color w:val="auto"/>
                <w:sz w:val="22"/>
                <w:szCs w:val="20"/>
                <w:highlight w:val="none"/>
              </w:rPr>
              <w:t>（二）服务要求</w:t>
            </w:r>
          </w:p>
        </w:tc>
      </w:tr>
      <w:tr w14:paraId="1C738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3A9A42A0">
            <w:pPr>
              <w:keepNext w:val="0"/>
              <w:keepLines w:val="0"/>
              <w:pageBreakBefore w:val="0"/>
              <w:widowControl/>
              <w:kinsoku/>
              <w:wordWrap/>
              <w:overflowPunct/>
              <w:topLinePunct w:val="0"/>
              <w:autoSpaceDE/>
              <w:autoSpaceDN/>
              <w:bidi w:val="0"/>
              <w:adjustRightInd/>
              <w:snapToGrid w:val="0"/>
              <w:spacing w:line="360" w:lineRule="auto"/>
              <w:jc w:val="center"/>
              <w:textAlignment w:val="auto"/>
              <w:rPr>
                <w:color w:val="auto"/>
                <w:sz w:val="22"/>
                <w:szCs w:val="20"/>
                <w:highlight w:val="none"/>
              </w:rPr>
            </w:pPr>
          </w:p>
        </w:tc>
        <w:tc>
          <w:tcPr>
            <w:tcW w:w="2500" w:type="dxa"/>
            <w:vAlign w:val="center"/>
          </w:tcPr>
          <w:p w14:paraId="74A75756">
            <w:pPr>
              <w:keepNext w:val="0"/>
              <w:keepLines w:val="0"/>
              <w:pageBreakBefore w:val="0"/>
              <w:widowControl/>
              <w:kinsoku/>
              <w:wordWrap/>
              <w:overflowPunct/>
              <w:topLinePunct w:val="0"/>
              <w:autoSpaceDE/>
              <w:autoSpaceDN/>
              <w:bidi w:val="0"/>
              <w:adjustRightInd/>
              <w:snapToGrid w:val="0"/>
              <w:spacing w:line="360" w:lineRule="auto"/>
              <w:jc w:val="left"/>
              <w:textAlignment w:val="auto"/>
              <w:rPr>
                <w:color w:val="auto"/>
                <w:sz w:val="22"/>
                <w:szCs w:val="20"/>
                <w:highlight w:val="none"/>
              </w:rPr>
            </w:pPr>
          </w:p>
        </w:tc>
        <w:tc>
          <w:tcPr>
            <w:tcW w:w="2680" w:type="dxa"/>
            <w:vAlign w:val="center"/>
          </w:tcPr>
          <w:p w14:paraId="483943CC">
            <w:pPr>
              <w:keepNext w:val="0"/>
              <w:keepLines w:val="0"/>
              <w:pageBreakBefore w:val="0"/>
              <w:widowControl/>
              <w:kinsoku/>
              <w:wordWrap/>
              <w:overflowPunct/>
              <w:topLinePunct w:val="0"/>
              <w:autoSpaceDE/>
              <w:autoSpaceDN/>
              <w:bidi w:val="0"/>
              <w:adjustRightInd/>
              <w:snapToGrid w:val="0"/>
              <w:spacing w:line="360" w:lineRule="auto"/>
              <w:jc w:val="left"/>
              <w:textAlignment w:val="auto"/>
              <w:rPr>
                <w:color w:val="auto"/>
                <w:sz w:val="22"/>
                <w:szCs w:val="20"/>
                <w:highlight w:val="none"/>
              </w:rPr>
            </w:pPr>
          </w:p>
        </w:tc>
        <w:tc>
          <w:tcPr>
            <w:tcW w:w="1979" w:type="dxa"/>
            <w:vAlign w:val="center"/>
          </w:tcPr>
          <w:p w14:paraId="22CCA8A3">
            <w:pPr>
              <w:keepNext w:val="0"/>
              <w:keepLines w:val="0"/>
              <w:pageBreakBefore w:val="0"/>
              <w:widowControl/>
              <w:kinsoku/>
              <w:wordWrap/>
              <w:overflowPunct/>
              <w:topLinePunct w:val="0"/>
              <w:autoSpaceDE/>
              <w:autoSpaceDN/>
              <w:bidi w:val="0"/>
              <w:adjustRightInd/>
              <w:snapToGrid w:val="0"/>
              <w:spacing w:line="360" w:lineRule="auto"/>
              <w:jc w:val="left"/>
              <w:textAlignment w:val="auto"/>
              <w:rPr>
                <w:color w:val="auto"/>
                <w:sz w:val="22"/>
                <w:szCs w:val="20"/>
                <w:highlight w:val="none"/>
              </w:rPr>
            </w:pPr>
          </w:p>
        </w:tc>
        <w:tc>
          <w:tcPr>
            <w:tcW w:w="1241" w:type="dxa"/>
            <w:vAlign w:val="center"/>
          </w:tcPr>
          <w:p w14:paraId="60ECD2EF">
            <w:pPr>
              <w:keepNext w:val="0"/>
              <w:keepLines w:val="0"/>
              <w:pageBreakBefore w:val="0"/>
              <w:widowControl/>
              <w:kinsoku/>
              <w:wordWrap/>
              <w:overflowPunct/>
              <w:topLinePunct w:val="0"/>
              <w:autoSpaceDE/>
              <w:autoSpaceDN/>
              <w:bidi w:val="0"/>
              <w:adjustRightInd/>
              <w:snapToGrid w:val="0"/>
              <w:spacing w:line="360" w:lineRule="auto"/>
              <w:jc w:val="left"/>
              <w:textAlignment w:val="auto"/>
              <w:rPr>
                <w:color w:val="auto"/>
                <w:sz w:val="22"/>
                <w:szCs w:val="20"/>
                <w:highlight w:val="none"/>
              </w:rPr>
            </w:pPr>
          </w:p>
        </w:tc>
      </w:tr>
      <w:tr w14:paraId="19AD8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0" w:type="dxa"/>
            <w:gridSpan w:val="5"/>
            <w:vAlign w:val="center"/>
          </w:tcPr>
          <w:p w14:paraId="4C3BE310">
            <w:pPr>
              <w:keepNext w:val="0"/>
              <w:keepLines w:val="0"/>
              <w:pageBreakBefore w:val="0"/>
              <w:widowControl/>
              <w:kinsoku/>
              <w:wordWrap/>
              <w:overflowPunct/>
              <w:topLinePunct w:val="0"/>
              <w:autoSpaceDE/>
              <w:autoSpaceDN/>
              <w:bidi w:val="0"/>
              <w:adjustRightInd/>
              <w:snapToGrid w:val="0"/>
              <w:spacing w:line="360" w:lineRule="auto"/>
              <w:jc w:val="left"/>
              <w:textAlignment w:val="auto"/>
              <w:rPr>
                <w:color w:val="auto"/>
                <w:sz w:val="22"/>
                <w:szCs w:val="20"/>
                <w:highlight w:val="none"/>
              </w:rPr>
            </w:pPr>
            <w:r>
              <w:rPr>
                <w:rFonts w:hint="eastAsia"/>
                <w:color w:val="auto"/>
                <w:sz w:val="22"/>
                <w:szCs w:val="20"/>
                <w:highlight w:val="none"/>
              </w:rPr>
              <w:t>（三）交货要求</w:t>
            </w:r>
          </w:p>
        </w:tc>
      </w:tr>
      <w:tr w14:paraId="180BB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037E6506">
            <w:pPr>
              <w:keepNext w:val="0"/>
              <w:keepLines w:val="0"/>
              <w:pageBreakBefore w:val="0"/>
              <w:widowControl/>
              <w:kinsoku/>
              <w:wordWrap/>
              <w:overflowPunct/>
              <w:topLinePunct w:val="0"/>
              <w:autoSpaceDE/>
              <w:autoSpaceDN/>
              <w:bidi w:val="0"/>
              <w:adjustRightInd/>
              <w:snapToGrid w:val="0"/>
              <w:spacing w:line="360" w:lineRule="auto"/>
              <w:jc w:val="center"/>
              <w:textAlignment w:val="auto"/>
              <w:rPr>
                <w:color w:val="auto"/>
                <w:sz w:val="22"/>
                <w:szCs w:val="20"/>
                <w:highlight w:val="none"/>
              </w:rPr>
            </w:pPr>
          </w:p>
        </w:tc>
        <w:tc>
          <w:tcPr>
            <w:tcW w:w="2500" w:type="dxa"/>
            <w:vAlign w:val="center"/>
          </w:tcPr>
          <w:p w14:paraId="7F017876">
            <w:pPr>
              <w:keepNext w:val="0"/>
              <w:keepLines w:val="0"/>
              <w:pageBreakBefore w:val="0"/>
              <w:widowControl/>
              <w:kinsoku/>
              <w:wordWrap/>
              <w:overflowPunct/>
              <w:topLinePunct w:val="0"/>
              <w:autoSpaceDE/>
              <w:autoSpaceDN/>
              <w:bidi w:val="0"/>
              <w:adjustRightInd/>
              <w:snapToGrid w:val="0"/>
              <w:spacing w:line="360" w:lineRule="auto"/>
              <w:jc w:val="left"/>
              <w:textAlignment w:val="auto"/>
              <w:rPr>
                <w:color w:val="auto"/>
                <w:sz w:val="22"/>
                <w:szCs w:val="20"/>
                <w:highlight w:val="none"/>
              </w:rPr>
            </w:pPr>
          </w:p>
        </w:tc>
        <w:tc>
          <w:tcPr>
            <w:tcW w:w="2680" w:type="dxa"/>
            <w:vAlign w:val="center"/>
          </w:tcPr>
          <w:p w14:paraId="734B22E8">
            <w:pPr>
              <w:keepNext w:val="0"/>
              <w:keepLines w:val="0"/>
              <w:pageBreakBefore w:val="0"/>
              <w:widowControl/>
              <w:kinsoku/>
              <w:wordWrap/>
              <w:overflowPunct/>
              <w:topLinePunct w:val="0"/>
              <w:autoSpaceDE/>
              <w:autoSpaceDN/>
              <w:bidi w:val="0"/>
              <w:adjustRightInd/>
              <w:snapToGrid w:val="0"/>
              <w:spacing w:line="360" w:lineRule="auto"/>
              <w:jc w:val="left"/>
              <w:textAlignment w:val="auto"/>
              <w:rPr>
                <w:color w:val="auto"/>
                <w:sz w:val="22"/>
                <w:szCs w:val="20"/>
                <w:highlight w:val="none"/>
              </w:rPr>
            </w:pPr>
          </w:p>
        </w:tc>
        <w:tc>
          <w:tcPr>
            <w:tcW w:w="1979" w:type="dxa"/>
            <w:vAlign w:val="center"/>
          </w:tcPr>
          <w:p w14:paraId="20A98557">
            <w:pPr>
              <w:keepNext w:val="0"/>
              <w:keepLines w:val="0"/>
              <w:pageBreakBefore w:val="0"/>
              <w:widowControl/>
              <w:kinsoku/>
              <w:wordWrap/>
              <w:overflowPunct/>
              <w:topLinePunct w:val="0"/>
              <w:autoSpaceDE/>
              <w:autoSpaceDN/>
              <w:bidi w:val="0"/>
              <w:adjustRightInd/>
              <w:snapToGrid w:val="0"/>
              <w:spacing w:line="360" w:lineRule="auto"/>
              <w:jc w:val="left"/>
              <w:textAlignment w:val="auto"/>
              <w:rPr>
                <w:color w:val="auto"/>
                <w:sz w:val="22"/>
                <w:szCs w:val="20"/>
                <w:highlight w:val="none"/>
              </w:rPr>
            </w:pPr>
          </w:p>
        </w:tc>
        <w:tc>
          <w:tcPr>
            <w:tcW w:w="1241" w:type="dxa"/>
            <w:vAlign w:val="center"/>
          </w:tcPr>
          <w:p w14:paraId="304D6AE6">
            <w:pPr>
              <w:keepNext w:val="0"/>
              <w:keepLines w:val="0"/>
              <w:pageBreakBefore w:val="0"/>
              <w:widowControl/>
              <w:kinsoku/>
              <w:wordWrap/>
              <w:overflowPunct/>
              <w:topLinePunct w:val="0"/>
              <w:autoSpaceDE/>
              <w:autoSpaceDN/>
              <w:bidi w:val="0"/>
              <w:adjustRightInd/>
              <w:snapToGrid w:val="0"/>
              <w:spacing w:line="360" w:lineRule="auto"/>
              <w:jc w:val="left"/>
              <w:textAlignment w:val="auto"/>
              <w:rPr>
                <w:color w:val="auto"/>
                <w:sz w:val="22"/>
                <w:szCs w:val="20"/>
                <w:highlight w:val="none"/>
              </w:rPr>
            </w:pPr>
          </w:p>
        </w:tc>
      </w:tr>
      <w:tr w14:paraId="10BE9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480" w:type="dxa"/>
            <w:gridSpan w:val="5"/>
            <w:vAlign w:val="center"/>
          </w:tcPr>
          <w:p w14:paraId="54E733C5">
            <w:pPr>
              <w:keepNext w:val="0"/>
              <w:keepLines w:val="0"/>
              <w:pageBreakBefore w:val="0"/>
              <w:widowControl/>
              <w:kinsoku/>
              <w:wordWrap/>
              <w:overflowPunct/>
              <w:topLinePunct w:val="0"/>
              <w:autoSpaceDE/>
              <w:autoSpaceDN/>
              <w:bidi w:val="0"/>
              <w:adjustRightInd/>
              <w:snapToGrid w:val="0"/>
              <w:spacing w:line="360" w:lineRule="auto"/>
              <w:jc w:val="left"/>
              <w:textAlignment w:val="auto"/>
              <w:rPr>
                <w:color w:val="auto"/>
                <w:sz w:val="22"/>
                <w:szCs w:val="20"/>
                <w:highlight w:val="none"/>
              </w:rPr>
            </w:pPr>
            <w:r>
              <w:rPr>
                <w:color w:val="auto"/>
                <w:sz w:val="22"/>
                <w:szCs w:val="20"/>
                <w:highlight w:val="none"/>
              </w:rPr>
              <w:t>（</w:t>
            </w:r>
            <w:r>
              <w:rPr>
                <w:rFonts w:hint="eastAsia"/>
                <w:color w:val="auto"/>
                <w:sz w:val="22"/>
                <w:szCs w:val="20"/>
                <w:highlight w:val="none"/>
              </w:rPr>
              <w:t>四</w:t>
            </w:r>
            <w:r>
              <w:rPr>
                <w:color w:val="auto"/>
                <w:sz w:val="22"/>
                <w:szCs w:val="20"/>
                <w:highlight w:val="none"/>
              </w:rPr>
              <w:t>）付款方式</w:t>
            </w:r>
          </w:p>
        </w:tc>
      </w:tr>
      <w:tr w14:paraId="52621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18A91E88">
            <w:pPr>
              <w:keepNext w:val="0"/>
              <w:keepLines w:val="0"/>
              <w:pageBreakBefore w:val="0"/>
              <w:widowControl/>
              <w:kinsoku/>
              <w:wordWrap/>
              <w:overflowPunct/>
              <w:topLinePunct w:val="0"/>
              <w:autoSpaceDE/>
              <w:autoSpaceDN/>
              <w:bidi w:val="0"/>
              <w:adjustRightInd/>
              <w:snapToGrid w:val="0"/>
              <w:spacing w:line="360" w:lineRule="auto"/>
              <w:jc w:val="center"/>
              <w:textAlignment w:val="auto"/>
              <w:rPr>
                <w:color w:val="auto"/>
                <w:sz w:val="22"/>
                <w:szCs w:val="20"/>
                <w:highlight w:val="none"/>
              </w:rPr>
            </w:pPr>
          </w:p>
        </w:tc>
        <w:tc>
          <w:tcPr>
            <w:tcW w:w="2500" w:type="dxa"/>
            <w:vAlign w:val="center"/>
          </w:tcPr>
          <w:p w14:paraId="6AB4939A">
            <w:pPr>
              <w:keepNext w:val="0"/>
              <w:keepLines w:val="0"/>
              <w:pageBreakBefore w:val="0"/>
              <w:widowControl/>
              <w:kinsoku/>
              <w:wordWrap/>
              <w:overflowPunct/>
              <w:topLinePunct w:val="0"/>
              <w:autoSpaceDE/>
              <w:autoSpaceDN/>
              <w:bidi w:val="0"/>
              <w:adjustRightInd/>
              <w:snapToGrid w:val="0"/>
              <w:spacing w:line="360" w:lineRule="auto"/>
              <w:jc w:val="left"/>
              <w:textAlignment w:val="auto"/>
              <w:rPr>
                <w:color w:val="auto"/>
                <w:sz w:val="22"/>
                <w:szCs w:val="20"/>
                <w:highlight w:val="none"/>
              </w:rPr>
            </w:pPr>
          </w:p>
        </w:tc>
        <w:tc>
          <w:tcPr>
            <w:tcW w:w="2680" w:type="dxa"/>
            <w:vAlign w:val="center"/>
          </w:tcPr>
          <w:p w14:paraId="4A633F43">
            <w:pPr>
              <w:keepNext w:val="0"/>
              <w:keepLines w:val="0"/>
              <w:pageBreakBefore w:val="0"/>
              <w:widowControl/>
              <w:kinsoku/>
              <w:wordWrap/>
              <w:overflowPunct/>
              <w:topLinePunct w:val="0"/>
              <w:autoSpaceDE/>
              <w:autoSpaceDN/>
              <w:bidi w:val="0"/>
              <w:adjustRightInd/>
              <w:snapToGrid w:val="0"/>
              <w:spacing w:line="360" w:lineRule="auto"/>
              <w:jc w:val="left"/>
              <w:textAlignment w:val="auto"/>
              <w:rPr>
                <w:color w:val="auto"/>
                <w:sz w:val="22"/>
                <w:szCs w:val="20"/>
                <w:highlight w:val="none"/>
              </w:rPr>
            </w:pPr>
          </w:p>
        </w:tc>
        <w:tc>
          <w:tcPr>
            <w:tcW w:w="1979" w:type="dxa"/>
            <w:vAlign w:val="center"/>
          </w:tcPr>
          <w:p w14:paraId="71EC1ABB">
            <w:pPr>
              <w:keepNext w:val="0"/>
              <w:keepLines w:val="0"/>
              <w:pageBreakBefore w:val="0"/>
              <w:widowControl/>
              <w:kinsoku/>
              <w:wordWrap/>
              <w:overflowPunct/>
              <w:topLinePunct w:val="0"/>
              <w:autoSpaceDE/>
              <w:autoSpaceDN/>
              <w:bidi w:val="0"/>
              <w:adjustRightInd/>
              <w:snapToGrid w:val="0"/>
              <w:spacing w:line="360" w:lineRule="auto"/>
              <w:jc w:val="left"/>
              <w:textAlignment w:val="auto"/>
              <w:rPr>
                <w:color w:val="auto"/>
                <w:sz w:val="22"/>
                <w:szCs w:val="20"/>
                <w:highlight w:val="none"/>
              </w:rPr>
            </w:pPr>
          </w:p>
        </w:tc>
        <w:tc>
          <w:tcPr>
            <w:tcW w:w="1241" w:type="dxa"/>
            <w:vAlign w:val="center"/>
          </w:tcPr>
          <w:p w14:paraId="76FC549B">
            <w:pPr>
              <w:keepNext w:val="0"/>
              <w:keepLines w:val="0"/>
              <w:pageBreakBefore w:val="0"/>
              <w:widowControl/>
              <w:kinsoku/>
              <w:wordWrap/>
              <w:overflowPunct/>
              <w:topLinePunct w:val="0"/>
              <w:autoSpaceDE/>
              <w:autoSpaceDN/>
              <w:bidi w:val="0"/>
              <w:adjustRightInd/>
              <w:snapToGrid w:val="0"/>
              <w:spacing w:line="360" w:lineRule="auto"/>
              <w:jc w:val="left"/>
              <w:textAlignment w:val="auto"/>
              <w:rPr>
                <w:color w:val="auto"/>
                <w:sz w:val="22"/>
                <w:szCs w:val="20"/>
                <w:highlight w:val="none"/>
              </w:rPr>
            </w:pPr>
          </w:p>
        </w:tc>
      </w:tr>
      <w:tr w14:paraId="0091C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0" w:type="dxa"/>
            <w:gridSpan w:val="5"/>
            <w:vAlign w:val="center"/>
          </w:tcPr>
          <w:p w14:paraId="5750B138">
            <w:pPr>
              <w:keepNext w:val="0"/>
              <w:keepLines w:val="0"/>
              <w:pageBreakBefore w:val="0"/>
              <w:widowControl/>
              <w:kinsoku/>
              <w:wordWrap/>
              <w:overflowPunct/>
              <w:topLinePunct w:val="0"/>
              <w:autoSpaceDE/>
              <w:autoSpaceDN/>
              <w:bidi w:val="0"/>
              <w:adjustRightInd/>
              <w:snapToGrid w:val="0"/>
              <w:spacing w:line="360" w:lineRule="auto"/>
              <w:jc w:val="left"/>
              <w:textAlignment w:val="auto"/>
              <w:rPr>
                <w:color w:val="auto"/>
                <w:sz w:val="22"/>
                <w:szCs w:val="20"/>
                <w:highlight w:val="none"/>
              </w:rPr>
            </w:pPr>
            <w:r>
              <w:rPr>
                <w:color w:val="auto"/>
                <w:sz w:val="22"/>
                <w:szCs w:val="20"/>
                <w:highlight w:val="none"/>
              </w:rPr>
              <w:t>（</w:t>
            </w:r>
            <w:r>
              <w:rPr>
                <w:rFonts w:hint="eastAsia"/>
                <w:color w:val="auto"/>
                <w:sz w:val="22"/>
                <w:szCs w:val="20"/>
                <w:highlight w:val="none"/>
              </w:rPr>
              <w:t>五</w:t>
            </w:r>
            <w:r>
              <w:rPr>
                <w:color w:val="auto"/>
                <w:sz w:val="22"/>
                <w:szCs w:val="20"/>
                <w:highlight w:val="none"/>
              </w:rPr>
              <w:t>）履约保证金</w:t>
            </w:r>
          </w:p>
        </w:tc>
      </w:tr>
      <w:tr w14:paraId="65AA1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21DF061B">
            <w:pPr>
              <w:keepNext w:val="0"/>
              <w:keepLines w:val="0"/>
              <w:pageBreakBefore w:val="0"/>
              <w:widowControl/>
              <w:kinsoku/>
              <w:wordWrap/>
              <w:overflowPunct/>
              <w:topLinePunct w:val="0"/>
              <w:autoSpaceDE/>
              <w:autoSpaceDN/>
              <w:bidi w:val="0"/>
              <w:adjustRightInd/>
              <w:snapToGrid w:val="0"/>
              <w:spacing w:line="360" w:lineRule="auto"/>
              <w:jc w:val="center"/>
              <w:textAlignment w:val="auto"/>
              <w:rPr>
                <w:color w:val="auto"/>
                <w:sz w:val="22"/>
                <w:szCs w:val="20"/>
                <w:highlight w:val="none"/>
              </w:rPr>
            </w:pPr>
          </w:p>
        </w:tc>
        <w:tc>
          <w:tcPr>
            <w:tcW w:w="2500" w:type="dxa"/>
            <w:vAlign w:val="center"/>
          </w:tcPr>
          <w:p w14:paraId="50476374">
            <w:pPr>
              <w:keepNext w:val="0"/>
              <w:keepLines w:val="0"/>
              <w:pageBreakBefore w:val="0"/>
              <w:widowControl/>
              <w:kinsoku/>
              <w:wordWrap/>
              <w:overflowPunct/>
              <w:topLinePunct w:val="0"/>
              <w:autoSpaceDE/>
              <w:autoSpaceDN/>
              <w:bidi w:val="0"/>
              <w:adjustRightInd/>
              <w:snapToGrid w:val="0"/>
              <w:spacing w:line="360" w:lineRule="auto"/>
              <w:jc w:val="left"/>
              <w:textAlignment w:val="auto"/>
              <w:rPr>
                <w:color w:val="auto"/>
                <w:sz w:val="22"/>
                <w:szCs w:val="20"/>
                <w:highlight w:val="none"/>
              </w:rPr>
            </w:pPr>
          </w:p>
        </w:tc>
        <w:tc>
          <w:tcPr>
            <w:tcW w:w="2680" w:type="dxa"/>
            <w:vAlign w:val="center"/>
          </w:tcPr>
          <w:p w14:paraId="27582018">
            <w:pPr>
              <w:keepNext w:val="0"/>
              <w:keepLines w:val="0"/>
              <w:pageBreakBefore w:val="0"/>
              <w:widowControl/>
              <w:kinsoku/>
              <w:wordWrap/>
              <w:overflowPunct/>
              <w:topLinePunct w:val="0"/>
              <w:autoSpaceDE/>
              <w:autoSpaceDN/>
              <w:bidi w:val="0"/>
              <w:adjustRightInd/>
              <w:snapToGrid w:val="0"/>
              <w:spacing w:line="360" w:lineRule="auto"/>
              <w:jc w:val="left"/>
              <w:textAlignment w:val="auto"/>
              <w:rPr>
                <w:color w:val="auto"/>
                <w:sz w:val="22"/>
                <w:szCs w:val="20"/>
                <w:highlight w:val="none"/>
              </w:rPr>
            </w:pPr>
          </w:p>
        </w:tc>
        <w:tc>
          <w:tcPr>
            <w:tcW w:w="1979" w:type="dxa"/>
            <w:vAlign w:val="center"/>
          </w:tcPr>
          <w:p w14:paraId="4F088255">
            <w:pPr>
              <w:keepNext w:val="0"/>
              <w:keepLines w:val="0"/>
              <w:pageBreakBefore w:val="0"/>
              <w:widowControl/>
              <w:kinsoku/>
              <w:wordWrap/>
              <w:overflowPunct/>
              <w:topLinePunct w:val="0"/>
              <w:autoSpaceDE/>
              <w:autoSpaceDN/>
              <w:bidi w:val="0"/>
              <w:adjustRightInd/>
              <w:snapToGrid w:val="0"/>
              <w:spacing w:line="360" w:lineRule="auto"/>
              <w:jc w:val="left"/>
              <w:textAlignment w:val="auto"/>
              <w:rPr>
                <w:color w:val="auto"/>
                <w:sz w:val="22"/>
                <w:szCs w:val="20"/>
                <w:highlight w:val="none"/>
              </w:rPr>
            </w:pPr>
          </w:p>
        </w:tc>
        <w:tc>
          <w:tcPr>
            <w:tcW w:w="1241" w:type="dxa"/>
            <w:vAlign w:val="center"/>
          </w:tcPr>
          <w:p w14:paraId="7A6BE847">
            <w:pPr>
              <w:keepNext w:val="0"/>
              <w:keepLines w:val="0"/>
              <w:pageBreakBefore w:val="0"/>
              <w:widowControl/>
              <w:kinsoku/>
              <w:wordWrap/>
              <w:overflowPunct/>
              <w:topLinePunct w:val="0"/>
              <w:autoSpaceDE/>
              <w:autoSpaceDN/>
              <w:bidi w:val="0"/>
              <w:adjustRightInd/>
              <w:snapToGrid w:val="0"/>
              <w:spacing w:line="360" w:lineRule="auto"/>
              <w:jc w:val="left"/>
              <w:textAlignment w:val="auto"/>
              <w:rPr>
                <w:color w:val="auto"/>
                <w:sz w:val="22"/>
                <w:szCs w:val="20"/>
                <w:highlight w:val="none"/>
              </w:rPr>
            </w:pPr>
          </w:p>
        </w:tc>
      </w:tr>
      <w:tr w14:paraId="146BA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0" w:type="dxa"/>
            <w:gridSpan w:val="5"/>
            <w:vAlign w:val="center"/>
          </w:tcPr>
          <w:p w14:paraId="1493615A">
            <w:pPr>
              <w:keepNext w:val="0"/>
              <w:keepLines w:val="0"/>
              <w:pageBreakBefore w:val="0"/>
              <w:widowControl/>
              <w:kinsoku/>
              <w:wordWrap/>
              <w:overflowPunct/>
              <w:topLinePunct w:val="0"/>
              <w:autoSpaceDE/>
              <w:autoSpaceDN/>
              <w:bidi w:val="0"/>
              <w:adjustRightInd/>
              <w:snapToGrid w:val="0"/>
              <w:spacing w:line="360" w:lineRule="auto"/>
              <w:jc w:val="left"/>
              <w:textAlignment w:val="auto"/>
              <w:rPr>
                <w:color w:val="auto"/>
                <w:sz w:val="22"/>
                <w:szCs w:val="20"/>
                <w:highlight w:val="none"/>
              </w:rPr>
            </w:pPr>
            <w:r>
              <w:rPr>
                <w:rFonts w:hint="eastAsia"/>
                <w:color w:val="auto"/>
                <w:sz w:val="22"/>
                <w:szCs w:val="20"/>
                <w:highlight w:val="none"/>
              </w:rPr>
              <w:t>（六）验收标准</w:t>
            </w:r>
          </w:p>
        </w:tc>
      </w:tr>
      <w:tr w14:paraId="336AD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1976D83D">
            <w:pPr>
              <w:keepNext w:val="0"/>
              <w:keepLines w:val="0"/>
              <w:pageBreakBefore w:val="0"/>
              <w:widowControl/>
              <w:kinsoku/>
              <w:wordWrap/>
              <w:overflowPunct/>
              <w:topLinePunct w:val="0"/>
              <w:autoSpaceDE/>
              <w:autoSpaceDN/>
              <w:bidi w:val="0"/>
              <w:adjustRightInd/>
              <w:snapToGrid w:val="0"/>
              <w:spacing w:line="360" w:lineRule="auto"/>
              <w:jc w:val="center"/>
              <w:textAlignment w:val="auto"/>
              <w:rPr>
                <w:color w:val="auto"/>
                <w:sz w:val="22"/>
                <w:szCs w:val="20"/>
                <w:highlight w:val="none"/>
              </w:rPr>
            </w:pPr>
          </w:p>
        </w:tc>
        <w:tc>
          <w:tcPr>
            <w:tcW w:w="2500" w:type="dxa"/>
            <w:vAlign w:val="center"/>
          </w:tcPr>
          <w:p w14:paraId="74BDD6A6">
            <w:pPr>
              <w:keepNext w:val="0"/>
              <w:keepLines w:val="0"/>
              <w:pageBreakBefore w:val="0"/>
              <w:widowControl/>
              <w:kinsoku/>
              <w:wordWrap/>
              <w:overflowPunct/>
              <w:topLinePunct w:val="0"/>
              <w:autoSpaceDE/>
              <w:autoSpaceDN/>
              <w:bidi w:val="0"/>
              <w:adjustRightInd/>
              <w:snapToGrid w:val="0"/>
              <w:spacing w:line="360" w:lineRule="auto"/>
              <w:jc w:val="left"/>
              <w:textAlignment w:val="auto"/>
              <w:rPr>
                <w:color w:val="auto"/>
                <w:sz w:val="22"/>
                <w:szCs w:val="20"/>
                <w:highlight w:val="none"/>
              </w:rPr>
            </w:pPr>
          </w:p>
        </w:tc>
        <w:tc>
          <w:tcPr>
            <w:tcW w:w="2680" w:type="dxa"/>
            <w:vAlign w:val="center"/>
          </w:tcPr>
          <w:p w14:paraId="78FBBF21">
            <w:pPr>
              <w:keepNext w:val="0"/>
              <w:keepLines w:val="0"/>
              <w:pageBreakBefore w:val="0"/>
              <w:widowControl/>
              <w:kinsoku/>
              <w:wordWrap/>
              <w:overflowPunct/>
              <w:topLinePunct w:val="0"/>
              <w:autoSpaceDE/>
              <w:autoSpaceDN/>
              <w:bidi w:val="0"/>
              <w:adjustRightInd/>
              <w:snapToGrid w:val="0"/>
              <w:spacing w:line="360" w:lineRule="auto"/>
              <w:jc w:val="left"/>
              <w:textAlignment w:val="auto"/>
              <w:rPr>
                <w:color w:val="auto"/>
                <w:sz w:val="22"/>
                <w:szCs w:val="20"/>
                <w:highlight w:val="none"/>
              </w:rPr>
            </w:pPr>
          </w:p>
        </w:tc>
        <w:tc>
          <w:tcPr>
            <w:tcW w:w="1979" w:type="dxa"/>
            <w:vAlign w:val="center"/>
          </w:tcPr>
          <w:p w14:paraId="623166D6">
            <w:pPr>
              <w:keepNext w:val="0"/>
              <w:keepLines w:val="0"/>
              <w:pageBreakBefore w:val="0"/>
              <w:widowControl/>
              <w:kinsoku/>
              <w:wordWrap/>
              <w:overflowPunct/>
              <w:topLinePunct w:val="0"/>
              <w:autoSpaceDE/>
              <w:autoSpaceDN/>
              <w:bidi w:val="0"/>
              <w:adjustRightInd/>
              <w:snapToGrid w:val="0"/>
              <w:spacing w:line="360" w:lineRule="auto"/>
              <w:jc w:val="left"/>
              <w:textAlignment w:val="auto"/>
              <w:rPr>
                <w:color w:val="auto"/>
                <w:sz w:val="22"/>
                <w:szCs w:val="20"/>
                <w:highlight w:val="none"/>
              </w:rPr>
            </w:pPr>
          </w:p>
        </w:tc>
        <w:tc>
          <w:tcPr>
            <w:tcW w:w="1241" w:type="dxa"/>
            <w:vAlign w:val="center"/>
          </w:tcPr>
          <w:p w14:paraId="00C20E38">
            <w:pPr>
              <w:keepNext w:val="0"/>
              <w:keepLines w:val="0"/>
              <w:pageBreakBefore w:val="0"/>
              <w:widowControl/>
              <w:kinsoku/>
              <w:wordWrap/>
              <w:overflowPunct/>
              <w:topLinePunct w:val="0"/>
              <w:autoSpaceDE/>
              <w:autoSpaceDN/>
              <w:bidi w:val="0"/>
              <w:adjustRightInd/>
              <w:snapToGrid w:val="0"/>
              <w:spacing w:line="360" w:lineRule="auto"/>
              <w:jc w:val="left"/>
              <w:textAlignment w:val="auto"/>
              <w:rPr>
                <w:color w:val="auto"/>
                <w:sz w:val="22"/>
                <w:szCs w:val="20"/>
                <w:highlight w:val="none"/>
              </w:rPr>
            </w:pPr>
          </w:p>
        </w:tc>
      </w:tr>
    </w:tbl>
    <w:p w14:paraId="1CDD6047">
      <w:pPr>
        <w:keepNext w:val="0"/>
        <w:keepLines w:val="0"/>
        <w:pageBreakBefore w:val="0"/>
        <w:widowControl w:val="0"/>
        <w:kinsoku/>
        <w:wordWrap/>
        <w:overflowPunct/>
        <w:topLinePunct w:val="0"/>
        <w:autoSpaceDE/>
        <w:autoSpaceDN/>
        <w:bidi w:val="0"/>
        <w:adjustRightInd/>
        <w:spacing w:line="360" w:lineRule="auto"/>
        <w:textAlignment w:val="auto"/>
        <w:rPr>
          <w:rFonts w:ascii="宋体" w:hAnsi="Times New Roman" w:eastAsia="宋体" w:cs="Times New Roman"/>
          <w:color w:val="auto"/>
          <w:kern w:val="0"/>
          <w:sz w:val="24"/>
          <w:szCs w:val="20"/>
          <w:highlight w:val="none"/>
        </w:rPr>
      </w:pPr>
      <w:r>
        <w:rPr>
          <w:color w:val="auto"/>
          <w:sz w:val="22"/>
          <w:szCs w:val="20"/>
          <w:highlight w:val="none"/>
        </w:rPr>
        <w:t>注：</w:t>
      </w:r>
      <w:r>
        <w:rPr>
          <w:rFonts w:hint="eastAsia" w:ascii="宋体" w:hAnsi="Times New Roman" w:eastAsia="宋体" w:cs="Times New Roman"/>
          <w:color w:val="auto"/>
          <w:kern w:val="0"/>
          <w:sz w:val="24"/>
          <w:szCs w:val="20"/>
          <w:highlight w:val="none"/>
          <w:lang w:val="en-US" w:eastAsia="zh-CN"/>
        </w:rPr>
        <w:t>1.</w:t>
      </w:r>
      <w:r>
        <w:rPr>
          <w:rFonts w:hint="eastAsia" w:ascii="宋体" w:hAnsi="Times New Roman" w:eastAsia="宋体" w:cs="Times New Roman"/>
          <w:color w:val="auto"/>
          <w:kern w:val="0"/>
          <w:sz w:val="24"/>
          <w:szCs w:val="20"/>
          <w:highlight w:val="none"/>
          <w:lang w:eastAsia="zh-CN"/>
        </w:rPr>
        <w:t>不提供此表视为无效投标。</w:t>
      </w:r>
    </w:p>
    <w:p w14:paraId="1F8D114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ascii="宋体" w:hAnsi="Times New Roman" w:eastAsia="宋体" w:cs="Times New Roman"/>
          <w:color w:val="auto"/>
          <w:kern w:val="0"/>
          <w:sz w:val="24"/>
          <w:szCs w:val="20"/>
          <w:highlight w:val="none"/>
        </w:rPr>
      </w:pPr>
      <w:r>
        <w:rPr>
          <w:rFonts w:hint="eastAsia" w:ascii="宋体" w:hAnsi="Times New Roman" w:eastAsia="宋体" w:cs="Times New Roman"/>
          <w:color w:val="auto"/>
          <w:kern w:val="0"/>
          <w:sz w:val="24"/>
          <w:szCs w:val="20"/>
          <w:highlight w:val="none"/>
          <w:lang w:val="en-US" w:eastAsia="zh-CN"/>
        </w:rPr>
        <w:t xml:space="preserve">    2.</w:t>
      </w:r>
      <w:r>
        <w:rPr>
          <w:rFonts w:ascii="宋体" w:hAnsi="Times New Roman" w:eastAsia="宋体" w:cs="Times New Roman"/>
          <w:color w:val="auto"/>
          <w:kern w:val="0"/>
          <w:sz w:val="24"/>
          <w:szCs w:val="20"/>
          <w:highlight w:val="none"/>
        </w:rPr>
        <w:t>不如实填写偏离情况的视为虚假材料。</w:t>
      </w:r>
    </w:p>
    <w:p w14:paraId="74AB8DA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ascii="宋体" w:hAnsi="Times New Roman" w:eastAsia="宋体" w:cs="Times New Roman"/>
          <w:color w:val="auto"/>
          <w:kern w:val="0"/>
          <w:sz w:val="24"/>
          <w:szCs w:val="20"/>
          <w:highlight w:val="none"/>
        </w:rPr>
      </w:pPr>
      <w:r>
        <w:rPr>
          <w:rFonts w:hint="eastAsia" w:ascii="宋体" w:hAnsi="Times New Roman" w:eastAsia="宋体" w:cs="Times New Roman"/>
          <w:color w:val="auto"/>
          <w:kern w:val="0"/>
          <w:sz w:val="24"/>
          <w:szCs w:val="20"/>
          <w:highlight w:val="none"/>
          <w:lang w:val="en-US" w:eastAsia="zh-CN"/>
        </w:rPr>
        <w:t xml:space="preserve">    3.</w:t>
      </w:r>
      <w:r>
        <w:rPr>
          <w:rFonts w:hint="eastAsia" w:ascii="宋体" w:hAnsi="Times New Roman" w:eastAsia="宋体" w:cs="Times New Roman"/>
          <w:color w:val="auto"/>
          <w:kern w:val="0"/>
          <w:sz w:val="24"/>
          <w:szCs w:val="20"/>
          <w:highlight w:val="none"/>
        </w:rPr>
        <w:t>条款号指项目需求书中的序号或者编号，项目需求书中标注“</w:t>
      </w:r>
      <w:r>
        <w:rPr>
          <w:rFonts w:hint="eastAsia" w:ascii="宋体" w:hAnsi="宋体" w:eastAsia="宋体" w:cs="宋体"/>
          <w:color w:val="auto"/>
          <w:kern w:val="0"/>
          <w:sz w:val="24"/>
          <w:szCs w:val="24"/>
          <w:highlight w:val="none"/>
        </w:rPr>
        <w:t>●</w:t>
      </w:r>
      <w:r>
        <w:rPr>
          <w:rFonts w:hint="eastAsia" w:ascii="宋体" w:hAnsi="Times New Roman" w:eastAsia="宋体" w:cs="Times New Roman"/>
          <w:color w:val="auto"/>
          <w:kern w:val="0"/>
          <w:sz w:val="24"/>
          <w:szCs w:val="20"/>
          <w:highlight w:val="none"/>
        </w:rPr>
        <w:t>”的条款， 也必须在“条款号”中标注“</w:t>
      </w:r>
      <w:r>
        <w:rPr>
          <w:rFonts w:hint="eastAsia" w:ascii="宋体" w:hAnsi="宋体" w:eastAsia="宋体" w:cs="宋体"/>
          <w:color w:val="auto"/>
          <w:kern w:val="0"/>
          <w:sz w:val="24"/>
          <w:szCs w:val="24"/>
          <w:highlight w:val="none"/>
        </w:rPr>
        <w:t>●</w:t>
      </w:r>
      <w:r>
        <w:rPr>
          <w:rFonts w:hint="eastAsia" w:ascii="宋体" w:hAnsi="Times New Roman" w:eastAsia="宋体" w:cs="Times New Roman"/>
          <w:color w:val="auto"/>
          <w:kern w:val="0"/>
          <w:sz w:val="24"/>
          <w:szCs w:val="20"/>
          <w:highlight w:val="none"/>
        </w:rPr>
        <w:t>”。</w:t>
      </w:r>
    </w:p>
    <w:p w14:paraId="49CECF13">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Times New Roman" w:eastAsia="宋体" w:cs="Times New Roman"/>
          <w:color w:val="auto"/>
          <w:kern w:val="0"/>
          <w:sz w:val="24"/>
          <w:szCs w:val="20"/>
          <w:highlight w:val="none"/>
        </w:rPr>
      </w:pPr>
      <w:r>
        <w:rPr>
          <w:rFonts w:hint="eastAsia" w:ascii="宋体" w:hAnsi="Times New Roman" w:eastAsia="宋体" w:cs="Times New Roman"/>
          <w:color w:val="auto"/>
          <w:kern w:val="0"/>
          <w:sz w:val="24"/>
          <w:szCs w:val="20"/>
          <w:highlight w:val="none"/>
          <w:lang w:val="en-US" w:eastAsia="zh-CN"/>
        </w:rPr>
        <w:t xml:space="preserve">    4</w:t>
      </w:r>
      <w:r>
        <w:rPr>
          <w:rFonts w:ascii="宋体" w:hAnsi="Times New Roman" w:eastAsia="宋体" w:cs="Times New Roman"/>
          <w:color w:val="auto"/>
          <w:kern w:val="0"/>
          <w:sz w:val="24"/>
          <w:szCs w:val="20"/>
          <w:highlight w:val="none"/>
        </w:rPr>
        <w:t>. 偏离说明指招标要求与投标应答之间的不同之处</w:t>
      </w:r>
      <w:r>
        <w:rPr>
          <w:rFonts w:hint="eastAsia" w:ascii="宋体" w:hAnsi="Times New Roman" w:eastAsia="宋体" w:cs="Times New Roman"/>
          <w:color w:val="auto"/>
          <w:kern w:val="0"/>
          <w:sz w:val="24"/>
          <w:szCs w:val="20"/>
          <w:highlight w:val="none"/>
          <w:lang w:eastAsia="zh-CN"/>
        </w:rPr>
        <w:t>，如：正偏离、负偏离、无偏离</w:t>
      </w:r>
      <w:r>
        <w:rPr>
          <w:rFonts w:ascii="宋体" w:hAnsi="Times New Roman" w:eastAsia="宋体" w:cs="Times New Roman"/>
          <w:color w:val="auto"/>
          <w:kern w:val="0"/>
          <w:sz w:val="24"/>
          <w:szCs w:val="20"/>
          <w:highlight w:val="none"/>
        </w:rPr>
        <w:t>。</w:t>
      </w:r>
    </w:p>
    <w:p w14:paraId="3EA1E229">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hAnsi="宋体"/>
          <w:color w:val="auto"/>
          <w:sz w:val="22"/>
          <w:szCs w:val="22"/>
          <w:highlight w:val="none"/>
          <w:lang w:val="en-US" w:eastAsia="zh-CN"/>
        </w:rPr>
      </w:pPr>
      <w:r>
        <w:rPr>
          <w:rFonts w:hint="eastAsia" w:ascii="宋体" w:hAnsi="Times New Roman" w:eastAsia="宋体" w:cs="Times New Roman"/>
          <w:color w:val="auto"/>
          <w:kern w:val="0"/>
          <w:sz w:val="24"/>
          <w:szCs w:val="20"/>
          <w:highlight w:val="none"/>
          <w:lang w:val="en-US" w:eastAsia="zh-CN"/>
        </w:rPr>
        <w:t xml:space="preserve">    5</w:t>
      </w:r>
      <w:r>
        <w:rPr>
          <w:rFonts w:hint="eastAsia" w:ascii="宋体" w:hAnsi="Times New Roman" w:eastAsia="宋体" w:cs="Times New Roman"/>
          <w:color w:val="auto"/>
          <w:kern w:val="0"/>
          <w:sz w:val="24"/>
          <w:szCs w:val="20"/>
          <w:highlight w:val="none"/>
        </w:rPr>
        <w:t>. 投标人在《技术响应表》的投标应答中必须列出具体数值或内容。如投标人未应答或只注明“符合”、“满足”等类似无具体内容的表述，将被视为不符合招标文件要求。投标人自行承担由此造成的一切后果。</w:t>
      </w:r>
      <w:r>
        <w:rPr>
          <w:rFonts w:hint="eastAsia" w:hAnsi="宋体"/>
          <w:color w:val="auto"/>
          <w:sz w:val="22"/>
          <w:szCs w:val="22"/>
          <w:highlight w:val="none"/>
        </w:rPr>
        <w:t xml:space="preserve">                               </w:t>
      </w:r>
      <w:r>
        <w:rPr>
          <w:rFonts w:hint="eastAsia" w:hAnsi="宋体"/>
          <w:color w:val="auto"/>
          <w:sz w:val="22"/>
          <w:szCs w:val="22"/>
          <w:highlight w:val="none"/>
          <w:lang w:val="en-US" w:eastAsia="zh-CN"/>
        </w:rPr>
        <w:t xml:space="preserve">    </w:t>
      </w:r>
    </w:p>
    <w:p w14:paraId="47CAB75B">
      <w:pPr>
        <w:adjustRightInd w:val="0"/>
        <w:spacing w:line="360" w:lineRule="auto"/>
        <w:ind w:firstLine="440" w:firstLineChars="200"/>
        <w:jc w:val="left"/>
        <w:rPr>
          <w:rFonts w:hAnsi="宋体"/>
          <w:color w:val="auto"/>
          <w:sz w:val="22"/>
          <w:szCs w:val="22"/>
          <w:highlight w:val="none"/>
        </w:rPr>
      </w:pPr>
      <w:r>
        <w:rPr>
          <w:rFonts w:hint="eastAsia" w:hAnsi="宋体"/>
          <w:color w:val="auto"/>
          <w:sz w:val="22"/>
          <w:szCs w:val="22"/>
          <w:highlight w:val="none"/>
          <w:lang w:val="en-US" w:eastAsia="zh-CN"/>
        </w:rPr>
        <w:t xml:space="preserve">                                </w:t>
      </w:r>
      <w:r>
        <w:rPr>
          <w:rFonts w:hint="eastAsia" w:hAnsi="宋体"/>
          <w:color w:val="auto"/>
          <w:sz w:val="22"/>
          <w:szCs w:val="22"/>
          <w:highlight w:val="none"/>
        </w:rPr>
        <w:t xml:space="preserve">投标人（公章）：         </w:t>
      </w:r>
    </w:p>
    <w:p w14:paraId="6723F892">
      <w:pPr>
        <w:adjustRightInd w:val="0"/>
        <w:spacing w:line="360" w:lineRule="auto"/>
        <w:jc w:val="left"/>
        <w:rPr>
          <w:rFonts w:hAnsi="宋体"/>
          <w:bCs/>
          <w:color w:val="auto"/>
          <w:sz w:val="22"/>
          <w:szCs w:val="22"/>
          <w:highlight w:val="none"/>
        </w:rPr>
      </w:pPr>
      <w:r>
        <w:rPr>
          <w:rFonts w:hint="eastAsia" w:hAnsi="宋体"/>
          <w:color w:val="auto"/>
          <w:sz w:val="22"/>
          <w:szCs w:val="22"/>
          <w:highlight w:val="none"/>
        </w:rPr>
        <w:t xml:space="preserve">                                    法定代表人或</w:t>
      </w:r>
      <w:r>
        <w:rPr>
          <w:rFonts w:hint="eastAsia" w:hAnsi="宋体"/>
          <w:color w:val="auto"/>
          <w:sz w:val="22"/>
          <w:szCs w:val="22"/>
          <w:highlight w:val="none"/>
          <w:lang w:eastAsia="zh-CN"/>
        </w:rPr>
        <w:t>授权代表</w:t>
      </w:r>
      <w:r>
        <w:rPr>
          <w:rFonts w:hint="eastAsia" w:hAnsi="宋体"/>
          <w:color w:val="auto"/>
          <w:sz w:val="22"/>
          <w:szCs w:val="22"/>
          <w:highlight w:val="none"/>
        </w:rPr>
        <w:t>（签字</w:t>
      </w:r>
      <w:r>
        <w:rPr>
          <w:rFonts w:hint="eastAsia" w:hAnsi="宋体"/>
          <w:color w:val="auto"/>
          <w:sz w:val="22"/>
          <w:szCs w:val="22"/>
          <w:highlight w:val="none"/>
          <w:lang w:eastAsia="zh-CN"/>
        </w:rPr>
        <w:t>或盖章</w:t>
      </w:r>
      <w:r>
        <w:rPr>
          <w:rFonts w:hint="eastAsia" w:hAnsi="宋体"/>
          <w:color w:val="auto"/>
          <w:sz w:val="22"/>
          <w:szCs w:val="22"/>
          <w:highlight w:val="none"/>
        </w:rPr>
        <w:t>）：</w:t>
      </w:r>
    </w:p>
    <w:p w14:paraId="6485E91E">
      <w:pPr>
        <w:autoSpaceDN w:val="0"/>
        <w:spacing w:line="360" w:lineRule="auto"/>
        <w:jc w:val="center"/>
        <w:outlineLvl w:val="9"/>
        <w:rPr>
          <w:rFonts w:hint="eastAsia" w:hAnsi="宋体"/>
          <w:color w:val="auto"/>
          <w:sz w:val="22"/>
          <w:szCs w:val="22"/>
          <w:highlight w:val="none"/>
        </w:rPr>
      </w:pPr>
      <w:r>
        <w:rPr>
          <w:rFonts w:hint="eastAsia" w:hAnsi="宋体"/>
          <w:bCs/>
          <w:color w:val="auto"/>
          <w:sz w:val="24"/>
          <w:szCs w:val="24"/>
          <w:highlight w:val="none"/>
        </w:rPr>
        <w:t xml:space="preserve">                       </w:t>
      </w:r>
      <w:r>
        <w:rPr>
          <w:rFonts w:hint="eastAsia" w:hAnsi="宋体"/>
          <w:bCs/>
          <w:color w:val="auto"/>
          <w:sz w:val="22"/>
          <w:szCs w:val="22"/>
          <w:highlight w:val="none"/>
        </w:rPr>
        <w:t>日  期</w:t>
      </w:r>
      <w:r>
        <w:rPr>
          <w:rFonts w:hAnsi="宋体"/>
          <w:bCs/>
          <w:color w:val="auto"/>
          <w:sz w:val="22"/>
          <w:szCs w:val="22"/>
          <w:highlight w:val="none"/>
        </w:rPr>
        <w:t>:</w:t>
      </w:r>
      <w:r>
        <w:rPr>
          <w:rFonts w:hint="eastAsia" w:hAnsi="宋体"/>
          <w:bCs/>
          <w:color w:val="auto"/>
          <w:sz w:val="22"/>
          <w:szCs w:val="22"/>
          <w:highlight w:val="none"/>
          <w:lang w:val="en-US" w:eastAsia="zh-CN"/>
        </w:rPr>
        <w:t xml:space="preserve">   </w:t>
      </w:r>
      <w:r>
        <w:rPr>
          <w:rFonts w:hAnsi="宋体"/>
          <w:color w:val="auto"/>
          <w:sz w:val="22"/>
          <w:szCs w:val="22"/>
          <w:highlight w:val="none"/>
        </w:rPr>
        <w:t>年</w:t>
      </w:r>
      <w:r>
        <w:rPr>
          <w:rFonts w:hint="eastAsia" w:hAnsi="宋体"/>
          <w:color w:val="auto"/>
          <w:sz w:val="22"/>
          <w:szCs w:val="22"/>
          <w:highlight w:val="none"/>
          <w:lang w:val="en-US" w:eastAsia="zh-CN"/>
        </w:rPr>
        <w:t xml:space="preserve">  </w:t>
      </w:r>
      <w:r>
        <w:rPr>
          <w:rFonts w:hAnsi="宋体"/>
          <w:color w:val="auto"/>
          <w:sz w:val="22"/>
          <w:szCs w:val="22"/>
          <w:highlight w:val="none"/>
        </w:rPr>
        <w:t>月</w:t>
      </w:r>
      <w:r>
        <w:rPr>
          <w:rFonts w:hint="eastAsia" w:hAnsi="宋体"/>
          <w:color w:val="auto"/>
          <w:sz w:val="22"/>
          <w:szCs w:val="22"/>
          <w:highlight w:val="none"/>
          <w:lang w:val="en-US" w:eastAsia="zh-CN"/>
        </w:rPr>
        <w:t xml:space="preserve">  </w:t>
      </w:r>
      <w:r>
        <w:rPr>
          <w:rFonts w:hint="eastAsia" w:hAnsi="宋体"/>
          <w:color w:val="auto"/>
          <w:sz w:val="22"/>
          <w:szCs w:val="22"/>
          <w:highlight w:val="none"/>
        </w:rPr>
        <w:t>日</w:t>
      </w:r>
    </w:p>
    <w:p w14:paraId="5FF988D8">
      <w:pPr>
        <w:keepNext w:val="0"/>
        <w:keepLines w:val="0"/>
        <w:pageBreakBefore/>
        <w:widowControl w:val="0"/>
        <w:kinsoku/>
        <w:wordWrap/>
        <w:overflowPunct/>
        <w:topLinePunct w:val="0"/>
        <w:autoSpaceDE/>
        <w:autoSpaceDN w:val="0"/>
        <w:bidi w:val="0"/>
        <w:adjustRightInd/>
        <w:snapToGrid/>
        <w:spacing w:line="360" w:lineRule="auto"/>
        <w:jc w:val="center"/>
        <w:textAlignment w:val="auto"/>
        <w:outlineLvl w:val="1"/>
        <w:rPr>
          <w:color w:val="auto"/>
          <w:sz w:val="24"/>
          <w:highlight w:val="none"/>
        </w:rPr>
      </w:pPr>
      <w:bookmarkStart w:id="117" w:name="_Toc122"/>
      <w:r>
        <w:rPr>
          <w:rFonts w:hint="eastAsia"/>
          <w:color w:val="auto"/>
          <w:sz w:val="28"/>
          <w:szCs w:val="28"/>
          <w:highlight w:val="none"/>
          <w:lang w:val="en-US" w:eastAsia="zh-CN"/>
        </w:rPr>
        <w:t>八</w:t>
      </w:r>
      <w:r>
        <w:rPr>
          <w:rFonts w:hint="eastAsia"/>
          <w:color w:val="auto"/>
          <w:sz w:val="28"/>
          <w:szCs w:val="28"/>
          <w:highlight w:val="none"/>
        </w:rPr>
        <w:t>、</w:t>
      </w:r>
      <w:r>
        <w:rPr>
          <w:rFonts w:hint="eastAsia"/>
          <w:b/>
          <w:bCs/>
          <w:color w:val="auto"/>
          <w:sz w:val="28"/>
          <w:szCs w:val="28"/>
          <w:highlight w:val="none"/>
        </w:rPr>
        <w:t>售后服务承诺</w:t>
      </w:r>
      <w:bookmarkEnd w:id="117"/>
    </w:p>
    <w:tbl>
      <w:tblPr>
        <w:tblStyle w:val="46"/>
        <w:tblW w:w="8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289"/>
        <w:gridCol w:w="6843"/>
      </w:tblGrid>
      <w:tr w14:paraId="7E7B8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3" w:type="dxa"/>
            <w:tcBorders>
              <w:top w:val="single" w:color="auto" w:sz="4" w:space="0"/>
              <w:left w:val="single" w:color="auto" w:sz="4" w:space="0"/>
              <w:bottom w:val="single" w:color="auto" w:sz="4" w:space="0"/>
              <w:right w:val="single" w:color="auto" w:sz="4" w:space="0"/>
            </w:tcBorders>
            <w:vAlign w:val="center"/>
          </w:tcPr>
          <w:p w14:paraId="6AC05685">
            <w:pPr>
              <w:pStyle w:val="169"/>
              <w:spacing w:line="360" w:lineRule="auto"/>
              <w:jc w:val="center"/>
              <w:rPr>
                <w:rFonts w:cs="Arial"/>
                <w:color w:val="auto"/>
                <w:sz w:val="24"/>
                <w:highlight w:val="none"/>
              </w:rPr>
            </w:pPr>
            <w:r>
              <w:rPr>
                <w:rFonts w:hint="eastAsia" w:cs="Arial"/>
                <w:color w:val="auto"/>
                <w:sz w:val="24"/>
                <w:highlight w:val="none"/>
              </w:rPr>
              <w:t>序号</w:t>
            </w:r>
          </w:p>
        </w:tc>
        <w:tc>
          <w:tcPr>
            <w:tcW w:w="1289" w:type="dxa"/>
            <w:tcBorders>
              <w:top w:val="single" w:color="auto" w:sz="4" w:space="0"/>
              <w:left w:val="single" w:color="auto" w:sz="4" w:space="0"/>
              <w:bottom w:val="single" w:color="auto" w:sz="4" w:space="0"/>
              <w:right w:val="single" w:color="auto" w:sz="4" w:space="0"/>
            </w:tcBorders>
            <w:vAlign w:val="center"/>
          </w:tcPr>
          <w:p w14:paraId="07BEDC09">
            <w:pPr>
              <w:pStyle w:val="169"/>
              <w:spacing w:line="360" w:lineRule="auto"/>
              <w:jc w:val="center"/>
              <w:rPr>
                <w:rFonts w:cs="Arial"/>
                <w:color w:val="auto"/>
                <w:sz w:val="24"/>
                <w:highlight w:val="none"/>
              </w:rPr>
            </w:pPr>
            <w:r>
              <w:rPr>
                <w:rFonts w:hint="eastAsia" w:cs="Arial"/>
                <w:color w:val="auto"/>
                <w:sz w:val="24"/>
                <w:highlight w:val="none"/>
              </w:rPr>
              <w:t>项目</w:t>
            </w:r>
          </w:p>
        </w:tc>
        <w:tc>
          <w:tcPr>
            <w:tcW w:w="6843" w:type="dxa"/>
            <w:tcBorders>
              <w:top w:val="single" w:color="auto" w:sz="4" w:space="0"/>
              <w:left w:val="single" w:color="auto" w:sz="4" w:space="0"/>
              <w:bottom w:val="single" w:color="auto" w:sz="4" w:space="0"/>
              <w:right w:val="single" w:color="auto" w:sz="4" w:space="0"/>
            </w:tcBorders>
            <w:vAlign w:val="center"/>
          </w:tcPr>
          <w:p w14:paraId="3BA80C9E">
            <w:pPr>
              <w:pStyle w:val="169"/>
              <w:spacing w:line="360" w:lineRule="auto"/>
              <w:jc w:val="center"/>
              <w:rPr>
                <w:rFonts w:cs="Arial"/>
                <w:color w:val="auto"/>
                <w:sz w:val="24"/>
                <w:highlight w:val="none"/>
              </w:rPr>
            </w:pPr>
            <w:r>
              <w:rPr>
                <w:rFonts w:hint="eastAsia" w:cs="Arial"/>
                <w:color w:val="auto"/>
                <w:sz w:val="24"/>
                <w:highlight w:val="none"/>
              </w:rPr>
              <w:t>承诺内容</w:t>
            </w:r>
          </w:p>
        </w:tc>
      </w:tr>
      <w:tr w14:paraId="09B9E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8" w:hRule="atLeast"/>
          <w:jc w:val="center"/>
        </w:trPr>
        <w:tc>
          <w:tcPr>
            <w:tcW w:w="843" w:type="dxa"/>
            <w:tcBorders>
              <w:top w:val="single" w:color="auto" w:sz="4" w:space="0"/>
              <w:left w:val="single" w:color="auto" w:sz="4" w:space="0"/>
              <w:bottom w:val="single" w:color="auto" w:sz="4" w:space="0"/>
              <w:right w:val="single" w:color="auto" w:sz="4" w:space="0"/>
            </w:tcBorders>
            <w:vAlign w:val="center"/>
          </w:tcPr>
          <w:p w14:paraId="3D10676E">
            <w:pPr>
              <w:pStyle w:val="169"/>
              <w:spacing w:line="360" w:lineRule="auto"/>
              <w:jc w:val="center"/>
              <w:rPr>
                <w:rFonts w:cs="Arial"/>
                <w:bCs/>
                <w:color w:val="auto"/>
                <w:sz w:val="24"/>
                <w:highlight w:val="none"/>
              </w:rPr>
            </w:pPr>
            <w:r>
              <w:rPr>
                <w:rFonts w:hint="eastAsia" w:cs="Arial"/>
                <w:bCs/>
                <w:color w:val="auto"/>
                <w:sz w:val="24"/>
                <w:highlight w:val="none"/>
              </w:rPr>
              <w:t>1</w:t>
            </w:r>
          </w:p>
        </w:tc>
        <w:tc>
          <w:tcPr>
            <w:tcW w:w="1289" w:type="dxa"/>
            <w:tcBorders>
              <w:top w:val="single" w:color="auto" w:sz="4" w:space="0"/>
              <w:left w:val="single" w:color="auto" w:sz="4" w:space="0"/>
              <w:bottom w:val="single" w:color="auto" w:sz="4" w:space="0"/>
              <w:right w:val="single" w:color="auto" w:sz="4" w:space="0"/>
            </w:tcBorders>
            <w:vAlign w:val="center"/>
          </w:tcPr>
          <w:p w14:paraId="61EE55CE">
            <w:pPr>
              <w:pStyle w:val="169"/>
              <w:spacing w:line="360" w:lineRule="auto"/>
              <w:jc w:val="center"/>
              <w:rPr>
                <w:rFonts w:cs="Arial"/>
                <w:bCs/>
                <w:color w:val="auto"/>
                <w:sz w:val="24"/>
                <w:highlight w:val="none"/>
              </w:rPr>
            </w:pPr>
            <w:r>
              <w:rPr>
                <w:rFonts w:hint="eastAsia" w:cs="Arial"/>
                <w:bCs/>
                <w:color w:val="auto"/>
                <w:sz w:val="24"/>
                <w:highlight w:val="none"/>
              </w:rPr>
              <w:t>保修期内</w:t>
            </w:r>
          </w:p>
        </w:tc>
        <w:tc>
          <w:tcPr>
            <w:tcW w:w="6843" w:type="dxa"/>
            <w:tcBorders>
              <w:top w:val="single" w:color="auto" w:sz="4" w:space="0"/>
              <w:left w:val="single" w:color="auto" w:sz="4" w:space="0"/>
              <w:right w:val="single" w:color="auto" w:sz="4" w:space="0"/>
            </w:tcBorders>
            <w:vAlign w:val="center"/>
          </w:tcPr>
          <w:p w14:paraId="10CDBCD4">
            <w:pPr>
              <w:pStyle w:val="169"/>
              <w:spacing w:line="360" w:lineRule="auto"/>
              <w:rPr>
                <w:rFonts w:cs="Arial"/>
                <w:bCs/>
                <w:color w:val="auto"/>
                <w:sz w:val="24"/>
                <w:highlight w:val="none"/>
              </w:rPr>
            </w:pPr>
          </w:p>
        </w:tc>
      </w:tr>
      <w:tr w14:paraId="4A768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8" w:hRule="atLeast"/>
          <w:jc w:val="center"/>
        </w:trPr>
        <w:tc>
          <w:tcPr>
            <w:tcW w:w="843" w:type="dxa"/>
            <w:tcBorders>
              <w:top w:val="single" w:color="auto" w:sz="4" w:space="0"/>
              <w:left w:val="single" w:color="auto" w:sz="4" w:space="0"/>
              <w:right w:val="single" w:color="auto" w:sz="4" w:space="0"/>
            </w:tcBorders>
            <w:vAlign w:val="center"/>
          </w:tcPr>
          <w:p w14:paraId="204C911E">
            <w:pPr>
              <w:pStyle w:val="169"/>
              <w:spacing w:line="360" w:lineRule="auto"/>
              <w:jc w:val="center"/>
              <w:rPr>
                <w:rFonts w:cs="Arial"/>
                <w:bCs/>
                <w:color w:val="auto"/>
                <w:sz w:val="24"/>
                <w:highlight w:val="none"/>
              </w:rPr>
            </w:pPr>
            <w:r>
              <w:rPr>
                <w:rFonts w:hint="eastAsia" w:cs="Arial"/>
                <w:bCs/>
                <w:color w:val="auto"/>
                <w:sz w:val="24"/>
                <w:highlight w:val="none"/>
              </w:rPr>
              <w:t>2</w:t>
            </w:r>
          </w:p>
        </w:tc>
        <w:tc>
          <w:tcPr>
            <w:tcW w:w="1289" w:type="dxa"/>
            <w:tcBorders>
              <w:top w:val="single" w:color="auto" w:sz="4" w:space="0"/>
              <w:left w:val="single" w:color="auto" w:sz="4" w:space="0"/>
              <w:right w:val="single" w:color="auto" w:sz="4" w:space="0"/>
            </w:tcBorders>
            <w:vAlign w:val="center"/>
          </w:tcPr>
          <w:p w14:paraId="6DB7D32D">
            <w:pPr>
              <w:pStyle w:val="169"/>
              <w:spacing w:line="360" w:lineRule="auto"/>
              <w:jc w:val="center"/>
              <w:rPr>
                <w:rFonts w:cs="Arial"/>
                <w:bCs/>
                <w:color w:val="auto"/>
                <w:sz w:val="24"/>
                <w:highlight w:val="none"/>
              </w:rPr>
            </w:pPr>
            <w:r>
              <w:rPr>
                <w:rFonts w:hint="eastAsia" w:cs="Arial"/>
                <w:bCs/>
                <w:color w:val="auto"/>
                <w:sz w:val="24"/>
                <w:highlight w:val="none"/>
              </w:rPr>
              <w:t>保修期后</w:t>
            </w:r>
          </w:p>
        </w:tc>
        <w:tc>
          <w:tcPr>
            <w:tcW w:w="6843" w:type="dxa"/>
            <w:tcBorders>
              <w:top w:val="single" w:color="auto" w:sz="4" w:space="0"/>
              <w:left w:val="single" w:color="auto" w:sz="4" w:space="0"/>
              <w:right w:val="single" w:color="auto" w:sz="4" w:space="0"/>
            </w:tcBorders>
            <w:vAlign w:val="center"/>
          </w:tcPr>
          <w:p w14:paraId="317FE2BE">
            <w:pPr>
              <w:pStyle w:val="169"/>
              <w:spacing w:line="360" w:lineRule="auto"/>
              <w:rPr>
                <w:rFonts w:cs="Arial"/>
                <w:bCs/>
                <w:color w:val="auto"/>
                <w:sz w:val="24"/>
                <w:highlight w:val="none"/>
              </w:rPr>
            </w:pPr>
          </w:p>
        </w:tc>
      </w:tr>
      <w:tr w14:paraId="1F2C1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3" w:type="dxa"/>
            <w:tcBorders>
              <w:top w:val="single" w:color="auto" w:sz="4" w:space="0"/>
              <w:left w:val="single" w:color="auto" w:sz="4" w:space="0"/>
              <w:bottom w:val="single" w:color="auto" w:sz="4" w:space="0"/>
              <w:right w:val="single" w:color="auto" w:sz="4" w:space="0"/>
            </w:tcBorders>
            <w:vAlign w:val="center"/>
          </w:tcPr>
          <w:p w14:paraId="509B08AB">
            <w:pPr>
              <w:pStyle w:val="169"/>
              <w:spacing w:line="360" w:lineRule="auto"/>
              <w:jc w:val="center"/>
              <w:rPr>
                <w:rFonts w:cs="Arial"/>
                <w:bCs/>
                <w:color w:val="auto"/>
                <w:sz w:val="24"/>
                <w:highlight w:val="none"/>
              </w:rPr>
            </w:pPr>
            <w:r>
              <w:rPr>
                <w:rFonts w:hint="eastAsia" w:cs="Arial"/>
                <w:bCs/>
                <w:color w:val="auto"/>
                <w:sz w:val="24"/>
                <w:highlight w:val="none"/>
              </w:rPr>
              <w:t>3</w:t>
            </w:r>
          </w:p>
        </w:tc>
        <w:tc>
          <w:tcPr>
            <w:tcW w:w="1289" w:type="dxa"/>
            <w:tcBorders>
              <w:top w:val="single" w:color="auto" w:sz="4" w:space="0"/>
              <w:left w:val="single" w:color="auto" w:sz="4" w:space="0"/>
              <w:bottom w:val="single" w:color="auto" w:sz="4" w:space="0"/>
              <w:right w:val="single" w:color="auto" w:sz="4" w:space="0"/>
            </w:tcBorders>
            <w:vAlign w:val="center"/>
          </w:tcPr>
          <w:p w14:paraId="417F4A0E">
            <w:pPr>
              <w:pStyle w:val="169"/>
              <w:spacing w:line="360" w:lineRule="auto"/>
              <w:jc w:val="center"/>
              <w:rPr>
                <w:rFonts w:cs="Arial"/>
                <w:bCs/>
                <w:color w:val="auto"/>
                <w:sz w:val="24"/>
                <w:highlight w:val="none"/>
              </w:rPr>
            </w:pPr>
            <w:r>
              <w:rPr>
                <w:rFonts w:hint="eastAsia" w:cs="Arial"/>
                <w:bCs/>
                <w:color w:val="auto"/>
                <w:sz w:val="24"/>
                <w:highlight w:val="none"/>
              </w:rPr>
              <w:t>培训方案</w:t>
            </w:r>
          </w:p>
        </w:tc>
        <w:tc>
          <w:tcPr>
            <w:tcW w:w="6843" w:type="dxa"/>
            <w:tcBorders>
              <w:top w:val="single" w:color="auto" w:sz="4" w:space="0"/>
              <w:left w:val="single" w:color="auto" w:sz="4" w:space="0"/>
              <w:bottom w:val="single" w:color="auto" w:sz="4" w:space="0"/>
              <w:right w:val="single" w:color="auto" w:sz="4" w:space="0"/>
            </w:tcBorders>
            <w:vAlign w:val="center"/>
          </w:tcPr>
          <w:p w14:paraId="328B48FB">
            <w:pPr>
              <w:pStyle w:val="169"/>
              <w:spacing w:line="360" w:lineRule="auto"/>
              <w:rPr>
                <w:rFonts w:cs="Arial"/>
                <w:bCs/>
                <w:color w:val="auto"/>
                <w:sz w:val="24"/>
                <w:highlight w:val="none"/>
              </w:rPr>
            </w:pPr>
          </w:p>
          <w:p w14:paraId="7A43A886">
            <w:pPr>
              <w:pStyle w:val="169"/>
              <w:spacing w:line="360" w:lineRule="auto"/>
              <w:rPr>
                <w:rFonts w:cs="Arial"/>
                <w:bCs/>
                <w:color w:val="auto"/>
                <w:sz w:val="24"/>
                <w:highlight w:val="none"/>
              </w:rPr>
            </w:pPr>
          </w:p>
        </w:tc>
      </w:tr>
      <w:tr w14:paraId="33A5D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3" w:type="dxa"/>
            <w:tcBorders>
              <w:top w:val="single" w:color="auto" w:sz="4" w:space="0"/>
              <w:left w:val="single" w:color="auto" w:sz="4" w:space="0"/>
              <w:bottom w:val="single" w:color="auto" w:sz="4" w:space="0"/>
              <w:right w:val="single" w:color="auto" w:sz="4" w:space="0"/>
            </w:tcBorders>
            <w:vAlign w:val="center"/>
          </w:tcPr>
          <w:p w14:paraId="16473D60">
            <w:pPr>
              <w:pStyle w:val="169"/>
              <w:spacing w:line="360" w:lineRule="auto"/>
              <w:jc w:val="center"/>
              <w:rPr>
                <w:rFonts w:cs="Arial"/>
                <w:bCs/>
                <w:color w:val="auto"/>
                <w:sz w:val="24"/>
                <w:highlight w:val="none"/>
              </w:rPr>
            </w:pPr>
            <w:r>
              <w:rPr>
                <w:rFonts w:hint="eastAsia" w:cs="Arial"/>
                <w:bCs/>
                <w:color w:val="auto"/>
                <w:sz w:val="24"/>
                <w:highlight w:val="none"/>
              </w:rPr>
              <w:t>4</w:t>
            </w:r>
          </w:p>
        </w:tc>
        <w:tc>
          <w:tcPr>
            <w:tcW w:w="1289" w:type="dxa"/>
            <w:tcBorders>
              <w:top w:val="single" w:color="auto" w:sz="4" w:space="0"/>
              <w:left w:val="single" w:color="auto" w:sz="4" w:space="0"/>
              <w:bottom w:val="single" w:color="auto" w:sz="4" w:space="0"/>
              <w:right w:val="single" w:color="auto" w:sz="4" w:space="0"/>
            </w:tcBorders>
            <w:vAlign w:val="center"/>
          </w:tcPr>
          <w:p w14:paraId="527078E4">
            <w:pPr>
              <w:pStyle w:val="169"/>
              <w:spacing w:line="360" w:lineRule="auto"/>
              <w:jc w:val="center"/>
              <w:rPr>
                <w:rFonts w:cs="Arial"/>
                <w:bCs/>
                <w:color w:val="auto"/>
                <w:sz w:val="24"/>
                <w:highlight w:val="none"/>
              </w:rPr>
            </w:pPr>
            <w:r>
              <w:rPr>
                <w:rFonts w:hint="eastAsia" w:cs="Arial"/>
                <w:bCs/>
                <w:color w:val="auto"/>
                <w:sz w:val="24"/>
                <w:highlight w:val="none"/>
              </w:rPr>
              <w:t>其他内容</w:t>
            </w:r>
          </w:p>
        </w:tc>
        <w:tc>
          <w:tcPr>
            <w:tcW w:w="6843" w:type="dxa"/>
            <w:tcBorders>
              <w:top w:val="single" w:color="auto" w:sz="4" w:space="0"/>
              <w:left w:val="single" w:color="auto" w:sz="4" w:space="0"/>
              <w:bottom w:val="single" w:color="auto" w:sz="4" w:space="0"/>
              <w:right w:val="single" w:color="auto" w:sz="4" w:space="0"/>
            </w:tcBorders>
            <w:vAlign w:val="center"/>
          </w:tcPr>
          <w:p w14:paraId="62F816E9">
            <w:pPr>
              <w:pStyle w:val="169"/>
              <w:spacing w:line="360" w:lineRule="auto"/>
              <w:rPr>
                <w:rFonts w:cs="Arial"/>
                <w:bCs/>
                <w:color w:val="auto"/>
                <w:sz w:val="24"/>
                <w:highlight w:val="none"/>
              </w:rPr>
            </w:pPr>
          </w:p>
          <w:p w14:paraId="4A71E988">
            <w:pPr>
              <w:pStyle w:val="169"/>
              <w:spacing w:line="360" w:lineRule="auto"/>
              <w:rPr>
                <w:rFonts w:cs="Arial"/>
                <w:bCs/>
                <w:color w:val="auto"/>
                <w:sz w:val="24"/>
                <w:highlight w:val="none"/>
              </w:rPr>
            </w:pPr>
          </w:p>
        </w:tc>
      </w:tr>
    </w:tbl>
    <w:p w14:paraId="26D09A69">
      <w:pPr>
        <w:spacing w:line="620" w:lineRule="exact"/>
        <w:rPr>
          <w:color w:val="auto"/>
          <w:sz w:val="24"/>
          <w:highlight w:val="none"/>
        </w:rPr>
      </w:pPr>
      <w:r>
        <w:rPr>
          <w:rFonts w:hint="eastAsia"/>
          <w:color w:val="auto"/>
          <w:sz w:val="24"/>
          <w:highlight w:val="none"/>
        </w:rPr>
        <w:t>注：投标人可参照以上格式和内容或由投标人自拟格式。</w:t>
      </w:r>
    </w:p>
    <w:p w14:paraId="2D226372">
      <w:pPr>
        <w:spacing w:line="360" w:lineRule="auto"/>
        <w:ind w:firstLine="4080" w:firstLineChars="1700"/>
        <w:rPr>
          <w:color w:val="auto"/>
          <w:sz w:val="24"/>
          <w:highlight w:val="none"/>
        </w:rPr>
      </w:pPr>
    </w:p>
    <w:p w14:paraId="53172779">
      <w:pPr>
        <w:spacing w:line="360" w:lineRule="auto"/>
        <w:ind w:firstLine="4080" w:firstLineChars="1700"/>
        <w:rPr>
          <w:color w:val="auto"/>
          <w:sz w:val="24"/>
          <w:highlight w:val="none"/>
        </w:rPr>
      </w:pPr>
    </w:p>
    <w:p w14:paraId="6A9049ED">
      <w:pPr>
        <w:spacing w:line="360" w:lineRule="auto"/>
        <w:ind w:firstLine="4080" w:firstLineChars="1700"/>
        <w:rPr>
          <w:color w:val="auto"/>
          <w:sz w:val="24"/>
          <w:highlight w:val="none"/>
        </w:rPr>
      </w:pPr>
      <w:r>
        <w:rPr>
          <w:rFonts w:hint="eastAsia"/>
          <w:color w:val="auto"/>
          <w:sz w:val="24"/>
          <w:highlight w:val="none"/>
        </w:rPr>
        <w:t>投标人（公章）：</w:t>
      </w:r>
    </w:p>
    <w:p w14:paraId="22EAE944">
      <w:pPr>
        <w:spacing w:line="360" w:lineRule="auto"/>
        <w:ind w:firstLine="4080" w:firstLineChars="1700"/>
        <w:rPr>
          <w:color w:val="auto"/>
          <w:sz w:val="24"/>
          <w:highlight w:val="none"/>
        </w:rPr>
      </w:pPr>
      <w:r>
        <w:rPr>
          <w:color w:val="auto"/>
          <w:sz w:val="24"/>
          <w:highlight w:val="none"/>
        </w:rPr>
        <w:t>日期：年</w:t>
      </w:r>
      <w:r>
        <w:rPr>
          <w:rFonts w:hint="eastAsia"/>
          <w:color w:val="auto"/>
          <w:sz w:val="24"/>
          <w:highlight w:val="none"/>
          <w:lang w:val="en-US" w:eastAsia="zh-CN"/>
        </w:rPr>
        <w:t xml:space="preserve"> </w:t>
      </w:r>
      <w:r>
        <w:rPr>
          <w:color w:val="auto"/>
          <w:sz w:val="24"/>
          <w:highlight w:val="none"/>
        </w:rPr>
        <w:t>月</w:t>
      </w:r>
      <w:r>
        <w:rPr>
          <w:rFonts w:hint="eastAsia"/>
          <w:color w:val="auto"/>
          <w:sz w:val="24"/>
          <w:highlight w:val="none"/>
          <w:lang w:val="en-US" w:eastAsia="zh-CN"/>
        </w:rPr>
        <w:t xml:space="preserve"> </w:t>
      </w:r>
      <w:r>
        <w:rPr>
          <w:color w:val="auto"/>
          <w:sz w:val="24"/>
          <w:highlight w:val="none"/>
        </w:rPr>
        <w:t>日</w:t>
      </w:r>
    </w:p>
    <w:p w14:paraId="32D5E85C">
      <w:pPr>
        <w:autoSpaceDN w:val="0"/>
        <w:spacing w:line="360" w:lineRule="auto"/>
        <w:jc w:val="center"/>
        <w:rPr>
          <w:rFonts w:hint="eastAsia" w:hAnsi="宋体"/>
          <w:b/>
          <w:color w:val="auto"/>
          <w:kern w:val="2"/>
          <w:sz w:val="28"/>
          <w:szCs w:val="28"/>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7D16D205">
      <w:pPr>
        <w:keepNext w:val="0"/>
        <w:keepLines w:val="0"/>
        <w:pageBreakBefore/>
        <w:widowControl w:val="0"/>
        <w:kinsoku/>
        <w:wordWrap/>
        <w:overflowPunct/>
        <w:topLinePunct w:val="0"/>
        <w:autoSpaceDE/>
        <w:autoSpaceDN/>
        <w:bidi w:val="0"/>
        <w:adjustRightInd w:val="0"/>
        <w:snapToGrid w:val="0"/>
        <w:spacing w:line="360" w:lineRule="auto"/>
        <w:jc w:val="center"/>
        <w:textAlignment w:val="auto"/>
        <w:outlineLvl w:val="1"/>
        <w:rPr>
          <w:rFonts w:hint="eastAsia" w:hAnsi="宋体"/>
          <w:b/>
          <w:bCs/>
          <w:color w:val="auto"/>
          <w:sz w:val="30"/>
          <w:szCs w:val="30"/>
          <w:highlight w:val="none"/>
          <w:lang w:eastAsia="zh-CN"/>
        </w:rPr>
      </w:pPr>
      <w:bookmarkStart w:id="118" w:name="_Toc9110"/>
      <w:r>
        <w:rPr>
          <w:rFonts w:hint="eastAsia" w:ascii="宋体" w:hAnsi="宋体" w:cs="宋体"/>
          <w:b/>
          <w:bCs/>
          <w:kern w:val="2"/>
          <w:sz w:val="28"/>
          <w:szCs w:val="28"/>
          <w:lang w:val="en-US" w:eastAsia="zh-CN"/>
        </w:rPr>
        <w:t>九</w:t>
      </w:r>
      <w:r>
        <w:rPr>
          <w:rFonts w:hint="eastAsia" w:ascii="宋体" w:hAnsi="宋体" w:cs="宋体"/>
          <w:b/>
          <w:bCs/>
          <w:kern w:val="2"/>
          <w:sz w:val="28"/>
          <w:szCs w:val="28"/>
        </w:rPr>
        <w:t>、</w:t>
      </w:r>
      <w:bookmarkEnd w:id="115"/>
      <w:bookmarkEnd w:id="116"/>
      <w:r>
        <w:rPr>
          <w:rFonts w:hint="eastAsia" w:hAnsi="宋体"/>
          <w:b/>
          <w:bCs/>
          <w:color w:val="auto"/>
          <w:sz w:val="30"/>
          <w:szCs w:val="30"/>
          <w:highlight w:val="none"/>
          <w:lang w:eastAsia="zh-CN"/>
        </w:rPr>
        <w:t>技术响应表</w:t>
      </w:r>
      <w:bookmarkEnd w:id="118"/>
    </w:p>
    <w:p w14:paraId="43ECF88E">
      <w:pPr>
        <w:spacing w:line="460" w:lineRule="exact"/>
        <w:rPr>
          <w:color w:val="auto"/>
          <w:sz w:val="24"/>
          <w:highlight w:val="none"/>
        </w:rPr>
      </w:pPr>
      <w:r>
        <w:rPr>
          <w:color w:val="auto"/>
          <w:sz w:val="24"/>
          <w:highlight w:val="none"/>
        </w:rPr>
        <w:t>项目名称：</w:t>
      </w:r>
    </w:p>
    <w:p w14:paraId="6C635A13">
      <w:pPr>
        <w:spacing w:line="460" w:lineRule="exact"/>
        <w:rPr>
          <w:color w:val="auto"/>
          <w:sz w:val="24"/>
          <w:highlight w:val="none"/>
          <w:u w:val="single"/>
        </w:rPr>
      </w:pPr>
      <w:r>
        <w:rPr>
          <w:rFonts w:hint="eastAsia"/>
          <w:color w:val="auto"/>
          <w:sz w:val="24"/>
          <w:highlight w:val="none"/>
        </w:rPr>
        <w:t>招标文件</w:t>
      </w:r>
      <w:r>
        <w:rPr>
          <w:color w:val="auto"/>
          <w:sz w:val="24"/>
          <w:highlight w:val="none"/>
        </w:rPr>
        <w:t>编号：</w:t>
      </w:r>
      <w:r>
        <w:rPr>
          <w:rFonts w:hint="eastAsia"/>
          <w:color w:val="auto"/>
          <w:sz w:val="24"/>
          <w:highlight w:val="none"/>
          <w:lang w:val="en-US" w:eastAsia="zh-CN"/>
        </w:rPr>
        <w:t xml:space="preserve">                                        </w:t>
      </w:r>
      <w:r>
        <w:rPr>
          <w:color w:val="auto"/>
          <w:sz w:val="24"/>
          <w:highlight w:val="none"/>
        </w:rPr>
        <w:t>包号：</w:t>
      </w:r>
    </w:p>
    <w:tbl>
      <w:tblPr>
        <w:tblStyle w:val="46"/>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3"/>
        <w:gridCol w:w="2288"/>
        <w:gridCol w:w="2242"/>
        <w:gridCol w:w="1085"/>
        <w:gridCol w:w="1372"/>
      </w:tblGrid>
      <w:tr w14:paraId="2A3B1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8720" w:type="dxa"/>
            <w:gridSpan w:val="5"/>
            <w:vAlign w:val="center"/>
          </w:tcPr>
          <w:p w14:paraId="0CD037AC">
            <w:pPr>
              <w:widowControl/>
              <w:snapToGrid w:val="0"/>
              <w:rPr>
                <w:b/>
                <w:color w:val="auto"/>
                <w:sz w:val="24"/>
                <w:szCs w:val="21"/>
                <w:highlight w:val="none"/>
              </w:rPr>
            </w:pPr>
            <w:r>
              <w:rPr>
                <w:b/>
                <w:color w:val="auto"/>
                <w:sz w:val="24"/>
                <w:szCs w:val="21"/>
                <w:highlight w:val="none"/>
              </w:rPr>
              <w:t>项目需求书</w:t>
            </w:r>
            <w:r>
              <w:rPr>
                <w:rFonts w:hint="eastAsia"/>
                <w:b/>
                <w:color w:val="auto"/>
                <w:sz w:val="24"/>
                <w:szCs w:val="21"/>
                <w:highlight w:val="none"/>
              </w:rPr>
              <w:t>所有条款的应答</w:t>
            </w:r>
          </w:p>
        </w:tc>
      </w:tr>
      <w:tr w14:paraId="04D19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1733" w:type="dxa"/>
            <w:vAlign w:val="center"/>
          </w:tcPr>
          <w:p w14:paraId="6230724A">
            <w:pPr>
              <w:widowControl/>
              <w:snapToGrid w:val="0"/>
              <w:jc w:val="center"/>
              <w:rPr>
                <w:color w:val="auto"/>
                <w:sz w:val="24"/>
                <w:szCs w:val="21"/>
                <w:highlight w:val="none"/>
              </w:rPr>
            </w:pPr>
            <w:r>
              <w:rPr>
                <w:rFonts w:hint="eastAsia"/>
                <w:color w:val="auto"/>
                <w:sz w:val="24"/>
                <w:szCs w:val="21"/>
                <w:highlight w:val="none"/>
              </w:rPr>
              <w:t>条款号</w:t>
            </w:r>
          </w:p>
        </w:tc>
        <w:tc>
          <w:tcPr>
            <w:tcW w:w="2288" w:type="dxa"/>
            <w:vAlign w:val="center"/>
          </w:tcPr>
          <w:p w14:paraId="55B27F77">
            <w:pPr>
              <w:snapToGrid w:val="0"/>
              <w:jc w:val="center"/>
              <w:rPr>
                <w:color w:val="auto"/>
                <w:sz w:val="24"/>
                <w:szCs w:val="21"/>
                <w:highlight w:val="none"/>
              </w:rPr>
            </w:pPr>
            <w:r>
              <w:rPr>
                <w:color w:val="auto"/>
                <w:sz w:val="24"/>
                <w:szCs w:val="21"/>
                <w:highlight w:val="none"/>
              </w:rPr>
              <w:t>招标要求</w:t>
            </w:r>
          </w:p>
        </w:tc>
        <w:tc>
          <w:tcPr>
            <w:tcW w:w="2242" w:type="dxa"/>
            <w:vAlign w:val="center"/>
          </w:tcPr>
          <w:p w14:paraId="4F9EC5EB">
            <w:pPr>
              <w:widowControl/>
              <w:snapToGrid w:val="0"/>
              <w:jc w:val="center"/>
              <w:rPr>
                <w:color w:val="auto"/>
                <w:sz w:val="24"/>
                <w:szCs w:val="21"/>
                <w:highlight w:val="none"/>
              </w:rPr>
            </w:pPr>
            <w:r>
              <w:rPr>
                <w:color w:val="auto"/>
                <w:sz w:val="24"/>
                <w:szCs w:val="21"/>
                <w:highlight w:val="none"/>
              </w:rPr>
              <w:t>投标应答</w:t>
            </w:r>
          </w:p>
        </w:tc>
        <w:tc>
          <w:tcPr>
            <w:tcW w:w="1085" w:type="dxa"/>
            <w:vAlign w:val="center"/>
          </w:tcPr>
          <w:p w14:paraId="78F4D2EC">
            <w:pPr>
              <w:widowControl/>
              <w:snapToGrid w:val="0"/>
              <w:jc w:val="center"/>
              <w:rPr>
                <w:color w:val="auto"/>
                <w:sz w:val="24"/>
                <w:szCs w:val="21"/>
                <w:highlight w:val="none"/>
              </w:rPr>
            </w:pPr>
            <w:r>
              <w:rPr>
                <w:color w:val="auto"/>
                <w:sz w:val="24"/>
                <w:szCs w:val="21"/>
                <w:highlight w:val="none"/>
              </w:rPr>
              <w:t>偏离</w:t>
            </w:r>
          </w:p>
          <w:p w14:paraId="4A1521C7">
            <w:pPr>
              <w:widowControl/>
              <w:snapToGrid w:val="0"/>
              <w:jc w:val="center"/>
              <w:rPr>
                <w:color w:val="auto"/>
                <w:sz w:val="24"/>
                <w:szCs w:val="21"/>
                <w:highlight w:val="none"/>
              </w:rPr>
            </w:pPr>
            <w:r>
              <w:rPr>
                <w:color w:val="auto"/>
                <w:sz w:val="24"/>
                <w:szCs w:val="21"/>
                <w:highlight w:val="none"/>
              </w:rPr>
              <w:t>说明</w:t>
            </w:r>
          </w:p>
        </w:tc>
        <w:tc>
          <w:tcPr>
            <w:tcW w:w="1372" w:type="dxa"/>
            <w:vAlign w:val="center"/>
          </w:tcPr>
          <w:p w14:paraId="0709DFB7">
            <w:pPr>
              <w:widowControl/>
              <w:snapToGrid w:val="0"/>
              <w:jc w:val="center"/>
              <w:rPr>
                <w:color w:val="auto"/>
                <w:sz w:val="24"/>
                <w:szCs w:val="21"/>
                <w:highlight w:val="none"/>
              </w:rPr>
            </w:pPr>
            <w:r>
              <w:rPr>
                <w:rFonts w:hint="eastAsia"/>
                <w:color w:val="auto"/>
                <w:sz w:val="24"/>
                <w:szCs w:val="21"/>
                <w:highlight w:val="none"/>
              </w:rPr>
              <w:t>技术支撑材料所在页码</w:t>
            </w:r>
          </w:p>
        </w:tc>
      </w:tr>
      <w:tr w14:paraId="5D3ED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733" w:type="dxa"/>
            <w:vAlign w:val="center"/>
          </w:tcPr>
          <w:p w14:paraId="2F47D347">
            <w:pPr>
              <w:widowControl/>
              <w:snapToGrid w:val="0"/>
              <w:jc w:val="center"/>
              <w:rPr>
                <w:color w:val="auto"/>
                <w:sz w:val="24"/>
                <w:szCs w:val="21"/>
                <w:highlight w:val="none"/>
              </w:rPr>
            </w:pPr>
          </w:p>
        </w:tc>
        <w:tc>
          <w:tcPr>
            <w:tcW w:w="2288" w:type="dxa"/>
            <w:vAlign w:val="center"/>
          </w:tcPr>
          <w:p w14:paraId="218FE291">
            <w:pPr>
              <w:widowControl/>
              <w:snapToGrid w:val="0"/>
              <w:jc w:val="center"/>
              <w:rPr>
                <w:color w:val="auto"/>
                <w:sz w:val="24"/>
                <w:szCs w:val="21"/>
                <w:highlight w:val="none"/>
              </w:rPr>
            </w:pPr>
          </w:p>
        </w:tc>
        <w:tc>
          <w:tcPr>
            <w:tcW w:w="2242" w:type="dxa"/>
            <w:vAlign w:val="center"/>
          </w:tcPr>
          <w:p w14:paraId="13D6FAFE">
            <w:pPr>
              <w:widowControl/>
              <w:snapToGrid w:val="0"/>
              <w:jc w:val="center"/>
              <w:rPr>
                <w:color w:val="auto"/>
                <w:sz w:val="24"/>
                <w:szCs w:val="21"/>
                <w:highlight w:val="none"/>
              </w:rPr>
            </w:pPr>
          </w:p>
        </w:tc>
        <w:tc>
          <w:tcPr>
            <w:tcW w:w="1085" w:type="dxa"/>
            <w:vAlign w:val="center"/>
          </w:tcPr>
          <w:p w14:paraId="39D33CF8">
            <w:pPr>
              <w:widowControl/>
              <w:snapToGrid w:val="0"/>
              <w:jc w:val="center"/>
              <w:rPr>
                <w:color w:val="auto"/>
                <w:sz w:val="24"/>
                <w:szCs w:val="21"/>
                <w:highlight w:val="none"/>
              </w:rPr>
            </w:pPr>
          </w:p>
        </w:tc>
        <w:tc>
          <w:tcPr>
            <w:tcW w:w="1372" w:type="dxa"/>
            <w:vAlign w:val="center"/>
          </w:tcPr>
          <w:p w14:paraId="57B0535B">
            <w:pPr>
              <w:widowControl/>
              <w:snapToGrid w:val="0"/>
              <w:jc w:val="center"/>
              <w:rPr>
                <w:color w:val="auto"/>
                <w:sz w:val="24"/>
                <w:szCs w:val="21"/>
                <w:highlight w:val="none"/>
              </w:rPr>
            </w:pPr>
          </w:p>
        </w:tc>
      </w:tr>
      <w:tr w14:paraId="70D28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733" w:type="dxa"/>
            <w:vAlign w:val="center"/>
          </w:tcPr>
          <w:p w14:paraId="305E52A0">
            <w:pPr>
              <w:widowControl/>
              <w:snapToGrid w:val="0"/>
              <w:jc w:val="center"/>
              <w:rPr>
                <w:color w:val="auto"/>
                <w:sz w:val="24"/>
                <w:szCs w:val="21"/>
                <w:highlight w:val="none"/>
              </w:rPr>
            </w:pPr>
          </w:p>
        </w:tc>
        <w:tc>
          <w:tcPr>
            <w:tcW w:w="2288" w:type="dxa"/>
            <w:vAlign w:val="center"/>
          </w:tcPr>
          <w:p w14:paraId="24FCA14D">
            <w:pPr>
              <w:widowControl/>
              <w:snapToGrid w:val="0"/>
              <w:jc w:val="center"/>
              <w:rPr>
                <w:color w:val="auto"/>
                <w:sz w:val="24"/>
                <w:szCs w:val="21"/>
                <w:highlight w:val="none"/>
              </w:rPr>
            </w:pPr>
          </w:p>
        </w:tc>
        <w:tc>
          <w:tcPr>
            <w:tcW w:w="2242" w:type="dxa"/>
            <w:vAlign w:val="center"/>
          </w:tcPr>
          <w:p w14:paraId="6541DBE2">
            <w:pPr>
              <w:widowControl/>
              <w:snapToGrid w:val="0"/>
              <w:jc w:val="center"/>
              <w:rPr>
                <w:color w:val="auto"/>
                <w:sz w:val="24"/>
                <w:szCs w:val="21"/>
                <w:highlight w:val="none"/>
              </w:rPr>
            </w:pPr>
          </w:p>
        </w:tc>
        <w:tc>
          <w:tcPr>
            <w:tcW w:w="1085" w:type="dxa"/>
            <w:vAlign w:val="center"/>
          </w:tcPr>
          <w:p w14:paraId="555C8ACC">
            <w:pPr>
              <w:widowControl/>
              <w:snapToGrid w:val="0"/>
              <w:jc w:val="center"/>
              <w:rPr>
                <w:color w:val="auto"/>
                <w:sz w:val="24"/>
                <w:szCs w:val="21"/>
                <w:highlight w:val="none"/>
              </w:rPr>
            </w:pPr>
          </w:p>
        </w:tc>
        <w:tc>
          <w:tcPr>
            <w:tcW w:w="1372" w:type="dxa"/>
            <w:vAlign w:val="center"/>
          </w:tcPr>
          <w:p w14:paraId="39D8077D">
            <w:pPr>
              <w:widowControl/>
              <w:snapToGrid w:val="0"/>
              <w:rPr>
                <w:color w:val="auto"/>
                <w:sz w:val="24"/>
                <w:szCs w:val="21"/>
                <w:highlight w:val="none"/>
              </w:rPr>
            </w:pPr>
          </w:p>
        </w:tc>
      </w:tr>
      <w:tr w14:paraId="322E4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733" w:type="dxa"/>
            <w:vAlign w:val="center"/>
          </w:tcPr>
          <w:p w14:paraId="1F9CEA22">
            <w:pPr>
              <w:widowControl/>
              <w:snapToGrid w:val="0"/>
              <w:jc w:val="center"/>
              <w:rPr>
                <w:color w:val="auto"/>
                <w:sz w:val="24"/>
                <w:szCs w:val="21"/>
                <w:highlight w:val="none"/>
              </w:rPr>
            </w:pPr>
          </w:p>
        </w:tc>
        <w:tc>
          <w:tcPr>
            <w:tcW w:w="2288" w:type="dxa"/>
            <w:vAlign w:val="center"/>
          </w:tcPr>
          <w:p w14:paraId="381E7087">
            <w:pPr>
              <w:widowControl/>
              <w:snapToGrid w:val="0"/>
              <w:jc w:val="center"/>
              <w:rPr>
                <w:color w:val="auto"/>
                <w:sz w:val="24"/>
                <w:szCs w:val="21"/>
                <w:highlight w:val="none"/>
              </w:rPr>
            </w:pPr>
          </w:p>
        </w:tc>
        <w:tc>
          <w:tcPr>
            <w:tcW w:w="2242" w:type="dxa"/>
            <w:vAlign w:val="center"/>
          </w:tcPr>
          <w:p w14:paraId="0DBFCAD4">
            <w:pPr>
              <w:widowControl/>
              <w:snapToGrid w:val="0"/>
              <w:jc w:val="center"/>
              <w:rPr>
                <w:color w:val="auto"/>
                <w:sz w:val="24"/>
                <w:szCs w:val="21"/>
                <w:highlight w:val="none"/>
              </w:rPr>
            </w:pPr>
          </w:p>
        </w:tc>
        <w:tc>
          <w:tcPr>
            <w:tcW w:w="1085" w:type="dxa"/>
            <w:vAlign w:val="center"/>
          </w:tcPr>
          <w:p w14:paraId="44427903">
            <w:pPr>
              <w:widowControl/>
              <w:snapToGrid w:val="0"/>
              <w:jc w:val="center"/>
              <w:rPr>
                <w:color w:val="auto"/>
                <w:sz w:val="24"/>
                <w:szCs w:val="21"/>
                <w:highlight w:val="none"/>
              </w:rPr>
            </w:pPr>
          </w:p>
        </w:tc>
        <w:tc>
          <w:tcPr>
            <w:tcW w:w="1372" w:type="dxa"/>
            <w:vAlign w:val="center"/>
          </w:tcPr>
          <w:p w14:paraId="60B76260">
            <w:pPr>
              <w:widowControl/>
              <w:snapToGrid w:val="0"/>
              <w:rPr>
                <w:color w:val="auto"/>
                <w:sz w:val="24"/>
                <w:szCs w:val="21"/>
                <w:highlight w:val="none"/>
              </w:rPr>
            </w:pPr>
          </w:p>
        </w:tc>
      </w:tr>
      <w:tr w14:paraId="3FD89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733" w:type="dxa"/>
            <w:vAlign w:val="center"/>
          </w:tcPr>
          <w:p w14:paraId="11610538">
            <w:pPr>
              <w:widowControl/>
              <w:snapToGrid w:val="0"/>
              <w:jc w:val="center"/>
              <w:rPr>
                <w:color w:val="auto"/>
                <w:sz w:val="24"/>
                <w:szCs w:val="21"/>
                <w:highlight w:val="none"/>
              </w:rPr>
            </w:pPr>
          </w:p>
        </w:tc>
        <w:tc>
          <w:tcPr>
            <w:tcW w:w="2288" w:type="dxa"/>
            <w:vAlign w:val="center"/>
          </w:tcPr>
          <w:p w14:paraId="2D501F76">
            <w:pPr>
              <w:widowControl/>
              <w:snapToGrid w:val="0"/>
              <w:jc w:val="center"/>
              <w:rPr>
                <w:color w:val="auto"/>
                <w:sz w:val="24"/>
                <w:szCs w:val="21"/>
                <w:highlight w:val="none"/>
              </w:rPr>
            </w:pPr>
          </w:p>
        </w:tc>
        <w:tc>
          <w:tcPr>
            <w:tcW w:w="2242" w:type="dxa"/>
            <w:vAlign w:val="center"/>
          </w:tcPr>
          <w:p w14:paraId="5A788242">
            <w:pPr>
              <w:widowControl/>
              <w:snapToGrid w:val="0"/>
              <w:jc w:val="center"/>
              <w:rPr>
                <w:color w:val="auto"/>
                <w:sz w:val="24"/>
                <w:szCs w:val="21"/>
                <w:highlight w:val="none"/>
              </w:rPr>
            </w:pPr>
          </w:p>
        </w:tc>
        <w:tc>
          <w:tcPr>
            <w:tcW w:w="1085" w:type="dxa"/>
            <w:vAlign w:val="center"/>
          </w:tcPr>
          <w:p w14:paraId="49BC5415">
            <w:pPr>
              <w:widowControl/>
              <w:snapToGrid w:val="0"/>
              <w:jc w:val="center"/>
              <w:rPr>
                <w:color w:val="auto"/>
                <w:sz w:val="24"/>
                <w:szCs w:val="21"/>
                <w:highlight w:val="none"/>
              </w:rPr>
            </w:pPr>
          </w:p>
        </w:tc>
        <w:tc>
          <w:tcPr>
            <w:tcW w:w="1372" w:type="dxa"/>
            <w:vAlign w:val="center"/>
          </w:tcPr>
          <w:p w14:paraId="438757A8">
            <w:pPr>
              <w:widowControl/>
              <w:snapToGrid w:val="0"/>
              <w:rPr>
                <w:color w:val="auto"/>
                <w:sz w:val="24"/>
                <w:szCs w:val="21"/>
                <w:highlight w:val="none"/>
              </w:rPr>
            </w:pPr>
          </w:p>
        </w:tc>
      </w:tr>
    </w:tbl>
    <w:p w14:paraId="7E97F64B">
      <w:pPr>
        <w:snapToGrid w:val="0"/>
        <w:spacing w:line="480" w:lineRule="exact"/>
        <w:rPr>
          <w:color w:val="auto"/>
          <w:sz w:val="24"/>
          <w:highlight w:val="none"/>
        </w:rPr>
      </w:pPr>
      <w:r>
        <w:rPr>
          <w:color w:val="auto"/>
          <w:sz w:val="24"/>
          <w:highlight w:val="none"/>
        </w:rPr>
        <w:t>注：</w:t>
      </w:r>
    </w:p>
    <w:p w14:paraId="5A2FD154">
      <w:pPr>
        <w:keepNext w:val="0"/>
        <w:keepLines w:val="0"/>
        <w:pageBreakBefore w:val="0"/>
        <w:widowControl w:val="0"/>
        <w:numPr>
          <w:ilvl w:val="0"/>
          <w:numId w:val="15"/>
        </w:numPr>
        <w:kinsoku/>
        <w:wordWrap/>
        <w:overflowPunct/>
        <w:topLinePunct w:val="0"/>
        <w:autoSpaceDE/>
        <w:autoSpaceDN/>
        <w:bidi w:val="0"/>
        <w:adjustRightInd/>
        <w:snapToGrid w:val="0"/>
        <w:spacing w:line="360" w:lineRule="auto"/>
        <w:textAlignment w:val="auto"/>
        <w:rPr>
          <w:color w:val="auto"/>
          <w:sz w:val="24"/>
          <w:highlight w:val="none"/>
        </w:rPr>
      </w:pPr>
      <w:r>
        <w:rPr>
          <w:rFonts w:hint="eastAsia"/>
          <w:color w:val="auto"/>
          <w:sz w:val="24"/>
          <w:highlight w:val="none"/>
          <w:lang w:eastAsia="zh-CN"/>
        </w:rPr>
        <w:t>不提供此表视为无效投标。</w:t>
      </w:r>
    </w:p>
    <w:p w14:paraId="3E6CC2D4">
      <w:pPr>
        <w:keepNext w:val="0"/>
        <w:keepLines w:val="0"/>
        <w:pageBreakBefore w:val="0"/>
        <w:widowControl w:val="0"/>
        <w:numPr>
          <w:ilvl w:val="0"/>
          <w:numId w:val="15"/>
        </w:numPr>
        <w:kinsoku/>
        <w:wordWrap/>
        <w:overflowPunct/>
        <w:topLinePunct w:val="0"/>
        <w:autoSpaceDE/>
        <w:autoSpaceDN/>
        <w:bidi w:val="0"/>
        <w:adjustRightInd/>
        <w:snapToGrid w:val="0"/>
        <w:spacing w:line="360" w:lineRule="auto"/>
        <w:textAlignment w:val="auto"/>
        <w:rPr>
          <w:color w:val="auto"/>
          <w:sz w:val="24"/>
          <w:highlight w:val="none"/>
        </w:rPr>
      </w:pPr>
      <w:r>
        <w:rPr>
          <w:color w:val="auto"/>
          <w:sz w:val="24"/>
          <w:highlight w:val="none"/>
        </w:rPr>
        <w:t>不如实填写偏离情况的视为虚假材料。</w:t>
      </w:r>
    </w:p>
    <w:p w14:paraId="0DFAA765">
      <w:pPr>
        <w:keepNext w:val="0"/>
        <w:keepLines w:val="0"/>
        <w:pageBreakBefore w:val="0"/>
        <w:widowControl w:val="0"/>
        <w:numPr>
          <w:ilvl w:val="0"/>
          <w:numId w:val="15"/>
        </w:numPr>
        <w:kinsoku/>
        <w:wordWrap/>
        <w:overflowPunct/>
        <w:topLinePunct w:val="0"/>
        <w:autoSpaceDE/>
        <w:autoSpaceDN/>
        <w:bidi w:val="0"/>
        <w:adjustRightInd/>
        <w:snapToGrid w:val="0"/>
        <w:spacing w:line="360" w:lineRule="auto"/>
        <w:textAlignment w:val="auto"/>
        <w:rPr>
          <w:color w:val="auto"/>
          <w:sz w:val="24"/>
          <w:highlight w:val="none"/>
        </w:rPr>
      </w:pPr>
      <w:r>
        <w:rPr>
          <w:rFonts w:hint="eastAsia"/>
          <w:color w:val="auto"/>
          <w:sz w:val="24"/>
          <w:highlight w:val="none"/>
        </w:rPr>
        <w:t>条款号指项目需求书中的序号或者编号，项目需求书中标注“</w:t>
      </w:r>
      <w:r>
        <w:rPr>
          <w:rFonts w:hint="eastAsia" w:hAnsi="宋体" w:cs="宋体"/>
          <w:color w:val="auto"/>
          <w:sz w:val="24"/>
          <w:szCs w:val="24"/>
          <w:highlight w:val="none"/>
        </w:rPr>
        <w:t>●</w:t>
      </w:r>
      <w:r>
        <w:rPr>
          <w:rFonts w:hint="eastAsia"/>
          <w:color w:val="auto"/>
          <w:sz w:val="24"/>
          <w:highlight w:val="none"/>
        </w:rPr>
        <w:t>”的条款， 也必须在“条款号”中标注“</w:t>
      </w:r>
      <w:r>
        <w:rPr>
          <w:rFonts w:hint="eastAsia" w:hAnsi="宋体" w:cs="宋体"/>
          <w:color w:val="auto"/>
          <w:sz w:val="24"/>
          <w:szCs w:val="24"/>
          <w:highlight w:val="none"/>
        </w:rPr>
        <w:t>●</w:t>
      </w:r>
      <w:r>
        <w:rPr>
          <w:rFonts w:hint="eastAsia"/>
          <w:color w:val="auto"/>
          <w:sz w:val="24"/>
          <w:highlight w:val="none"/>
        </w:rPr>
        <w:t>”。</w:t>
      </w:r>
    </w:p>
    <w:p w14:paraId="30DA1C2F">
      <w:pPr>
        <w:keepNext w:val="0"/>
        <w:keepLines w:val="0"/>
        <w:pageBreakBefore w:val="0"/>
        <w:widowControl w:val="0"/>
        <w:kinsoku/>
        <w:wordWrap/>
        <w:overflowPunct/>
        <w:topLinePunct w:val="0"/>
        <w:autoSpaceDE/>
        <w:autoSpaceDN/>
        <w:bidi w:val="0"/>
        <w:adjustRightInd/>
        <w:snapToGrid w:val="0"/>
        <w:spacing w:line="360" w:lineRule="auto"/>
        <w:textAlignment w:val="auto"/>
        <w:rPr>
          <w:color w:val="auto"/>
          <w:sz w:val="24"/>
          <w:highlight w:val="none"/>
        </w:rPr>
      </w:pPr>
      <w:r>
        <w:rPr>
          <w:rFonts w:hint="eastAsia"/>
          <w:color w:val="auto"/>
          <w:sz w:val="24"/>
          <w:highlight w:val="none"/>
          <w:lang w:val="en-US" w:eastAsia="zh-CN"/>
        </w:rPr>
        <w:t>4</w:t>
      </w:r>
      <w:r>
        <w:rPr>
          <w:color w:val="auto"/>
          <w:sz w:val="24"/>
          <w:highlight w:val="none"/>
        </w:rPr>
        <w:t>. 偏离说明指招标要求与投标应答之间的不同之处</w:t>
      </w:r>
      <w:r>
        <w:rPr>
          <w:rFonts w:hint="eastAsia"/>
          <w:color w:val="auto"/>
          <w:sz w:val="24"/>
          <w:highlight w:val="none"/>
          <w:lang w:eastAsia="zh-CN"/>
        </w:rPr>
        <w:t>，如：正偏离、负偏离、无偏离</w:t>
      </w:r>
      <w:r>
        <w:rPr>
          <w:color w:val="auto"/>
          <w:sz w:val="24"/>
          <w:highlight w:val="none"/>
        </w:rPr>
        <w:t>。</w:t>
      </w:r>
    </w:p>
    <w:p w14:paraId="01AAD703">
      <w:pPr>
        <w:keepNext w:val="0"/>
        <w:keepLines w:val="0"/>
        <w:pageBreakBefore w:val="0"/>
        <w:widowControl w:val="0"/>
        <w:kinsoku/>
        <w:wordWrap/>
        <w:overflowPunct/>
        <w:topLinePunct w:val="0"/>
        <w:autoSpaceDE/>
        <w:autoSpaceDN/>
        <w:bidi w:val="0"/>
        <w:adjustRightInd/>
        <w:snapToGrid w:val="0"/>
        <w:spacing w:line="360" w:lineRule="auto"/>
        <w:textAlignment w:val="auto"/>
        <w:rPr>
          <w:color w:val="auto"/>
          <w:sz w:val="24"/>
          <w:highlight w:val="none"/>
        </w:rPr>
      </w:pPr>
      <w:r>
        <w:rPr>
          <w:rFonts w:hint="eastAsia"/>
          <w:color w:val="auto"/>
          <w:sz w:val="24"/>
          <w:highlight w:val="none"/>
          <w:lang w:val="en-US" w:eastAsia="zh-CN"/>
        </w:rPr>
        <w:t>5</w:t>
      </w:r>
      <w:r>
        <w:rPr>
          <w:rFonts w:hint="eastAsia"/>
          <w:color w:val="auto"/>
          <w:sz w:val="24"/>
          <w:highlight w:val="none"/>
        </w:rPr>
        <w:t>. 投标人在《技术响应表》的投标应答中必须列出具体数值或内容。如投标人未应答或只注明“符合”、“满足”等类似无具体内容的表述，将被视为不符合招标文件要求。投标人自行承担由此造成的一切后果。</w:t>
      </w:r>
    </w:p>
    <w:p w14:paraId="004B3307">
      <w:pPr>
        <w:pStyle w:val="36"/>
        <w:tabs>
          <w:tab w:val="right" w:leader="dot" w:pos="8400"/>
        </w:tabs>
      </w:pPr>
    </w:p>
    <w:p w14:paraId="428CACDB"/>
    <w:p w14:paraId="666AF507">
      <w:pPr>
        <w:spacing w:line="360" w:lineRule="auto"/>
        <w:ind w:firstLine="4080" w:firstLineChars="1700"/>
        <w:rPr>
          <w:color w:val="auto"/>
          <w:sz w:val="24"/>
          <w:highlight w:val="none"/>
        </w:rPr>
      </w:pPr>
      <w:r>
        <w:rPr>
          <w:color w:val="auto"/>
          <w:sz w:val="24"/>
          <w:highlight w:val="none"/>
        </w:rPr>
        <w:t>投标人</w:t>
      </w:r>
      <w:r>
        <w:rPr>
          <w:rFonts w:hint="eastAsia"/>
          <w:color w:val="auto"/>
          <w:sz w:val="24"/>
          <w:highlight w:val="none"/>
        </w:rPr>
        <w:t>（</w:t>
      </w:r>
      <w:r>
        <w:rPr>
          <w:rFonts w:hint="eastAsia" w:hAnsi="宋体"/>
          <w:color w:val="auto"/>
          <w:sz w:val="24"/>
          <w:szCs w:val="24"/>
          <w:highlight w:val="none"/>
        </w:rPr>
        <w:t>公章</w:t>
      </w:r>
      <w:r>
        <w:rPr>
          <w:rFonts w:hint="eastAsia"/>
          <w:color w:val="auto"/>
          <w:sz w:val="24"/>
          <w:highlight w:val="none"/>
        </w:rPr>
        <w:t>）</w:t>
      </w:r>
      <w:r>
        <w:rPr>
          <w:color w:val="auto"/>
          <w:sz w:val="24"/>
          <w:highlight w:val="none"/>
        </w:rPr>
        <w:t>：</w:t>
      </w:r>
    </w:p>
    <w:p w14:paraId="79C724AB">
      <w:pPr>
        <w:spacing w:line="360" w:lineRule="auto"/>
        <w:ind w:firstLine="4080" w:firstLineChars="1700"/>
        <w:rPr>
          <w:rFonts w:hAnsi="宋体"/>
          <w:b/>
          <w:color w:val="auto"/>
          <w:sz w:val="24"/>
          <w:szCs w:val="24"/>
          <w:highlight w:val="none"/>
        </w:rPr>
      </w:pPr>
      <w:r>
        <w:rPr>
          <w:color w:val="auto"/>
          <w:sz w:val="24"/>
          <w:highlight w:val="none"/>
        </w:rPr>
        <w:t>日期：年</w:t>
      </w:r>
      <w:r>
        <w:rPr>
          <w:rFonts w:hint="eastAsia"/>
          <w:color w:val="auto"/>
          <w:sz w:val="24"/>
          <w:highlight w:val="none"/>
          <w:lang w:val="en-US" w:eastAsia="zh-CN"/>
        </w:rPr>
        <w:t xml:space="preserve">  </w:t>
      </w:r>
      <w:r>
        <w:rPr>
          <w:color w:val="auto"/>
          <w:sz w:val="24"/>
          <w:highlight w:val="none"/>
        </w:rPr>
        <w:t>月</w:t>
      </w:r>
      <w:r>
        <w:rPr>
          <w:rFonts w:hint="eastAsia"/>
          <w:color w:val="auto"/>
          <w:sz w:val="24"/>
          <w:highlight w:val="none"/>
          <w:lang w:val="en-US" w:eastAsia="zh-CN"/>
        </w:rPr>
        <w:t xml:space="preserve">  </w:t>
      </w:r>
      <w:r>
        <w:rPr>
          <w:color w:val="auto"/>
          <w:sz w:val="24"/>
          <w:highlight w:val="none"/>
        </w:rPr>
        <w:t>日</w:t>
      </w:r>
    </w:p>
    <w:p w14:paraId="759AA43C">
      <w:pPr>
        <w:pStyle w:val="23"/>
        <w:adjustRightInd w:val="0"/>
        <w:snapToGrid w:val="0"/>
        <w:spacing w:beforeLines="50" w:line="360" w:lineRule="auto"/>
        <w:jc w:val="left"/>
        <w:rPr>
          <w:rFonts w:hAnsi="宋体" w:cs="Times New Roman"/>
          <w:sz w:val="22"/>
          <w:szCs w:val="22"/>
        </w:rPr>
      </w:pPr>
    </w:p>
    <w:bookmarkEnd w:id="114"/>
    <w:p w14:paraId="3B57AC46">
      <w:pPr>
        <w:keepNext w:val="0"/>
        <w:keepLines w:val="0"/>
        <w:pageBreakBefore/>
        <w:widowControl w:val="0"/>
        <w:kinsoku/>
        <w:wordWrap/>
        <w:overflowPunct/>
        <w:topLinePunct w:val="0"/>
        <w:autoSpaceDE/>
        <w:autoSpaceDN/>
        <w:bidi w:val="0"/>
        <w:adjustRightInd w:val="0"/>
        <w:snapToGrid w:val="0"/>
        <w:spacing w:line="360" w:lineRule="auto"/>
        <w:jc w:val="center"/>
        <w:textAlignment w:val="auto"/>
        <w:outlineLvl w:val="1"/>
        <w:rPr>
          <w:rFonts w:hint="eastAsia" w:ascii="宋体" w:hAnsi="宋体" w:eastAsia="宋体"/>
          <w:b/>
          <w:bCs/>
          <w:color w:val="auto"/>
          <w:sz w:val="30"/>
          <w:szCs w:val="30"/>
          <w:highlight w:val="none"/>
          <w:lang w:eastAsia="zh-CN"/>
        </w:rPr>
      </w:pPr>
      <w:bookmarkStart w:id="119" w:name="_Toc7688"/>
      <w:bookmarkStart w:id="120" w:name="_Toc28368"/>
      <w:bookmarkStart w:id="121" w:name="_Toc31986"/>
      <w:r>
        <w:rPr>
          <w:rFonts w:hint="eastAsia" w:ascii="宋体" w:hAnsi="宋体" w:cs="宋体"/>
          <w:b/>
          <w:bCs/>
          <w:kern w:val="2"/>
          <w:sz w:val="28"/>
          <w:szCs w:val="28"/>
          <w:lang w:val="en-US" w:eastAsia="zh-CN"/>
        </w:rPr>
        <w:t>十</w:t>
      </w:r>
      <w:r>
        <w:rPr>
          <w:rFonts w:hint="eastAsia" w:ascii="宋体" w:hAnsi="宋体" w:cs="宋体"/>
          <w:b/>
          <w:bCs/>
          <w:kern w:val="2"/>
          <w:sz w:val="28"/>
          <w:szCs w:val="28"/>
        </w:rPr>
        <w:t>、</w:t>
      </w:r>
      <w:r>
        <w:rPr>
          <w:rFonts w:hint="eastAsia" w:ascii="宋体" w:hAnsi="宋体" w:eastAsia="宋体"/>
          <w:b/>
          <w:bCs/>
          <w:color w:val="auto"/>
          <w:sz w:val="30"/>
          <w:szCs w:val="30"/>
          <w:highlight w:val="none"/>
          <w:lang w:eastAsia="zh-CN"/>
        </w:rPr>
        <w:t>投标产品详细配置</w:t>
      </w:r>
      <w:bookmarkEnd w:id="119"/>
    </w:p>
    <w:p w14:paraId="1889080C">
      <w:pPr>
        <w:spacing w:line="460" w:lineRule="exact"/>
        <w:rPr>
          <w:color w:val="auto"/>
          <w:sz w:val="24"/>
          <w:highlight w:val="none"/>
        </w:rPr>
      </w:pPr>
    </w:p>
    <w:p w14:paraId="71B1F46C">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4"/>
          <w:highlight w:val="none"/>
        </w:rPr>
      </w:pPr>
      <w:r>
        <w:rPr>
          <w:color w:val="auto"/>
          <w:sz w:val="24"/>
          <w:highlight w:val="none"/>
        </w:rPr>
        <w:t>项目名称：</w:t>
      </w:r>
    </w:p>
    <w:p w14:paraId="189DD2A2">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4"/>
          <w:highlight w:val="none"/>
        </w:rPr>
      </w:pPr>
      <w:r>
        <w:rPr>
          <w:rFonts w:hint="eastAsia"/>
          <w:color w:val="auto"/>
          <w:sz w:val="24"/>
          <w:highlight w:val="none"/>
        </w:rPr>
        <w:t>招标文件</w:t>
      </w:r>
      <w:r>
        <w:rPr>
          <w:color w:val="auto"/>
          <w:sz w:val="24"/>
          <w:highlight w:val="none"/>
        </w:rPr>
        <w:t>编号：</w:t>
      </w:r>
    </w:p>
    <w:p w14:paraId="2BBAA293">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4"/>
          <w:highlight w:val="none"/>
          <w:u w:val="single"/>
        </w:rPr>
      </w:pPr>
      <w:r>
        <w:rPr>
          <w:color w:val="auto"/>
          <w:sz w:val="24"/>
          <w:highlight w:val="none"/>
        </w:rPr>
        <w:t>包号：</w:t>
      </w:r>
    </w:p>
    <w:tbl>
      <w:tblPr>
        <w:tblStyle w:val="4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1699"/>
        <w:gridCol w:w="1561"/>
        <w:gridCol w:w="4307"/>
      </w:tblGrid>
      <w:tr w14:paraId="4C15B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7AA948B0">
            <w:pPr>
              <w:spacing w:line="560" w:lineRule="exact"/>
              <w:jc w:val="center"/>
              <w:rPr>
                <w:color w:val="auto"/>
                <w:sz w:val="24"/>
                <w:highlight w:val="none"/>
              </w:rPr>
            </w:pPr>
            <w:r>
              <w:rPr>
                <w:color w:val="auto"/>
                <w:sz w:val="24"/>
                <w:highlight w:val="none"/>
              </w:rPr>
              <w:t>序号</w:t>
            </w:r>
          </w:p>
        </w:tc>
        <w:tc>
          <w:tcPr>
            <w:tcW w:w="1699" w:type="dxa"/>
            <w:vAlign w:val="center"/>
          </w:tcPr>
          <w:p w14:paraId="44160E71">
            <w:pPr>
              <w:spacing w:line="560" w:lineRule="exact"/>
              <w:jc w:val="center"/>
              <w:rPr>
                <w:color w:val="auto"/>
                <w:sz w:val="24"/>
                <w:highlight w:val="none"/>
              </w:rPr>
            </w:pPr>
            <w:r>
              <w:rPr>
                <w:rFonts w:hint="eastAsia"/>
                <w:color w:val="auto"/>
                <w:sz w:val="24"/>
                <w:highlight w:val="none"/>
                <w:lang w:eastAsia="zh-CN"/>
              </w:rPr>
              <w:t>货物</w:t>
            </w:r>
            <w:r>
              <w:rPr>
                <w:color w:val="auto"/>
                <w:sz w:val="24"/>
                <w:highlight w:val="none"/>
              </w:rPr>
              <w:t>名称</w:t>
            </w:r>
          </w:p>
        </w:tc>
        <w:tc>
          <w:tcPr>
            <w:tcW w:w="1561" w:type="dxa"/>
            <w:vAlign w:val="center"/>
          </w:tcPr>
          <w:p w14:paraId="31BCD66B">
            <w:pPr>
              <w:spacing w:line="560" w:lineRule="exact"/>
              <w:jc w:val="center"/>
              <w:rPr>
                <w:color w:val="auto"/>
                <w:sz w:val="24"/>
                <w:highlight w:val="none"/>
              </w:rPr>
            </w:pPr>
            <w:r>
              <w:rPr>
                <w:color w:val="auto"/>
                <w:sz w:val="24"/>
                <w:highlight w:val="none"/>
              </w:rPr>
              <w:t>规格型号</w:t>
            </w:r>
          </w:p>
        </w:tc>
        <w:tc>
          <w:tcPr>
            <w:tcW w:w="4307" w:type="dxa"/>
            <w:vAlign w:val="center"/>
          </w:tcPr>
          <w:p w14:paraId="339445A0">
            <w:pPr>
              <w:spacing w:line="560" w:lineRule="exact"/>
              <w:jc w:val="center"/>
              <w:rPr>
                <w:color w:val="auto"/>
                <w:sz w:val="24"/>
                <w:highlight w:val="none"/>
              </w:rPr>
            </w:pPr>
            <w:r>
              <w:rPr>
                <w:color w:val="auto"/>
                <w:sz w:val="24"/>
                <w:highlight w:val="none"/>
              </w:rPr>
              <w:t>详细配置及技术标准</w:t>
            </w:r>
          </w:p>
        </w:tc>
      </w:tr>
      <w:tr w14:paraId="09747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1CEC4E1F">
            <w:pPr>
              <w:spacing w:line="560" w:lineRule="exact"/>
              <w:jc w:val="center"/>
              <w:rPr>
                <w:color w:val="auto"/>
                <w:sz w:val="24"/>
                <w:highlight w:val="none"/>
              </w:rPr>
            </w:pPr>
            <w:r>
              <w:rPr>
                <w:color w:val="auto"/>
                <w:sz w:val="24"/>
                <w:highlight w:val="none"/>
              </w:rPr>
              <w:t>1</w:t>
            </w:r>
          </w:p>
        </w:tc>
        <w:tc>
          <w:tcPr>
            <w:tcW w:w="1699" w:type="dxa"/>
            <w:vAlign w:val="center"/>
          </w:tcPr>
          <w:p w14:paraId="48DD9D46">
            <w:pPr>
              <w:spacing w:line="560" w:lineRule="exact"/>
              <w:jc w:val="center"/>
              <w:rPr>
                <w:color w:val="auto"/>
                <w:sz w:val="24"/>
                <w:highlight w:val="none"/>
              </w:rPr>
            </w:pPr>
          </w:p>
        </w:tc>
        <w:tc>
          <w:tcPr>
            <w:tcW w:w="1561" w:type="dxa"/>
            <w:vAlign w:val="center"/>
          </w:tcPr>
          <w:p w14:paraId="1D05B0BD">
            <w:pPr>
              <w:spacing w:line="560" w:lineRule="exact"/>
              <w:jc w:val="center"/>
              <w:rPr>
                <w:color w:val="auto"/>
                <w:sz w:val="24"/>
                <w:highlight w:val="none"/>
              </w:rPr>
            </w:pPr>
          </w:p>
        </w:tc>
        <w:tc>
          <w:tcPr>
            <w:tcW w:w="4307" w:type="dxa"/>
            <w:vAlign w:val="center"/>
          </w:tcPr>
          <w:p w14:paraId="62EE1A38">
            <w:pPr>
              <w:spacing w:line="560" w:lineRule="exact"/>
              <w:jc w:val="center"/>
              <w:rPr>
                <w:color w:val="auto"/>
                <w:sz w:val="24"/>
                <w:highlight w:val="none"/>
              </w:rPr>
            </w:pPr>
          </w:p>
        </w:tc>
      </w:tr>
      <w:tr w14:paraId="5382F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73B85531">
            <w:pPr>
              <w:spacing w:line="560" w:lineRule="exact"/>
              <w:jc w:val="center"/>
              <w:rPr>
                <w:color w:val="auto"/>
                <w:sz w:val="24"/>
                <w:highlight w:val="none"/>
              </w:rPr>
            </w:pPr>
            <w:r>
              <w:rPr>
                <w:color w:val="auto"/>
                <w:sz w:val="24"/>
                <w:highlight w:val="none"/>
              </w:rPr>
              <w:t>2</w:t>
            </w:r>
          </w:p>
        </w:tc>
        <w:tc>
          <w:tcPr>
            <w:tcW w:w="1699" w:type="dxa"/>
            <w:vAlign w:val="center"/>
          </w:tcPr>
          <w:p w14:paraId="64AA517F">
            <w:pPr>
              <w:spacing w:line="560" w:lineRule="exact"/>
              <w:jc w:val="center"/>
              <w:rPr>
                <w:color w:val="auto"/>
                <w:sz w:val="24"/>
                <w:highlight w:val="none"/>
              </w:rPr>
            </w:pPr>
          </w:p>
        </w:tc>
        <w:tc>
          <w:tcPr>
            <w:tcW w:w="1561" w:type="dxa"/>
            <w:vAlign w:val="center"/>
          </w:tcPr>
          <w:p w14:paraId="567C51F2">
            <w:pPr>
              <w:spacing w:line="560" w:lineRule="exact"/>
              <w:jc w:val="center"/>
              <w:rPr>
                <w:color w:val="auto"/>
                <w:sz w:val="24"/>
                <w:highlight w:val="none"/>
              </w:rPr>
            </w:pPr>
          </w:p>
        </w:tc>
        <w:tc>
          <w:tcPr>
            <w:tcW w:w="4307" w:type="dxa"/>
            <w:vAlign w:val="center"/>
          </w:tcPr>
          <w:p w14:paraId="13C73CC6">
            <w:pPr>
              <w:spacing w:line="560" w:lineRule="exact"/>
              <w:jc w:val="center"/>
              <w:rPr>
                <w:color w:val="auto"/>
                <w:sz w:val="24"/>
                <w:highlight w:val="none"/>
              </w:rPr>
            </w:pPr>
          </w:p>
        </w:tc>
      </w:tr>
      <w:tr w14:paraId="60BEC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61521EFC">
            <w:pPr>
              <w:spacing w:line="560" w:lineRule="exact"/>
              <w:jc w:val="center"/>
              <w:rPr>
                <w:color w:val="auto"/>
                <w:sz w:val="24"/>
                <w:highlight w:val="none"/>
              </w:rPr>
            </w:pPr>
            <w:r>
              <w:rPr>
                <w:color w:val="auto"/>
                <w:sz w:val="24"/>
                <w:highlight w:val="none"/>
              </w:rPr>
              <w:t>3</w:t>
            </w:r>
          </w:p>
        </w:tc>
        <w:tc>
          <w:tcPr>
            <w:tcW w:w="1699" w:type="dxa"/>
            <w:vAlign w:val="center"/>
          </w:tcPr>
          <w:p w14:paraId="14FFB41A">
            <w:pPr>
              <w:spacing w:line="560" w:lineRule="exact"/>
              <w:jc w:val="center"/>
              <w:rPr>
                <w:color w:val="auto"/>
                <w:sz w:val="24"/>
                <w:highlight w:val="none"/>
              </w:rPr>
            </w:pPr>
          </w:p>
        </w:tc>
        <w:tc>
          <w:tcPr>
            <w:tcW w:w="1561" w:type="dxa"/>
            <w:vAlign w:val="center"/>
          </w:tcPr>
          <w:p w14:paraId="49BA2209">
            <w:pPr>
              <w:spacing w:line="560" w:lineRule="exact"/>
              <w:jc w:val="center"/>
              <w:rPr>
                <w:color w:val="auto"/>
                <w:sz w:val="24"/>
                <w:highlight w:val="none"/>
              </w:rPr>
            </w:pPr>
          </w:p>
        </w:tc>
        <w:tc>
          <w:tcPr>
            <w:tcW w:w="4307" w:type="dxa"/>
            <w:vAlign w:val="center"/>
          </w:tcPr>
          <w:p w14:paraId="71F65D25">
            <w:pPr>
              <w:spacing w:line="560" w:lineRule="exact"/>
              <w:jc w:val="center"/>
              <w:rPr>
                <w:color w:val="auto"/>
                <w:sz w:val="24"/>
                <w:highlight w:val="none"/>
              </w:rPr>
            </w:pPr>
          </w:p>
        </w:tc>
      </w:tr>
      <w:tr w14:paraId="47A49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42EACA35">
            <w:pPr>
              <w:spacing w:line="560" w:lineRule="exact"/>
              <w:jc w:val="center"/>
              <w:rPr>
                <w:color w:val="auto"/>
                <w:sz w:val="24"/>
                <w:highlight w:val="none"/>
              </w:rPr>
            </w:pPr>
            <w:r>
              <w:rPr>
                <w:color w:val="auto"/>
                <w:sz w:val="24"/>
                <w:highlight w:val="none"/>
              </w:rPr>
              <w:t>…</w:t>
            </w:r>
          </w:p>
        </w:tc>
        <w:tc>
          <w:tcPr>
            <w:tcW w:w="1699" w:type="dxa"/>
            <w:vAlign w:val="center"/>
          </w:tcPr>
          <w:p w14:paraId="4C3C569C">
            <w:pPr>
              <w:spacing w:line="560" w:lineRule="exact"/>
              <w:jc w:val="center"/>
              <w:rPr>
                <w:color w:val="auto"/>
                <w:sz w:val="24"/>
                <w:highlight w:val="none"/>
              </w:rPr>
            </w:pPr>
          </w:p>
        </w:tc>
        <w:tc>
          <w:tcPr>
            <w:tcW w:w="1561" w:type="dxa"/>
            <w:vAlign w:val="center"/>
          </w:tcPr>
          <w:p w14:paraId="672BF2E6">
            <w:pPr>
              <w:spacing w:line="560" w:lineRule="exact"/>
              <w:jc w:val="center"/>
              <w:rPr>
                <w:color w:val="auto"/>
                <w:sz w:val="24"/>
                <w:highlight w:val="none"/>
              </w:rPr>
            </w:pPr>
          </w:p>
        </w:tc>
        <w:tc>
          <w:tcPr>
            <w:tcW w:w="4307" w:type="dxa"/>
            <w:vAlign w:val="center"/>
          </w:tcPr>
          <w:p w14:paraId="7A63F548">
            <w:pPr>
              <w:spacing w:line="560" w:lineRule="exact"/>
              <w:jc w:val="center"/>
              <w:rPr>
                <w:color w:val="auto"/>
                <w:sz w:val="24"/>
                <w:highlight w:val="none"/>
              </w:rPr>
            </w:pPr>
          </w:p>
        </w:tc>
      </w:tr>
    </w:tbl>
    <w:p w14:paraId="78DBBF43">
      <w:pPr>
        <w:spacing w:line="560" w:lineRule="exact"/>
        <w:jc w:val="left"/>
        <w:rPr>
          <w:color w:val="auto"/>
          <w:sz w:val="24"/>
          <w:highlight w:val="none"/>
        </w:rPr>
      </w:pPr>
    </w:p>
    <w:p w14:paraId="47B64880">
      <w:pPr>
        <w:spacing w:line="560" w:lineRule="exact"/>
        <w:jc w:val="left"/>
        <w:rPr>
          <w:color w:val="auto"/>
          <w:sz w:val="24"/>
          <w:highlight w:val="none"/>
        </w:rPr>
      </w:pPr>
      <w:r>
        <w:rPr>
          <w:rFonts w:hint="eastAsia"/>
          <w:color w:val="auto"/>
          <w:sz w:val="24"/>
          <w:highlight w:val="none"/>
        </w:rPr>
        <w:t xml:space="preserve">  注：可采用表格或文字描述，格式由投标人自定</w:t>
      </w:r>
    </w:p>
    <w:p w14:paraId="3ACD4548">
      <w:pPr>
        <w:spacing w:line="560" w:lineRule="exact"/>
        <w:jc w:val="left"/>
        <w:rPr>
          <w:color w:val="auto"/>
          <w:sz w:val="24"/>
          <w:highlight w:val="none"/>
        </w:rPr>
      </w:pPr>
    </w:p>
    <w:p w14:paraId="00AEDEF6">
      <w:pPr>
        <w:spacing w:line="360" w:lineRule="auto"/>
        <w:ind w:firstLine="4080" w:firstLineChars="1700"/>
        <w:rPr>
          <w:color w:val="auto"/>
          <w:sz w:val="24"/>
          <w:highlight w:val="none"/>
        </w:rPr>
      </w:pPr>
      <w:r>
        <w:rPr>
          <w:color w:val="auto"/>
          <w:sz w:val="24"/>
          <w:highlight w:val="none"/>
        </w:rPr>
        <w:t>投标人</w:t>
      </w:r>
      <w:r>
        <w:rPr>
          <w:rFonts w:hint="eastAsia"/>
          <w:color w:val="auto"/>
          <w:sz w:val="24"/>
          <w:highlight w:val="none"/>
        </w:rPr>
        <w:t>（</w:t>
      </w:r>
      <w:r>
        <w:rPr>
          <w:rFonts w:hint="eastAsia" w:hAnsi="宋体"/>
          <w:color w:val="auto"/>
          <w:sz w:val="24"/>
          <w:szCs w:val="24"/>
          <w:highlight w:val="none"/>
        </w:rPr>
        <w:t>公章</w:t>
      </w:r>
      <w:r>
        <w:rPr>
          <w:rFonts w:hint="eastAsia"/>
          <w:color w:val="auto"/>
          <w:sz w:val="24"/>
          <w:highlight w:val="none"/>
        </w:rPr>
        <w:t>）</w:t>
      </w:r>
      <w:r>
        <w:rPr>
          <w:color w:val="auto"/>
          <w:sz w:val="24"/>
          <w:highlight w:val="none"/>
        </w:rPr>
        <w:t>：</w:t>
      </w:r>
    </w:p>
    <w:p w14:paraId="1FADBD26">
      <w:pPr>
        <w:spacing w:line="360" w:lineRule="auto"/>
        <w:ind w:firstLine="4080" w:firstLineChars="1700"/>
        <w:rPr>
          <w:color w:val="auto"/>
          <w:sz w:val="24"/>
          <w:highlight w:val="none"/>
        </w:rPr>
      </w:pPr>
      <w:r>
        <w:rPr>
          <w:color w:val="auto"/>
          <w:sz w:val="24"/>
          <w:highlight w:val="none"/>
        </w:rPr>
        <w:t>日期：</w:t>
      </w:r>
      <w:r>
        <w:rPr>
          <w:rFonts w:hint="eastAsia"/>
          <w:color w:val="auto"/>
          <w:sz w:val="24"/>
          <w:highlight w:val="none"/>
          <w:lang w:val="en-US" w:eastAsia="zh-CN"/>
        </w:rPr>
        <w:t xml:space="preserve">  </w:t>
      </w:r>
      <w:r>
        <w:rPr>
          <w:color w:val="auto"/>
          <w:sz w:val="24"/>
          <w:highlight w:val="none"/>
        </w:rPr>
        <w:t>年</w:t>
      </w:r>
      <w:r>
        <w:rPr>
          <w:rFonts w:hint="eastAsia"/>
          <w:color w:val="auto"/>
          <w:sz w:val="24"/>
          <w:highlight w:val="none"/>
          <w:lang w:val="en-US" w:eastAsia="zh-CN"/>
        </w:rPr>
        <w:t xml:space="preserve">  </w:t>
      </w:r>
      <w:r>
        <w:rPr>
          <w:color w:val="auto"/>
          <w:sz w:val="24"/>
          <w:highlight w:val="none"/>
        </w:rPr>
        <w:t>月</w:t>
      </w:r>
      <w:r>
        <w:rPr>
          <w:rFonts w:hint="eastAsia"/>
          <w:color w:val="auto"/>
          <w:sz w:val="24"/>
          <w:highlight w:val="none"/>
          <w:lang w:val="en-US" w:eastAsia="zh-CN"/>
        </w:rPr>
        <w:t xml:space="preserve">  </w:t>
      </w:r>
      <w:r>
        <w:rPr>
          <w:color w:val="auto"/>
          <w:sz w:val="24"/>
          <w:highlight w:val="none"/>
        </w:rPr>
        <w:t>日</w:t>
      </w:r>
    </w:p>
    <w:bookmarkEnd w:id="120"/>
    <w:bookmarkEnd w:id="121"/>
    <w:p w14:paraId="29B99DA2">
      <w:pPr>
        <w:ind w:left="1844" w:firstLine="420" w:firstLineChars="200"/>
        <w:rPr>
          <w:rFonts w:ascii="宋体"/>
          <w:highlight w:val="yellow"/>
        </w:rPr>
      </w:pPr>
    </w:p>
    <w:p w14:paraId="540FE09F">
      <w:pPr>
        <w:ind w:left="1844" w:firstLine="420" w:firstLineChars="200"/>
        <w:rPr>
          <w:rFonts w:ascii="宋体"/>
          <w:highlight w:val="yellow"/>
        </w:rPr>
      </w:pPr>
    </w:p>
    <w:p w14:paraId="5CE4729B">
      <w:pPr>
        <w:ind w:left="1844" w:firstLine="420" w:firstLineChars="200"/>
        <w:rPr>
          <w:rFonts w:ascii="宋体"/>
          <w:highlight w:val="yellow"/>
        </w:rPr>
      </w:pPr>
    </w:p>
    <w:p w14:paraId="7B536DA8">
      <w:pPr>
        <w:spacing w:line="560" w:lineRule="exact"/>
        <w:ind w:firstLine="480" w:firstLineChars="200"/>
        <w:rPr>
          <w:rFonts w:ascii="宋体"/>
          <w:color w:val="000000"/>
          <w:sz w:val="24"/>
          <w:szCs w:val="24"/>
        </w:rPr>
      </w:pPr>
    </w:p>
    <w:bookmarkEnd w:id="82"/>
    <w:bookmarkEnd w:id="83"/>
    <w:p w14:paraId="43A561E8">
      <w:pPr>
        <w:pageBreakBefore/>
        <w:numPr>
          <w:ilvl w:val="0"/>
          <w:numId w:val="8"/>
        </w:numPr>
        <w:spacing w:line="640" w:lineRule="exact"/>
        <w:jc w:val="center"/>
        <w:outlineLvl w:val="0"/>
        <w:rPr>
          <w:rFonts w:ascii="宋体"/>
          <w:b/>
          <w:bCs/>
          <w:kern w:val="0"/>
          <w:sz w:val="36"/>
          <w:szCs w:val="36"/>
        </w:rPr>
      </w:pPr>
      <w:bookmarkStart w:id="122" w:name="_Toc4898"/>
      <w:bookmarkStart w:id="123" w:name="_Toc9812"/>
      <w:bookmarkStart w:id="124" w:name="_Toc20191"/>
      <w:bookmarkStart w:id="125" w:name="_Toc18776"/>
      <w:bookmarkStart w:id="126" w:name="_Toc23995"/>
      <w:bookmarkStart w:id="127" w:name="_Toc9296"/>
      <w:bookmarkStart w:id="128" w:name="_Toc457219504"/>
      <w:r>
        <w:rPr>
          <w:rFonts w:hint="eastAsia" w:ascii="宋体" w:hAnsi="宋体" w:cs="宋体"/>
          <w:b/>
          <w:bCs/>
          <w:kern w:val="0"/>
          <w:sz w:val="36"/>
          <w:szCs w:val="36"/>
        </w:rPr>
        <w:t>政府采购合同</w:t>
      </w:r>
      <w:bookmarkEnd w:id="122"/>
      <w:bookmarkEnd w:id="123"/>
      <w:bookmarkEnd w:id="124"/>
      <w:r>
        <w:rPr>
          <w:rFonts w:hint="eastAsia" w:ascii="宋体" w:hAnsi="宋体" w:cs="宋体"/>
          <w:b/>
          <w:bCs/>
          <w:kern w:val="0"/>
          <w:sz w:val="36"/>
          <w:szCs w:val="36"/>
        </w:rPr>
        <w:t>（以实际签订的合同为准）</w:t>
      </w:r>
      <w:bookmarkEnd w:id="125"/>
      <w:bookmarkEnd w:id="126"/>
      <w:bookmarkEnd w:id="127"/>
    </w:p>
    <w:bookmarkEnd w:id="128"/>
    <w:p w14:paraId="16755850">
      <w:pPr>
        <w:spacing w:before="0" w:after="0" w:line="360" w:lineRule="auto"/>
        <w:jc w:val="center"/>
        <w:outlineLvl w:val="9"/>
        <w:rPr>
          <w:rFonts w:hAnsi="宋体"/>
          <w:sz w:val="36"/>
          <w:szCs w:val="36"/>
        </w:rPr>
      </w:pPr>
      <w:r>
        <w:rPr>
          <w:rFonts w:hint="eastAsia" w:hAnsi="宋体" w:cs="宋体"/>
          <w:sz w:val="36"/>
          <w:szCs w:val="36"/>
        </w:rPr>
        <w:t>合同条款及格式</w:t>
      </w:r>
    </w:p>
    <w:p w14:paraId="1DD6FD6B">
      <w:pPr>
        <w:spacing w:line="360" w:lineRule="auto"/>
        <w:outlineLvl w:val="9"/>
        <w:rPr>
          <w:rFonts w:hAnsi="宋体"/>
          <w:b/>
          <w:bCs/>
          <w:sz w:val="24"/>
          <w:szCs w:val="24"/>
        </w:rPr>
      </w:pPr>
    </w:p>
    <w:p w14:paraId="137D6DEA">
      <w:pPr>
        <w:spacing w:line="360" w:lineRule="auto"/>
        <w:outlineLvl w:val="9"/>
        <w:rPr>
          <w:rFonts w:hAnsi="宋体"/>
          <w:b/>
          <w:bCs/>
          <w:sz w:val="24"/>
          <w:szCs w:val="24"/>
        </w:rPr>
      </w:pPr>
      <w:bookmarkStart w:id="129" w:name="_Toc24815"/>
      <w:r>
        <w:rPr>
          <w:rFonts w:hint="eastAsia" w:hAnsi="宋体" w:cs="宋体"/>
          <w:b/>
          <w:bCs/>
          <w:sz w:val="24"/>
          <w:szCs w:val="24"/>
        </w:rPr>
        <w:t>合同封面格式</w:t>
      </w:r>
      <w:bookmarkEnd w:id="129"/>
    </w:p>
    <w:p w14:paraId="299BE296">
      <w:pPr>
        <w:spacing w:line="360" w:lineRule="auto"/>
        <w:jc w:val="left"/>
        <w:outlineLvl w:val="9"/>
        <w:rPr>
          <w:rFonts w:hAnsi="宋体"/>
          <w:sz w:val="24"/>
          <w:szCs w:val="24"/>
        </w:rPr>
      </w:pPr>
    </w:p>
    <w:p w14:paraId="4D59DD1C">
      <w:pPr>
        <w:spacing w:line="360" w:lineRule="auto"/>
        <w:jc w:val="left"/>
        <w:outlineLvl w:val="9"/>
        <w:rPr>
          <w:rFonts w:hAnsi="宋体"/>
          <w:sz w:val="24"/>
          <w:szCs w:val="24"/>
        </w:rPr>
      </w:pPr>
    </w:p>
    <w:p w14:paraId="40A2B18A">
      <w:pPr>
        <w:spacing w:line="360" w:lineRule="auto"/>
        <w:jc w:val="center"/>
        <w:outlineLvl w:val="9"/>
        <w:rPr>
          <w:rFonts w:hAnsi="宋体"/>
          <w:sz w:val="44"/>
          <w:szCs w:val="44"/>
          <w:u w:val="single"/>
        </w:rPr>
      </w:pPr>
      <w:r>
        <w:rPr>
          <w:rFonts w:hAnsi="宋体"/>
          <w:sz w:val="44"/>
          <w:szCs w:val="44"/>
          <w:u w:val="single"/>
        </w:rPr>
        <w:t xml:space="preserve">                   </w:t>
      </w:r>
      <w:r>
        <w:rPr>
          <w:rFonts w:hint="eastAsia" w:hAnsi="宋体" w:cs="宋体"/>
          <w:sz w:val="44"/>
          <w:szCs w:val="44"/>
        </w:rPr>
        <w:t>项目</w:t>
      </w:r>
    </w:p>
    <w:p w14:paraId="390B34D1">
      <w:pPr>
        <w:spacing w:line="360" w:lineRule="auto"/>
        <w:jc w:val="center"/>
        <w:outlineLvl w:val="9"/>
        <w:rPr>
          <w:rFonts w:hAnsi="宋体"/>
          <w:sz w:val="44"/>
          <w:szCs w:val="44"/>
        </w:rPr>
      </w:pPr>
      <w:r>
        <w:rPr>
          <w:rFonts w:hint="eastAsia" w:hAnsi="宋体" w:cs="宋体"/>
          <w:sz w:val="44"/>
          <w:szCs w:val="44"/>
        </w:rPr>
        <w:t>政府采购合同</w:t>
      </w:r>
    </w:p>
    <w:p w14:paraId="6655DC79">
      <w:pPr>
        <w:spacing w:line="360" w:lineRule="auto"/>
        <w:jc w:val="center"/>
        <w:outlineLvl w:val="9"/>
        <w:rPr>
          <w:rFonts w:hAnsi="宋体"/>
          <w:sz w:val="24"/>
          <w:szCs w:val="24"/>
        </w:rPr>
      </w:pPr>
    </w:p>
    <w:p w14:paraId="3E8AC9E6">
      <w:pPr>
        <w:spacing w:line="360" w:lineRule="auto"/>
        <w:jc w:val="center"/>
        <w:outlineLvl w:val="9"/>
        <w:rPr>
          <w:rFonts w:hAnsi="宋体"/>
          <w:sz w:val="24"/>
          <w:szCs w:val="24"/>
        </w:rPr>
      </w:pPr>
    </w:p>
    <w:p w14:paraId="330C290F">
      <w:pPr>
        <w:spacing w:line="360" w:lineRule="auto"/>
        <w:jc w:val="center"/>
        <w:outlineLvl w:val="9"/>
        <w:rPr>
          <w:rFonts w:hAnsi="宋体"/>
          <w:sz w:val="24"/>
          <w:szCs w:val="24"/>
        </w:rPr>
      </w:pPr>
    </w:p>
    <w:p w14:paraId="23E6E676">
      <w:pPr>
        <w:spacing w:line="360" w:lineRule="auto"/>
        <w:jc w:val="center"/>
        <w:outlineLvl w:val="9"/>
        <w:rPr>
          <w:rFonts w:hAnsi="宋体"/>
          <w:sz w:val="24"/>
          <w:szCs w:val="24"/>
        </w:rPr>
      </w:pPr>
    </w:p>
    <w:p w14:paraId="516C9375">
      <w:pPr>
        <w:tabs>
          <w:tab w:val="left" w:pos="709"/>
          <w:tab w:val="left" w:pos="1418"/>
        </w:tabs>
        <w:spacing w:line="360" w:lineRule="auto"/>
        <w:outlineLvl w:val="9"/>
        <w:rPr>
          <w:rFonts w:hAnsi="宋体"/>
          <w:sz w:val="36"/>
          <w:szCs w:val="36"/>
        </w:rPr>
      </w:pPr>
      <w:r>
        <w:rPr>
          <w:rFonts w:hAnsi="宋体"/>
          <w:sz w:val="36"/>
          <w:szCs w:val="36"/>
        </w:rPr>
        <w:t xml:space="preserve">          </w:t>
      </w:r>
      <w:r>
        <w:rPr>
          <w:rFonts w:hint="eastAsia" w:hAnsi="宋体" w:cs="宋体"/>
          <w:sz w:val="36"/>
          <w:szCs w:val="36"/>
        </w:rPr>
        <w:t>合同编号：</w:t>
      </w:r>
    </w:p>
    <w:p w14:paraId="2E1D92EA">
      <w:pPr>
        <w:spacing w:line="360" w:lineRule="auto"/>
        <w:outlineLvl w:val="9"/>
        <w:rPr>
          <w:rFonts w:hAnsi="宋体"/>
          <w:sz w:val="36"/>
          <w:szCs w:val="36"/>
        </w:rPr>
      </w:pPr>
      <w:r>
        <w:rPr>
          <w:rFonts w:hAnsi="宋体"/>
          <w:sz w:val="36"/>
          <w:szCs w:val="36"/>
        </w:rPr>
        <w:t xml:space="preserve">          </w:t>
      </w:r>
      <w:r>
        <w:rPr>
          <w:rFonts w:hint="eastAsia" w:hAnsi="宋体" w:cs="宋体"/>
          <w:sz w:val="36"/>
          <w:szCs w:val="36"/>
        </w:rPr>
        <w:t>项目名称：</w:t>
      </w:r>
    </w:p>
    <w:p w14:paraId="792B2463">
      <w:pPr>
        <w:spacing w:line="360" w:lineRule="auto"/>
        <w:outlineLvl w:val="9"/>
        <w:rPr>
          <w:rFonts w:hAnsi="宋体"/>
          <w:sz w:val="36"/>
          <w:szCs w:val="36"/>
        </w:rPr>
      </w:pPr>
      <w:r>
        <w:rPr>
          <w:rFonts w:hAnsi="宋体"/>
          <w:sz w:val="36"/>
          <w:szCs w:val="36"/>
        </w:rPr>
        <w:t xml:space="preserve">          </w:t>
      </w:r>
      <w:r>
        <w:rPr>
          <w:rFonts w:hint="eastAsia" w:hAnsi="宋体" w:cs="宋体"/>
          <w:sz w:val="36"/>
          <w:szCs w:val="36"/>
        </w:rPr>
        <w:t>项目编号：</w:t>
      </w:r>
    </w:p>
    <w:p w14:paraId="0F101AB3">
      <w:pPr>
        <w:spacing w:line="360" w:lineRule="auto"/>
        <w:outlineLvl w:val="9"/>
        <w:rPr>
          <w:rFonts w:hAnsi="宋体"/>
          <w:sz w:val="36"/>
          <w:szCs w:val="36"/>
        </w:rPr>
      </w:pPr>
    </w:p>
    <w:p w14:paraId="79BA1447">
      <w:pPr>
        <w:spacing w:line="360" w:lineRule="auto"/>
        <w:outlineLvl w:val="9"/>
        <w:rPr>
          <w:rFonts w:hAnsi="宋体"/>
          <w:sz w:val="36"/>
          <w:szCs w:val="36"/>
        </w:rPr>
      </w:pPr>
    </w:p>
    <w:p w14:paraId="53AEC750">
      <w:pPr>
        <w:spacing w:line="360" w:lineRule="auto"/>
        <w:outlineLvl w:val="9"/>
        <w:rPr>
          <w:rFonts w:hAnsi="宋体"/>
          <w:sz w:val="36"/>
          <w:szCs w:val="36"/>
        </w:rPr>
      </w:pPr>
      <w:r>
        <w:rPr>
          <w:rFonts w:hAnsi="宋体"/>
          <w:sz w:val="36"/>
          <w:szCs w:val="36"/>
        </w:rPr>
        <w:t xml:space="preserve">           </w:t>
      </w:r>
      <w:r>
        <w:rPr>
          <w:rFonts w:hint="eastAsia" w:hAnsi="宋体" w:cs="宋体"/>
          <w:sz w:val="36"/>
          <w:szCs w:val="36"/>
        </w:rPr>
        <w:t>甲方：</w:t>
      </w:r>
    </w:p>
    <w:p w14:paraId="080538EA">
      <w:pPr>
        <w:spacing w:line="360" w:lineRule="auto"/>
        <w:ind w:firstLine="720"/>
        <w:outlineLvl w:val="9"/>
        <w:rPr>
          <w:rFonts w:hAnsi="宋体"/>
          <w:sz w:val="36"/>
          <w:szCs w:val="36"/>
        </w:rPr>
      </w:pPr>
      <w:r>
        <w:rPr>
          <w:rFonts w:hAnsi="宋体"/>
          <w:sz w:val="36"/>
          <w:szCs w:val="36"/>
        </w:rPr>
        <w:t xml:space="preserve">       </w:t>
      </w:r>
      <w:r>
        <w:rPr>
          <w:rFonts w:hint="eastAsia" w:hAnsi="宋体" w:cs="宋体"/>
          <w:sz w:val="36"/>
          <w:szCs w:val="36"/>
        </w:rPr>
        <w:t>乙方：</w:t>
      </w:r>
    </w:p>
    <w:p w14:paraId="3676765E">
      <w:pPr>
        <w:spacing w:line="360" w:lineRule="auto"/>
        <w:ind w:firstLine="720"/>
        <w:outlineLvl w:val="9"/>
        <w:rPr>
          <w:rFonts w:hAnsi="宋体"/>
          <w:sz w:val="36"/>
          <w:szCs w:val="36"/>
        </w:rPr>
      </w:pPr>
      <w:r>
        <w:rPr>
          <w:rFonts w:hAnsi="宋体"/>
          <w:sz w:val="36"/>
          <w:szCs w:val="36"/>
        </w:rPr>
        <w:t xml:space="preserve">       </w:t>
      </w:r>
      <w:r>
        <w:rPr>
          <w:rFonts w:hint="eastAsia" w:hAnsi="宋体" w:cs="宋体"/>
          <w:sz w:val="36"/>
          <w:szCs w:val="36"/>
          <w:lang w:eastAsia="zh-CN"/>
        </w:rPr>
        <w:t>采购代理机构</w:t>
      </w:r>
      <w:r>
        <w:rPr>
          <w:rFonts w:hint="eastAsia" w:hAnsi="宋体" w:cs="宋体"/>
          <w:sz w:val="36"/>
          <w:szCs w:val="36"/>
        </w:rPr>
        <w:t>：</w:t>
      </w:r>
    </w:p>
    <w:p w14:paraId="4223928B">
      <w:pPr>
        <w:spacing w:line="360" w:lineRule="auto"/>
        <w:jc w:val="center"/>
        <w:outlineLvl w:val="9"/>
        <w:rPr>
          <w:rFonts w:hAnsi="宋体"/>
          <w:sz w:val="36"/>
          <w:szCs w:val="36"/>
        </w:rPr>
      </w:pPr>
    </w:p>
    <w:p w14:paraId="02F79E39">
      <w:pPr>
        <w:spacing w:line="360" w:lineRule="auto"/>
        <w:jc w:val="center"/>
        <w:outlineLvl w:val="9"/>
        <w:rPr>
          <w:rFonts w:hAnsi="宋体"/>
          <w:sz w:val="36"/>
          <w:szCs w:val="36"/>
        </w:rPr>
      </w:pPr>
      <w:r>
        <w:rPr>
          <w:rFonts w:hint="eastAsia" w:hAnsi="宋体" w:cs="宋体"/>
          <w:sz w:val="36"/>
          <w:szCs w:val="36"/>
        </w:rPr>
        <w:t>年</w:t>
      </w:r>
      <w:r>
        <w:rPr>
          <w:rFonts w:hAnsi="宋体"/>
          <w:sz w:val="36"/>
          <w:szCs w:val="36"/>
        </w:rPr>
        <w:t xml:space="preserve">    </w:t>
      </w:r>
      <w:r>
        <w:rPr>
          <w:rFonts w:hint="eastAsia" w:hAnsi="宋体" w:cs="宋体"/>
          <w:sz w:val="36"/>
          <w:szCs w:val="36"/>
        </w:rPr>
        <w:t>月</w:t>
      </w:r>
    </w:p>
    <w:p w14:paraId="509ABB45">
      <w:pPr>
        <w:spacing w:line="360" w:lineRule="auto"/>
        <w:jc w:val="center"/>
        <w:outlineLvl w:val="9"/>
        <w:rPr>
          <w:rFonts w:hAnsi="宋体"/>
          <w:b/>
          <w:bCs/>
          <w:sz w:val="32"/>
          <w:szCs w:val="32"/>
        </w:rPr>
        <w:sectPr>
          <w:headerReference r:id="rId5" w:type="default"/>
          <w:footerReference r:id="rId6" w:type="default"/>
          <w:pgSz w:w="11906" w:h="16838"/>
          <w:pgMar w:top="1440" w:right="1800" w:bottom="1440" w:left="1800" w:header="851" w:footer="992" w:gutter="0"/>
          <w:pgNumType w:fmt="decimal"/>
          <w:cols w:space="720" w:num="1"/>
          <w:docGrid w:type="lines" w:linePitch="312" w:charSpace="0"/>
        </w:sectPr>
      </w:pPr>
    </w:p>
    <w:p w14:paraId="19EE8176">
      <w:pPr>
        <w:widowControl w:val="0"/>
        <w:spacing w:after="0"/>
        <w:jc w:val="center"/>
        <w:rPr>
          <w:rFonts w:ascii="宋体" w:hAnsi="宋体" w:eastAsia="宋体" w:cs="宋体"/>
          <w:b/>
          <w:bCs/>
          <w:spacing w:val="-20"/>
          <w:kern w:val="44"/>
          <w:sz w:val="48"/>
          <w:szCs w:val="48"/>
          <w:lang w:val="en-US" w:eastAsia="zh-CN" w:bidi="ar-SA"/>
        </w:rPr>
      </w:pPr>
      <w:bookmarkStart w:id="130" w:name="_Toc3995"/>
    </w:p>
    <w:p w14:paraId="1554DABA">
      <w:pPr>
        <w:widowControl w:val="0"/>
        <w:spacing w:after="0"/>
        <w:jc w:val="center"/>
        <w:rPr>
          <w:rFonts w:ascii="宋体" w:hAnsi="宋体" w:eastAsia="宋体" w:cs="宋体"/>
          <w:b/>
          <w:bCs/>
          <w:spacing w:val="-20"/>
          <w:kern w:val="44"/>
          <w:sz w:val="48"/>
          <w:szCs w:val="48"/>
          <w:lang w:val="en-US" w:eastAsia="zh-CN" w:bidi="ar-SA"/>
        </w:rPr>
      </w:pPr>
    </w:p>
    <w:p w14:paraId="41E89C6B">
      <w:pPr>
        <w:widowControl w:val="0"/>
        <w:spacing w:after="0"/>
        <w:jc w:val="center"/>
        <w:rPr>
          <w:rFonts w:ascii="宋体" w:hAnsi="宋体" w:eastAsia="宋体" w:cs="宋体"/>
          <w:b/>
          <w:bCs/>
          <w:spacing w:val="-20"/>
          <w:kern w:val="44"/>
          <w:sz w:val="48"/>
          <w:szCs w:val="48"/>
          <w:lang w:val="en-US" w:eastAsia="zh-CN" w:bidi="ar-SA"/>
        </w:rPr>
      </w:pPr>
    </w:p>
    <w:p w14:paraId="4AC3BCDE">
      <w:pPr>
        <w:widowControl w:val="0"/>
        <w:spacing w:after="0"/>
        <w:jc w:val="center"/>
        <w:rPr>
          <w:rFonts w:ascii="宋体" w:hAnsi="宋体" w:eastAsia="宋体" w:cs="宋体"/>
          <w:b/>
          <w:bCs/>
          <w:spacing w:val="-20"/>
          <w:kern w:val="44"/>
          <w:sz w:val="48"/>
          <w:szCs w:val="48"/>
          <w:lang w:val="en-US" w:eastAsia="zh-CN" w:bidi="ar-SA"/>
        </w:rPr>
      </w:pPr>
    </w:p>
    <w:p w14:paraId="0D63A475">
      <w:pPr>
        <w:widowControl w:val="0"/>
        <w:spacing w:after="0"/>
        <w:jc w:val="center"/>
        <w:rPr>
          <w:rFonts w:ascii="宋体" w:hAnsi="宋体" w:eastAsia="宋体" w:cs="宋体"/>
          <w:b/>
          <w:bCs/>
          <w:spacing w:val="-20"/>
          <w:kern w:val="44"/>
          <w:sz w:val="48"/>
          <w:szCs w:val="48"/>
          <w:lang w:val="en-US" w:eastAsia="zh-CN" w:bidi="ar-SA"/>
        </w:rPr>
      </w:pPr>
    </w:p>
    <w:p w14:paraId="50592751">
      <w:pPr>
        <w:widowControl w:val="0"/>
        <w:spacing w:after="0"/>
        <w:jc w:val="center"/>
        <w:rPr>
          <w:rFonts w:hint="eastAsia" w:ascii="宋体" w:hAnsi="宋体" w:eastAsia="宋体" w:cs="宋体"/>
          <w:b/>
          <w:bCs/>
          <w:spacing w:val="-20"/>
          <w:kern w:val="44"/>
          <w:sz w:val="48"/>
          <w:szCs w:val="48"/>
          <w:lang w:val="en-US" w:eastAsia="zh-CN" w:bidi="ar-SA"/>
        </w:rPr>
      </w:pPr>
      <w:r>
        <w:rPr>
          <w:rFonts w:hint="eastAsia" w:ascii="宋体" w:hAnsi="宋体" w:eastAsia="宋体" w:cs="宋体"/>
          <w:b/>
          <w:bCs/>
          <w:spacing w:val="-20"/>
          <w:kern w:val="44"/>
          <w:sz w:val="48"/>
          <w:szCs w:val="48"/>
          <w:lang w:val="en-US" w:eastAsia="zh-CN" w:bidi="ar-SA"/>
        </w:rPr>
        <w:t>政府采购货物买卖合同</w:t>
      </w:r>
    </w:p>
    <w:p w14:paraId="3BAC5B44">
      <w:pPr>
        <w:widowControl w:val="0"/>
        <w:spacing w:after="0"/>
        <w:jc w:val="center"/>
        <w:rPr>
          <w:rFonts w:hint="eastAsia" w:ascii="宋体" w:hAnsi="宋体" w:eastAsia="宋体" w:cs="宋体"/>
          <w:b/>
          <w:bCs/>
          <w:spacing w:val="-20"/>
          <w:kern w:val="44"/>
          <w:sz w:val="48"/>
          <w:szCs w:val="48"/>
          <w:lang w:val="en-US" w:eastAsia="zh-CN" w:bidi="ar-SA"/>
        </w:rPr>
      </w:pPr>
      <w:r>
        <w:rPr>
          <w:rFonts w:hint="eastAsia" w:ascii="宋体" w:hAnsi="宋体" w:eastAsia="宋体" w:cs="宋体"/>
          <w:b/>
          <w:bCs/>
          <w:spacing w:val="-20"/>
          <w:kern w:val="44"/>
          <w:sz w:val="48"/>
          <w:szCs w:val="48"/>
          <w:lang w:val="en-US" w:eastAsia="zh-CN" w:bidi="ar-SA"/>
        </w:rPr>
        <w:t>（试行）</w:t>
      </w:r>
    </w:p>
    <w:p w14:paraId="68D0827E">
      <w:pPr>
        <w:rPr>
          <w:rFonts w:ascii="宋体" w:hAnsi="宋体" w:eastAsia="宋体" w:cs="宋体"/>
          <w:b/>
          <w:bCs/>
          <w:spacing w:val="-20"/>
          <w:kern w:val="44"/>
          <w:sz w:val="40"/>
          <w:szCs w:val="40"/>
        </w:rPr>
      </w:pPr>
    </w:p>
    <w:p w14:paraId="779A56C0">
      <w:pPr>
        <w:rPr>
          <w:rFonts w:ascii="宋体" w:hAnsi="宋体" w:eastAsia="宋体" w:cs="宋体"/>
          <w:b/>
          <w:bCs/>
          <w:spacing w:val="-20"/>
          <w:kern w:val="44"/>
          <w:sz w:val="40"/>
          <w:szCs w:val="40"/>
        </w:rPr>
      </w:pPr>
    </w:p>
    <w:p w14:paraId="4ACAA4F7">
      <w:pPr>
        <w:rPr>
          <w:rFonts w:ascii="宋体" w:hAnsi="宋体" w:eastAsia="宋体" w:cs="宋体"/>
          <w:b/>
          <w:bCs/>
          <w:spacing w:val="-20"/>
          <w:kern w:val="44"/>
          <w:sz w:val="40"/>
          <w:szCs w:val="40"/>
        </w:rPr>
      </w:pPr>
    </w:p>
    <w:p w14:paraId="2C4E5A18">
      <w:pPr>
        <w:spacing w:line="360" w:lineRule="auto"/>
        <w:ind w:left="420" w:leftChars="200"/>
        <w:rPr>
          <w:rFonts w:ascii="Times New Roman" w:hAnsi="Times New Roman" w:eastAsia="宋体" w:cs="Times New Roman"/>
          <w:sz w:val="32"/>
          <w:szCs w:val="32"/>
        </w:rPr>
      </w:pPr>
      <w:r>
        <w:rPr>
          <w:rFonts w:hint="eastAsia" w:ascii="宋体" w:hAnsi="宋体" w:eastAsia="宋体" w:cs="宋体"/>
          <w:kern w:val="0"/>
          <w:sz w:val="32"/>
          <w:szCs w:val="32"/>
        </w:rPr>
        <w:t>项目名称：</w:t>
      </w:r>
      <w:r>
        <w:rPr>
          <w:rFonts w:hint="eastAsia" w:ascii="Times New Roman" w:hAnsi="Times New Roman" w:eastAsia="宋体" w:cs="Times New Roman"/>
          <w:sz w:val="32"/>
          <w:szCs w:val="32"/>
          <w:u w:val="single"/>
        </w:rPr>
        <w:t xml:space="preserve">                             </w:t>
      </w:r>
    </w:p>
    <w:p w14:paraId="391640C2">
      <w:pPr>
        <w:spacing w:line="360" w:lineRule="auto"/>
        <w:ind w:left="420" w:leftChars="200"/>
        <w:rPr>
          <w:rFonts w:ascii="Times New Roman" w:hAnsi="Times New Roman" w:eastAsia="宋体" w:cs="Times New Roman"/>
          <w:sz w:val="32"/>
          <w:szCs w:val="32"/>
          <w:u w:val="single"/>
        </w:rPr>
      </w:pPr>
      <w:r>
        <w:rPr>
          <w:rFonts w:hint="eastAsia" w:ascii="Times New Roman" w:hAnsi="Times New Roman" w:eastAsia="宋体" w:cs="Times New Roman"/>
          <w:sz w:val="32"/>
          <w:szCs w:val="32"/>
        </w:rPr>
        <w:t>合同编号：</w:t>
      </w:r>
      <w:r>
        <w:rPr>
          <w:rFonts w:hint="eastAsia" w:ascii="Times New Roman" w:hAnsi="Times New Roman" w:eastAsia="宋体" w:cs="Times New Roman"/>
          <w:sz w:val="32"/>
          <w:szCs w:val="32"/>
          <w:u w:val="single"/>
        </w:rPr>
        <w:t xml:space="preserve">                             </w:t>
      </w:r>
    </w:p>
    <w:p w14:paraId="2760EAD1">
      <w:pPr>
        <w:spacing w:line="360" w:lineRule="auto"/>
        <w:ind w:left="420" w:leftChars="200"/>
        <w:rPr>
          <w:rFonts w:ascii="Times New Roman" w:hAnsi="Times New Roman" w:eastAsia="宋体" w:cs="Times New Roman"/>
          <w:sz w:val="32"/>
          <w:szCs w:val="32"/>
        </w:rPr>
      </w:pPr>
      <w:r>
        <w:rPr>
          <w:rFonts w:hint="eastAsia" w:ascii="Times New Roman" w:hAnsi="Times New Roman" w:eastAsia="宋体" w:cs="Times New Roman"/>
          <w:sz w:val="32"/>
          <w:szCs w:val="32"/>
        </w:rPr>
        <w:t>甲    方：</w:t>
      </w:r>
      <w:r>
        <w:rPr>
          <w:rFonts w:hint="eastAsia" w:ascii="Times New Roman" w:hAnsi="Times New Roman" w:eastAsia="宋体" w:cs="Times New Roman"/>
          <w:sz w:val="32"/>
          <w:szCs w:val="32"/>
          <w:u w:val="single"/>
        </w:rPr>
        <w:t xml:space="preserve">                             </w:t>
      </w:r>
    </w:p>
    <w:p w14:paraId="53CA6860">
      <w:pPr>
        <w:spacing w:line="360" w:lineRule="auto"/>
        <w:ind w:left="420" w:leftChars="200"/>
        <w:rPr>
          <w:rFonts w:ascii="Times New Roman" w:hAnsi="Times New Roman" w:eastAsia="宋体" w:cs="Times New Roman"/>
          <w:sz w:val="32"/>
          <w:szCs w:val="32"/>
          <w:u w:val="single"/>
        </w:rPr>
      </w:pPr>
      <w:r>
        <w:rPr>
          <w:rFonts w:hint="eastAsia" w:ascii="Times New Roman" w:hAnsi="Times New Roman" w:eastAsia="宋体" w:cs="Times New Roman"/>
          <w:sz w:val="32"/>
          <w:szCs w:val="32"/>
        </w:rPr>
        <w:t>乙    方：</w:t>
      </w:r>
      <w:r>
        <w:rPr>
          <w:rFonts w:hint="eastAsia" w:ascii="Times New Roman" w:hAnsi="Times New Roman" w:eastAsia="宋体" w:cs="Times New Roman"/>
          <w:sz w:val="32"/>
          <w:szCs w:val="32"/>
          <w:u w:val="single"/>
        </w:rPr>
        <w:t xml:space="preserve">                             </w:t>
      </w:r>
    </w:p>
    <w:p w14:paraId="24D1DA36">
      <w:pPr>
        <w:spacing w:line="360" w:lineRule="auto"/>
        <w:ind w:left="420" w:leftChars="200"/>
        <w:rPr>
          <w:rFonts w:ascii="Times New Roman" w:hAnsi="Times New Roman" w:eastAsia="宋体" w:cs="Times New Roman"/>
          <w:sz w:val="32"/>
          <w:szCs w:val="32"/>
        </w:rPr>
      </w:pPr>
      <w:r>
        <w:rPr>
          <w:rFonts w:hint="eastAsia" w:ascii="Times New Roman" w:hAnsi="Times New Roman" w:eastAsia="宋体" w:cs="Times New Roman"/>
          <w:sz w:val="32"/>
          <w:szCs w:val="32"/>
        </w:rPr>
        <w:t>签订时间：</w:t>
      </w:r>
      <w:r>
        <w:rPr>
          <w:rFonts w:hint="eastAsia" w:ascii="Times New Roman" w:hAnsi="Times New Roman" w:eastAsia="宋体" w:cs="Times New Roman"/>
          <w:sz w:val="32"/>
          <w:szCs w:val="32"/>
          <w:u w:val="single"/>
        </w:rPr>
        <w:t xml:space="preserve">      </w:t>
      </w:r>
      <w:r>
        <w:rPr>
          <w:rFonts w:ascii="Times New Roman" w:hAnsi="Times New Roman" w:eastAsia="宋体" w:cs="Times New Roman"/>
          <w:sz w:val="32"/>
          <w:szCs w:val="32"/>
          <w:u w:val="single"/>
        </w:rPr>
        <w:t xml:space="preserve">           </w:t>
      </w:r>
      <w:r>
        <w:rPr>
          <w:rFonts w:hint="eastAsia" w:ascii="Times New Roman" w:hAnsi="Times New Roman" w:eastAsia="宋体" w:cs="Times New Roman"/>
          <w:sz w:val="32"/>
          <w:szCs w:val="32"/>
          <w:u w:val="single"/>
        </w:rPr>
        <w:t xml:space="preserve">            </w:t>
      </w:r>
    </w:p>
    <w:p w14:paraId="51050E43">
      <w:pPr>
        <w:rPr>
          <w:rFonts w:ascii="Times New Roman" w:hAnsi="Times New Roman" w:eastAsia="宋体" w:cs="Times New Roman"/>
          <w:szCs w:val="24"/>
        </w:rPr>
      </w:pPr>
    </w:p>
    <w:p w14:paraId="63F7F876">
      <w:pPr>
        <w:rPr>
          <w:rFonts w:ascii="Times New Roman" w:hAnsi="Times New Roman" w:eastAsia="黑体" w:cs="Times New Roman"/>
          <w:sz w:val="44"/>
          <w:szCs w:val="44"/>
        </w:rPr>
      </w:pPr>
      <w:r>
        <w:rPr>
          <w:rFonts w:ascii="Times New Roman" w:hAnsi="Times New Roman" w:eastAsia="黑体" w:cs="Times New Roman"/>
          <w:sz w:val="44"/>
          <w:szCs w:val="44"/>
        </w:rPr>
        <w:br w:type="page"/>
      </w:r>
    </w:p>
    <w:p w14:paraId="0F57FAE8">
      <w:pPr>
        <w:rPr>
          <w:rFonts w:ascii="Times New Roman" w:hAnsi="Times New Roman" w:eastAsia="黑体" w:cs="Times New Roman"/>
          <w:sz w:val="44"/>
          <w:szCs w:val="44"/>
        </w:rPr>
      </w:pPr>
    </w:p>
    <w:p w14:paraId="696017D0">
      <w:pPr>
        <w:rPr>
          <w:rFonts w:ascii="Times New Roman" w:hAnsi="Times New Roman" w:eastAsia="黑体" w:cs="Times New Roman"/>
          <w:sz w:val="44"/>
          <w:szCs w:val="44"/>
        </w:rPr>
      </w:pPr>
    </w:p>
    <w:p w14:paraId="13886F3A">
      <w:pPr>
        <w:jc w:val="center"/>
        <w:rPr>
          <w:rFonts w:hint="eastAsia" w:ascii="Times New Roman" w:hAnsi="Times New Roman" w:eastAsia="黑体" w:cs="Times New Roman"/>
          <w:sz w:val="44"/>
          <w:szCs w:val="44"/>
          <w:lang w:eastAsia="zh-CN"/>
        </w:rPr>
      </w:pPr>
      <w:r>
        <w:rPr>
          <w:rFonts w:hint="eastAsia" w:ascii="Times New Roman" w:hAnsi="Times New Roman" w:eastAsia="黑体" w:cs="Times New Roman"/>
          <w:sz w:val="44"/>
          <w:szCs w:val="44"/>
          <w:lang w:eastAsia="zh-CN"/>
        </w:rPr>
        <w:t>使</w:t>
      </w:r>
      <w:r>
        <w:rPr>
          <w:rFonts w:hint="eastAsia" w:ascii="Times New Roman" w:hAnsi="Times New Roman" w:eastAsia="黑体" w:cs="Times New Roman"/>
          <w:sz w:val="44"/>
          <w:szCs w:val="44"/>
          <w:lang w:val="en-US" w:eastAsia="zh-CN"/>
        </w:rPr>
        <w:t xml:space="preserve"> </w:t>
      </w:r>
      <w:r>
        <w:rPr>
          <w:rFonts w:hint="eastAsia" w:ascii="Times New Roman" w:hAnsi="Times New Roman" w:eastAsia="黑体" w:cs="Times New Roman"/>
          <w:sz w:val="44"/>
          <w:szCs w:val="44"/>
          <w:lang w:eastAsia="zh-CN"/>
        </w:rPr>
        <w:t>用</w:t>
      </w:r>
      <w:r>
        <w:rPr>
          <w:rFonts w:hint="eastAsia" w:ascii="Times New Roman" w:hAnsi="Times New Roman" w:eastAsia="黑体" w:cs="Times New Roman"/>
          <w:sz w:val="44"/>
          <w:szCs w:val="44"/>
          <w:lang w:val="en-US" w:eastAsia="zh-CN"/>
        </w:rPr>
        <w:t xml:space="preserve"> </w:t>
      </w:r>
      <w:r>
        <w:rPr>
          <w:rFonts w:hint="eastAsia" w:ascii="Times New Roman" w:hAnsi="Times New Roman" w:eastAsia="黑体" w:cs="Times New Roman"/>
          <w:sz w:val="44"/>
          <w:szCs w:val="44"/>
          <w:lang w:eastAsia="zh-CN"/>
        </w:rPr>
        <w:t>说</w:t>
      </w:r>
      <w:r>
        <w:rPr>
          <w:rFonts w:hint="eastAsia" w:ascii="Times New Roman" w:hAnsi="Times New Roman" w:eastAsia="黑体" w:cs="Times New Roman"/>
          <w:sz w:val="44"/>
          <w:szCs w:val="44"/>
          <w:lang w:val="en-US" w:eastAsia="zh-CN"/>
        </w:rPr>
        <w:t xml:space="preserve"> </w:t>
      </w:r>
      <w:r>
        <w:rPr>
          <w:rFonts w:hint="eastAsia" w:ascii="Times New Roman" w:hAnsi="Times New Roman" w:eastAsia="黑体" w:cs="Times New Roman"/>
          <w:sz w:val="44"/>
          <w:szCs w:val="44"/>
          <w:lang w:eastAsia="zh-CN"/>
        </w:rPr>
        <w:t>明</w:t>
      </w:r>
    </w:p>
    <w:p w14:paraId="4F59C96F">
      <w:pPr>
        <w:ind w:firstLine="640" w:firstLineChars="200"/>
        <w:rPr>
          <w:rFonts w:hint="eastAsia" w:ascii="仿宋_GB2312" w:hAnsi="仿宋_GB2312" w:eastAsia="仿宋_GB2312" w:cs="仿宋_GB2312"/>
          <w:sz w:val="32"/>
          <w:szCs w:val="32"/>
          <w:lang w:val="en-US" w:eastAsia="zh-CN"/>
        </w:rPr>
      </w:pPr>
    </w:p>
    <w:p w14:paraId="42D1058D">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1.本合同标准文本适用于购买现成货物的采购项目，不包括需要供应商定制开发、创新研发的货物采购项目。</w:t>
      </w:r>
    </w:p>
    <w:p w14:paraId="638082A6">
      <w:pPr>
        <w:ind w:firstLine="0" w:firstLineChars="0"/>
        <w:rPr>
          <w:rFonts w:hint="default" w:ascii="Times New Roman" w:hAnsi="Times New Roman" w:eastAsia="黑体" w:cs="Times New Roman"/>
          <w:sz w:val="44"/>
          <w:szCs w:val="44"/>
          <w:lang w:val="en-US" w:eastAsia="zh-CN"/>
        </w:rPr>
      </w:pPr>
      <w:r>
        <w:rPr>
          <w:rFonts w:hint="eastAsia" w:ascii="Times New Roman" w:hAnsi="Times New Roman" w:eastAsia="黑体" w:cs="Times New Roman"/>
          <w:sz w:val="44"/>
          <w:szCs w:val="44"/>
          <w:lang w:val="en-US" w:eastAsia="zh-CN"/>
        </w:rPr>
        <w:t xml:space="preserve">   </w:t>
      </w:r>
      <w:r>
        <w:rPr>
          <w:rFonts w:hint="eastAsia" w:ascii="仿宋_GB2312" w:hAnsi="仿宋_GB2312" w:eastAsia="仿宋_GB2312" w:cs="仿宋_GB2312"/>
          <w:sz w:val="32"/>
          <w:szCs w:val="32"/>
          <w:lang w:val="en-US" w:eastAsia="zh-CN"/>
        </w:rPr>
        <w:t>2.本合同标准文本为政府采购货物买卖合同编制提供参考，可以结合采购项目具体情况，对文本作必要的调整修订后使用。</w:t>
      </w:r>
    </w:p>
    <w:p w14:paraId="0FD7020C">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3.本合同标准文本各条款中，如涉及填写多家供应商、制造商，多种采购标的、分包主要内容等信息的，可根据采购项目具体情况添加信息项。</w:t>
      </w:r>
    </w:p>
    <w:p w14:paraId="4C44C14E">
      <w:pPr>
        <w:ind w:firstLine="880" w:firstLineChars="200"/>
        <w:jc w:val="both"/>
        <w:rPr>
          <w:rFonts w:eastAsia="黑体"/>
          <w:sz w:val="44"/>
          <w:szCs w:val="44"/>
        </w:rPr>
        <w:sectPr>
          <w:headerReference r:id="rId7" w:type="default"/>
          <w:footerReference r:id="rId8"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bookmarkEnd w:id="130"/>
    <w:p w14:paraId="228DEA57">
      <w:pPr>
        <w:keepNext/>
        <w:keepLines/>
        <w:widowControl w:val="0"/>
        <w:adjustRightInd w:val="0"/>
        <w:snapToGrid w:val="0"/>
        <w:spacing w:beforeLines="0" w:line="400" w:lineRule="exact"/>
        <w:jc w:val="center"/>
        <w:outlineLvl w:val="9"/>
        <w:rPr>
          <w:rFonts w:hint="eastAsia" w:ascii="黑体" w:hAnsi="华文中宋" w:eastAsia="黑体" w:cs="Times New Roman"/>
          <w:b w:val="0"/>
          <w:bCs w:val="0"/>
          <w:kern w:val="2"/>
          <w:sz w:val="28"/>
          <w:szCs w:val="28"/>
          <w:lang w:val="en-US" w:eastAsia="zh-CN" w:bidi="ar-SA"/>
        </w:rPr>
      </w:pPr>
      <w:bookmarkStart w:id="131" w:name="_Toc22209"/>
      <w:r>
        <w:rPr>
          <w:rFonts w:hint="eastAsia" w:ascii="黑体" w:hAnsi="黑体" w:eastAsia="黑体" w:cs="Times New Roman"/>
          <w:b w:val="0"/>
          <w:bCs w:val="0"/>
          <w:kern w:val="2"/>
          <w:sz w:val="28"/>
          <w:szCs w:val="28"/>
          <w:lang w:val="en-US" w:eastAsia="zh-CN" w:bidi="ar-SA"/>
        </w:rPr>
        <w:t xml:space="preserve">第一节 </w:t>
      </w:r>
      <w:r>
        <w:rPr>
          <w:rFonts w:hint="eastAsia" w:ascii="黑体" w:hAnsi="华文中宋" w:eastAsia="黑体" w:cs="Times New Roman"/>
          <w:b w:val="0"/>
          <w:bCs w:val="0"/>
          <w:kern w:val="2"/>
          <w:sz w:val="28"/>
          <w:szCs w:val="28"/>
          <w:lang w:val="en-US" w:eastAsia="zh-CN" w:bidi="ar-SA"/>
        </w:rPr>
        <w:t>政府采购合同协议书</w:t>
      </w:r>
      <w:bookmarkEnd w:id="131"/>
    </w:p>
    <w:p w14:paraId="65910FF2">
      <w:pPr>
        <w:keepNext/>
        <w:keepLines/>
        <w:widowControl w:val="0"/>
        <w:adjustRightInd w:val="0"/>
        <w:snapToGrid w:val="0"/>
        <w:spacing w:beforeLines="0" w:line="400" w:lineRule="exact"/>
        <w:jc w:val="center"/>
        <w:outlineLvl w:val="9"/>
        <w:rPr>
          <w:rFonts w:hint="eastAsia" w:ascii="黑体" w:hAnsi="华文中宋" w:eastAsia="黑体" w:cs="Times New Roman"/>
          <w:b w:val="0"/>
          <w:bCs w:val="0"/>
          <w:kern w:val="2"/>
          <w:sz w:val="28"/>
          <w:szCs w:val="28"/>
          <w:lang w:val="en-US" w:eastAsia="zh-CN" w:bidi="ar-SA"/>
        </w:rPr>
      </w:pPr>
    </w:p>
    <w:p w14:paraId="52D956BC">
      <w:pPr>
        <w:adjustRightInd w:val="0"/>
        <w:snapToGrid w:val="0"/>
        <w:spacing w:before="0" w:beforeLines="0" w:line="400" w:lineRule="exact"/>
        <w:outlineLvl w:val="9"/>
        <w:rPr>
          <w:rFonts w:ascii="宋体" w:hAnsi="宋体" w:eastAsia="宋体" w:cs="Times New Roman"/>
          <w:szCs w:val="21"/>
        </w:rPr>
      </w:pPr>
      <w:r>
        <w:rPr>
          <w:rFonts w:hint="eastAsia" w:ascii="宋体" w:hAnsi="宋体" w:eastAsia="宋体" w:cs="Times New Roman"/>
          <w:szCs w:val="21"/>
        </w:rPr>
        <w:t>甲方（全称）：</w:t>
      </w:r>
      <w:r>
        <w:rPr>
          <w:rFonts w:hint="eastAsia" w:ascii="宋体" w:hAnsi="宋体" w:eastAsia="宋体" w:cs="Times New Roman"/>
          <w:szCs w:val="21"/>
          <w:u w:val="single"/>
        </w:rPr>
        <w:t xml:space="preserve">                        </w:t>
      </w:r>
      <w:r>
        <w:rPr>
          <w:rFonts w:hint="eastAsia" w:ascii="宋体" w:hAnsi="宋体" w:eastAsia="宋体" w:cs="Times New Roman"/>
          <w:szCs w:val="21"/>
        </w:rPr>
        <w:t>（采购人</w:t>
      </w:r>
      <w:r>
        <w:rPr>
          <w:rFonts w:hint="eastAsia" w:ascii="宋体" w:hAnsi="宋体" w:eastAsia="宋体" w:cs="Times New Roman"/>
          <w:szCs w:val="21"/>
          <w:lang w:eastAsia="zh-CN"/>
        </w:rPr>
        <w:t>、受采购人委托签订合同的单位</w:t>
      </w:r>
      <w:r>
        <w:rPr>
          <w:rFonts w:hint="eastAsia" w:ascii="宋体" w:hAnsi="宋体" w:eastAsia="宋体" w:cs="Times New Roman"/>
          <w:szCs w:val="21"/>
        </w:rPr>
        <w:t>或采购</w:t>
      </w:r>
      <w:r>
        <w:rPr>
          <w:rFonts w:hint="eastAsia" w:ascii="宋体" w:hAnsi="宋体" w:eastAsia="宋体" w:cs="Times New Roman"/>
          <w:szCs w:val="21"/>
          <w:lang w:val="en-US" w:eastAsia="zh-CN"/>
        </w:rPr>
        <w:tab/>
      </w:r>
      <w:r>
        <w:rPr>
          <w:rFonts w:hint="eastAsia" w:ascii="宋体" w:hAnsi="宋体" w:eastAsia="宋体" w:cs="Times New Roman"/>
          <w:szCs w:val="21"/>
          <w:lang w:val="en-US" w:eastAsia="zh-CN"/>
        </w:rPr>
        <w:t xml:space="preserve">                                   </w:t>
      </w:r>
      <w:r>
        <w:rPr>
          <w:rFonts w:hint="eastAsia" w:ascii="宋体" w:hAnsi="宋体" w:eastAsia="宋体" w:cs="Times New Roman"/>
          <w:szCs w:val="21"/>
        </w:rPr>
        <w:t>文件约定的合同甲方）</w:t>
      </w:r>
    </w:p>
    <w:p w14:paraId="2B6B3DF9">
      <w:pPr>
        <w:adjustRightInd w:val="0"/>
        <w:snapToGrid w:val="0"/>
        <w:spacing w:before="0" w:beforeLines="0" w:line="400" w:lineRule="exact"/>
        <w:outlineLvl w:val="9"/>
        <w:rPr>
          <w:rFonts w:ascii="宋体" w:hAnsi="宋体" w:eastAsia="宋体" w:cs="Times New Roman"/>
          <w:szCs w:val="21"/>
        </w:rPr>
      </w:pPr>
      <w:r>
        <w:rPr>
          <w:rFonts w:hint="eastAsia" w:ascii="宋体" w:hAnsi="宋体" w:eastAsia="宋体" w:cs="Times New Roman"/>
          <w:szCs w:val="21"/>
        </w:rPr>
        <w:t>乙方</w:t>
      </w:r>
      <w:r>
        <w:rPr>
          <w:rFonts w:hint="eastAsia" w:ascii="宋体" w:hAnsi="宋体" w:eastAsia="宋体" w:cs="Times New Roman"/>
          <w:szCs w:val="21"/>
          <w:lang w:val="en-US" w:eastAsia="zh-CN"/>
        </w:rPr>
        <w:t>1</w:t>
      </w:r>
      <w:r>
        <w:rPr>
          <w:rFonts w:hint="eastAsia" w:ascii="宋体" w:hAnsi="宋体" w:eastAsia="宋体" w:cs="Times New Roman"/>
          <w:szCs w:val="21"/>
        </w:rPr>
        <w:t>（全称）：</w:t>
      </w:r>
      <w:r>
        <w:rPr>
          <w:rFonts w:hint="eastAsia" w:ascii="宋体" w:hAnsi="宋体" w:eastAsia="宋体" w:cs="Times New Roman"/>
          <w:szCs w:val="21"/>
          <w:u w:val="single"/>
        </w:rPr>
        <w:t xml:space="preserve">                       </w:t>
      </w:r>
      <w:r>
        <w:rPr>
          <w:rFonts w:hint="eastAsia" w:ascii="宋体" w:hAnsi="宋体" w:eastAsia="宋体" w:cs="Times New Roman"/>
          <w:szCs w:val="21"/>
        </w:rPr>
        <w:t>（供应商）</w:t>
      </w:r>
    </w:p>
    <w:p w14:paraId="02CCC02E">
      <w:pPr>
        <w:adjustRightInd w:val="0"/>
        <w:snapToGrid w:val="0"/>
        <w:spacing w:before="0" w:beforeLines="0" w:line="400" w:lineRule="exact"/>
        <w:outlineLvl w:val="9"/>
        <w:rPr>
          <w:rFonts w:hint="eastAsia" w:ascii="宋体" w:hAnsi="宋体" w:eastAsia="宋体" w:cs="Times New Roman"/>
          <w:szCs w:val="21"/>
        </w:rPr>
      </w:pPr>
      <w:r>
        <w:rPr>
          <w:rFonts w:hint="eastAsia" w:ascii="宋体" w:hAnsi="宋体" w:eastAsia="宋体" w:cs="Times New Roman"/>
          <w:szCs w:val="21"/>
        </w:rPr>
        <w:t>乙方2（全称）：</w:t>
      </w:r>
      <w:r>
        <w:rPr>
          <w:rFonts w:hint="eastAsia" w:ascii="宋体" w:hAnsi="宋体" w:eastAsia="宋体" w:cs="Times New Roman"/>
          <w:szCs w:val="21"/>
          <w:u w:val="single"/>
        </w:rPr>
        <w:t xml:space="preserve">                        </w:t>
      </w:r>
      <w:r>
        <w:rPr>
          <w:rFonts w:hint="eastAsia" w:ascii="宋体" w:hAnsi="宋体" w:eastAsia="宋体" w:cs="Times New Roman"/>
          <w:szCs w:val="21"/>
        </w:rPr>
        <w:t>（联合体成员供应商或其他合同主体）（如有）</w:t>
      </w:r>
    </w:p>
    <w:p w14:paraId="62D3457A">
      <w:pPr>
        <w:adjustRightInd w:val="0"/>
        <w:snapToGrid w:val="0"/>
        <w:spacing w:before="0" w:beforeLines="0" w:line="400" w:lineRule="exact"/>
        <w:outlineLvl w:val="9"/>
        <w:rPr>
          <w:rFonts w:hint="eastAsia" w:ascii="宋体" w:hAnsi="宋体" w:eastAsia="宋体" w:cs="Times New Roman"/>
          <w:szCs w:val="21"/>
        </w:rPr>
      </w:pPr>
      <w:r>
        <w:rPr>
          <w:rFonts w:hint="eastAsia" w:ascii="Times New Roman" w:hAnsi="Times New Roman" w:eastAsia="宋体" w:cs="Times New Roman"/>
          <w:szCs w:val="24"/>
          <w:lang w:eastAsia="zh-CN"/>
        </w:rPr>
        <w:t>乙方</w:t>
      </w:r>
      <w:r>
        <w:rPr>
          <w:rFonts w:hint="eastAsia" w:ascii="宋体" w:hAnsi="宋体" w:eastAsia="宋体" w:cs="Times New Roman"/>
          <w:szCs w:val="21"/>
          <w:lang w:val="en-US" w:eastAsia="zh-CN"/>
        </w:rPr>
        <w:t>3</w:t>
      </w:r>
      <w:r>
        <w:rPr>
          <w:rFonts w:hint="eastAsia" w:ascii="Times New Roman" w:hAnsi="Times New Roman" w:eastAsia="宋体" w:cs="Times New Roman"/>
          <w:szCs w:val="24"/>
          <w:lang w:val="en-US" w:eastAsia="zh-CN"/>
        </w:rPr>
        <w:t>（全称）</w:t>
      </w:r>
      <w:r>
        <w:rPr>
          <w:rFonts w:hint="eastAsia" w:ascii="宋体" w:hAnsi="宋体" w:eastAsia="宋体" w:cs="Times New Roman"/>
          <w:szCs w:val="21"/>
          <w:u w:val="single"/>
        </w:rPr>
        <w:t xml:space="preserve">                          </w:t>
      </w:r>
      <w:r>
        <w:rPr>
          <w:rFonts w:hint="eastAsia" w:ascii="宋体" w:hAnsi="宋体" w:eastAsia="宋体" w:cs="Times New Roman"/>
          <w:szCs w:val="21"/>
        </w:rPr>
        <w:t>（联合体成员供应商或其他合同主体）（如有）</w:t>
      </w:r>
    </w:p>
    <w:p w14:paraId="56228967">
      <w:pPr>
        <w:spacing w:beforeLines="0" w:line="400" w:lineRule="exact"/>
        <w:outlineLvl w:val="9"/>
        <w:rPr>
          <w:rFonts w:hint="default" w:ascii="Times New Roman" w:hAnsi="Times New Roman" w:eastAsia="宋体" w:cs="Times New Roman"/>
          <w:szCs w:val="24"/>
          <w:lang w:val="en-US" w:eastAsia="zh-CN"/>
        </w:rPr>
      </w:pPr>
    </w:p>
    <w:p w14:paraId="1398A913">
      <w:pPr>
        <w:widowControl w:val="0"/>
        <w:adjustRightInd w:val="0"/>
        <w:snapToGrid w:val="0"/>
        <w:spacing w:before="0" w:beforeLines="0" w:after="0" w:line="400" w:lineRule="exact"/>
        <w:ind w:left="0" w:leftChars="0" w:firstLine="420" w:firstLineChars="200"/>
        <w:jc w:val="both"/>
        <w:outlineLvl w:val="9"/>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依据《中华人民共和国民法典》、《中华人民共和国政府采购法》等有关的法律法规，以及</w:t>
      </w:r>
      <w:r>
        <w:rPr>
          <w:rFonts w:hint="eastAsia" w:ascii="宋体" w:hAnsi="宋体" w:eastAsia="宋体" w:cs="Times New Roman"/>
          <w:i w:val="0"/>
          <w:iCs w:val="0"/>
          <w:kern w:val="2"/>
          <w:sz w:val="21"/>
          <w:szCs w:val="21"/>
          <w:u w:val="none"/>
          <w:lang w:val="en-US" w:eastAsia="zh-CN" w:bidi="ar-SA"/>
        </w:rPr>
        <w:t>本采购项目</w:t>
      </w:r>
      <w:r>
        <w:rPr>
          <w:rFonts w:hint="eastAsia" w:ascii="宋体" w:hAnsi="宋体" w:eastAsia="宋体" w:cs="Times New Roman"/>
          <w:kern w:val="2"/>
          <w:sz w:val="21"/>
          <w:szCs w:val="21"/>
          <w:lang w:val="en-US" w:eastAsia="zh-CN" w:bidi="ar-SA"/>
        </w:rPr>
        <w:t xml:space="preserve">的招标/谈判文件等采购文件、乙方的《投标（响应）文件》及《中标（成交）通知书》，甲乙双方同意签订本合同。具体情况及要求如下：     </w:t>
      </w:r>
    </w:p>
    <w:p w14:paraId="16C22902">
      <w:pPr>
        <w:numPr>
          <w:ilvl w:val="0"/>
          <w:numId w:val="16"/>
        </w:numPr>
        <w:adjustRightInd w:val="0"/>
        <w:snapToGrid w:val="0"/>
        <w:spacing w:before="0" w:beforeLines="0" w:line="400" w:lineRule="exact"/>
        <w:ind w:firstLine="422" w:firstLineChars="200"/>
        <w:outlineLvl w:val="9"/>
        <w:rPr>
          <w:rFonts w:ascii="宋体" w:hAnsi="宋体" w:eastAsia="宋体" w:cs="Times New Roman"/>
          <w:b/>
          <w:szCs w:val="21"/>
        </w:rPr>
      </w:pPr>
      <w:r>
        <w:rPr>
          <w:rFonts w:hint="eastAsia" w:ascii="宋体" w:hAnsi="宋体" w:eastAsia="宋体" w:cs="Times New Roman"/>
          <w:b/>
          <w:szCs w:val="21"/>
        </w:rPr>
        <w:t>项目信息</w:t>
      </w:r>
    </w:p>
    <w:p w14:paraId="6A56C849">
      <w:pPr>
        <w:widowControl w:val="0"/>
        <w:numPr>
          <w:ilvl w:val="0"/>
          <w:numId w:val="17"/>
        </w:numPr>
        <w:adjustRightInd w:val="0"/>
        <w:snapToGrid w:val="0"/>
        <w:spacing w:before="0" w:beforeLines="0" w:after="0" w:line="400" w:lineRule="exact"/>
        <w:ind w:left="0" w:leftChars="0" w:firstLine="420" w:firstLineChars="200"/>
        <w:jc w:val="both"/>
        <w:outlineLvl w:val="9"/>
        <w:rPr>
          <w:rFonts w:ascii="宋体" w:hAnsi="宋体" w:eastAsia="宋体" w:cs="Times New Roman"/>
          <w:kern w:val="2"/>
          <w:sz w:val="21"/>
          <w:szCs w:val="21"/>
          <w:u w:val="single"/>
          <w:lang w:val="en-US" w:eastAsia="zh-CN" w:bidi="ar-SA"/>
        </w:rPr>
      </w:pPr>
      <w:r>
        <w:rPr>
          <w:rFonts w:hint="eastAsia" w:ascii="宋体" w:hAnsi="宋体" w:eastAsia="宋体" w:cs="Times New Roman"/>
          <w:kern w:val="2"/>
          <w:sz w:val="21"/>
          <w:szCs w:val="21"/>
          <w:lang w:val="en-US" w:eastAsia="zh-CN" w:bidi="ar-SA"/>
        </w:rPr>
        <w:t>采购项目名称：</w:t>
      </w:r>
      <w:r>
        <w:rPr>
          <w:rFonts w:ascii="宋体" w:hAnsi="宋体" w:eastAsia="宋体" w:cs="Times New Roman"/>
          <w:kern w:val="2"/>
          <w:sz w:val="21"/>
          <w:szCs w:val="21"/>
          <w:u w:val="single"/>
          <w:lang w:val="en-US" w:eastAsia="zh-CN" w:bidi="ar-SA"/>
        </w:rPr>
        <w:t xml:space="preserve">                                          </w:t>
      </w:r>
    </w:p>
    <w:p w14:paraId="6D006101">
      <w:pPr>
        <w:widowControl w:val="0"/>
        <w:numPr>
          <w:ilvl w:val="-1"/>
          <w:numId w:val="0"/>
        </w:numPr>
        <w:tabs>
          <w:tab w:val="left" w:pos="999"/>
        </w:tabs>
        <w:adjustRightInd w:val="0"/>
        <w:snapToGrid w:val="0"/>
        <w:spacing w:before="0" w:beforeLines="0" w:after="0" w:line="400" w:lineRule="exact"/>
        <w:ind w:left="0" w:leftChars="0" w:firstLine="0" w:firstLineChars="0"/>
        <w:jc w:val="both"/>
        <w:outlineLvl w:val="9"/>
        <w:rPr>
          <w:rFonts w:hint="default" w:ascii="宋体" w:hAnsi="宋体" w:eastAsia="宋体" w:cs="Times New Roman"/>
          <w:kern w:val="2"/>
          <w:sz w:val="21"/>
          <w:szCs w:val="21"/>
          <w:u w:val="none"/>
          <w:lang w:val="en-US" w:eastAsia="zh-CN" w:bidi="ar-SA"/>
        </w:rPr>
      </w:pPr>
      <w:r>
        <w:rPr>
          <w:rFonts w:hint="eastAsia" w:ascii="宋体" w:hAnsi="宋体" w:eastAsia="宋体" w:cs="Times New Roman"/>
          <w:kern w:val="2"/>
          <w:sz w:val="21"/>
          <w:szCs w:val="21"/>
          <w:u w:val="none"/>
          <w:lang w:val="en-US" w:eastAsia="zh-CN" w:bidi="ar-SA"/>
        </w:rPr>
        <w:t xml:space="preserve">         采购项目编号：</w:t>
      </w:r>
      <w:r>
        <w:rPr>
          <w:rFonts w:ascii="宋体" w:hAnsi="宋体" w:eastAsia="宋体" w:cs="Times New Roman"/>
          <w:kern w:val="2"/>
          <w:sz w:val="21"/>
          <w:szCs w:val="21"/>
          <w:u w:val="single"/>
          <w:lang w:val="en-US" w:eastAsia="zh-CN" w:bidi="ar-SA"/>
        </w:rPr>
        <w:t xml:space="preserve">                                          </w:t>
      </w:r>
    </w:p>
    <w:p w14:paraId="1FF44CB6">
      <w:pPr>
        <w:widowControl w:val="0"/>
        <w:adjustRightInd w:val="0"/>
        <w:snapToGrid w:val="0"/>
        <w:spacing w:before="0" w:beforeLines="0" w:after="0" w:line="400" w:lineRule="exact"/>
        <w:ind w:left="0" w:leftChars="0" w:firstLine="420" w:firstLineChars="200"/>
        <w:jc w:val="both"/>
        <w:outlineLvl w:val="9"/>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（2）采购计划编号：</w:t>
      </w:r>
      <w:r>
        <w:rPr>
          <w:rFonts w:ascii="宋体" w:hAnsi="宋体" w:eastAsia="宋体" w:cs="Times New Roman"/>
          <w:kern w:val="2"/>
          <w:sz w:val="21"/>
          <w:szCs w:val="21"/>
          <w:u w:val="single"/>
          <w:lang w:val="en-US" w:eastAsia="zh-CN" w:bidi="ar-SA"/>
        </w:rPr>
        <w:t xml:space="preserve">                     </w:t>
      </w:r>
      <w:r>
        <w:rPr>
          <w:rFonts w:hint="eastAsia" w:ascii="宋体" w:hAnsi="宋体" w:eastAsia="宋体" w:cs="Times New Roman"/>
          <w:kern w:val="2"/>
          <w:sz w:val="21"/>
          <w:szCs w:val="21"/>
          <w:u w:val="single"/>
          <w:lang w:val="en-US" w:eastAsia="zh-CN" w:bidi="ar-SA"/>
        </w:rPr>
        <w:t xml:space="preserve">                </w:t>
      </w:r>
      <w:r>
        <w:rPr>
          <w:rFonts w:ascii="宋体" w:hAnsi="宋体" w:eastAsia="宋体" w:cs="Times New Roman"/>
          <w:kern w:val="2"/>
          <w:sz w:val="21"/>
          <w:szCs w:val="21"/>
          <w:u w:val="single"/>
          <w:lang w:val="en-US" w:eastAsia="zh-CN" w:bidi="ar-SA"/>
        </w:rPr>
        <w:t xml:space="preserve">     </w:t>
      </w:r>
      <w:r>
        <w:rPr>
          <w:rFonts w:ascii="宋体" w:hAnsi="宋体" w:eastAsia="宋体" w:cs="Times New Roman"/>
          <w:kern w:val="2"/>
          <w:sz w:val="21"/>
          <w:szCs w:val="21"/>
          <w:lang w:val="en-US" w:eastAsia="zh-CN" w:bidi="ar-SA"/>
        </w:rPr>
        <w:t xml:space="preserve"> </w:t>
      </w:r>
    </w:p>
    <w:p w14:paraId="00D929AB">
      <w:pPr>
        <w:adjustRightInd w:val="0"/>
        <w:snapToGrid w:val="0"/>
        <w:spacing w:before="0" w:beforeLines="0" w:line="400" w:lineRule="exact"/>
        <w:ind w:firstLine="420" w:firstLineChars="200"/>
        <w:outlineLvl w:val="9"/>
        <w:rPr>
          <w:rFonts w:hint="eastAsia" w:ascii="宋体" w:hAnsi="宋体" w:eastAsia="宋体" w:cs="Times New Roman"/>
          <w:szCs w:val="21"/>
        </w:rPr>
      </w:pPr>
      <w:r>
        <w:rPr>
          <w:rFonts w:hint="eastAsia" w:ascii="宋体" w:hAnsi="宋体" w:eastAsia="宋体" w:cs="Times New Roman"/>
          <w:szCs w:val="21"/>
        </w:rPr>
        <w:t>（3）项目内容：</w:t>
      </w:r>
    </w:p>
    <w:p w14:paraId="50CB30D7">
      <w:pPr>
        <w:adjustRightInd w:val="0"/>
        <w:snapToGrid w:val="0"/>
        <w:spacing w:before="0" w:beforeLines="0" w:line="400" w:lineRule="exact"/>
        <w:ind w:firstLine="420" w:firstLineChars="200"/>
        <w:outlineLvl w:val="9"/>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 xml:space="preserve">     </w:t>
      </w:r>
      <w:r>
        <w:rPr>
          <w:rFonts w:hint="eastAsia" w:ascii="宋体" w:hAnsi="宋体" w:eastAsia="宋体" w:cs="Times New Roman"/>
          <w:szCs w:val="21"/>
          <w:lang w:eastAsia="zh-CN"/>
        </w:rPr>
        <w:t>采购标的及数量</w:t>
      </w:r>
      <w:r>
        <w:rPr>
          <w:rFonts w:hint="eastAsia" w:ascii="宋体" w:hAnsi="宋体" w:eastAsia="宋体" w:cs="Times New Roman"/>
          <w:szCs w:val="21"/>
          <w:lang w:val="en-US" w:eastAsia="zh-CN"/>
        </w:rPr>
        <w:t>（台/套</w:t>
      </w:r>
      <w:r>
        <w:rPr>
          <w:rFonts w:hint="default" w:ascii="宋体" w:hAnsi="宋体" w:eastAsia="宋体" w:cs="Times New Roman"/>
          <w:szCs w:val="21"/>
          <w:lang w:val="en" w:eastAsia="zh-CN"/>
        </w:rPr>
        <w:t>/</w:t>
      </w:r>
      <w:r>
        <w:rPr>
          <w:rFonts w:hint="eastAsia" w:ascii="宋体" w:hAnsi="宋体" w:eastAsia="宋体" w:cs="Times New Roman"/>
          <w:szCs w:val="21"/>
          <w:lang w:val="en" w:eastAsia="zh-CN"/>
        </w:rPr>
        <w:t>个</w:t>
      </w:r>
      <w:r>
        <w:rPr>
          <w:rFonts w:hint="default" w:ascii="宋体" w:hAnsi="宋体" w:eastAsia="宋体" w:cs="Times New Roman"/>
          <w:szCs w:val="21"/>
          <w:lang w:val="en" w:eastAsia="zh-CN"/>
        </w:rPr>
        <w:t>/</w:t>
      </w:r>
      <w:r>
        <w:rPr>
          <w:rFonts w:hint="eastAsia" w:ascii="宋体" w:hAnsi="宋体" w:eastAsia="宋体" w:cs="Times New Roman"/>
          <w:szCs w:val="21"/>
          <w:lang w:val="en" w:eastAsia="zh-CN"/>
        </w:rPr>
        <w:t>架</w:t>
      </w:r>
      <w:r>
        <w:rPr>
          <w:rFonts w:hint="default" w:ascii="宋体" w:hAnsi="宋体" w:eastAsia="宋体" w:cs="Times New Roman"/>
          <w:szCs w:val="21"/>
          <w:lang w:val="en" w:eastAsia="zh-CN"/>
        </w:rPr>
        <w:t>/</w:t>
      </w:r>
      <w:r>
        <w:rPr>
          <w:rFonts w:hint="eastAsia" w:ascii="宋体" w:hAnsi="宋体" w:eastAsia="宋体" w:cs="Times New Roman"/>
          <w:szCs w:val="21"/>
          <w:lang w:val="en" w:eastAsia="zh-CN"/>
        </w:rPr>
        <w:t>组等</w:t>
      </w:r>
      <w:r>
        <w:rPr>
          <w:rFonts w:hint="eastAsia" w:ascii="宋体" w:hAnsi="宋体" w:eastAsia="宋体" w:cs="Times New Roman"/>
          <w:szCs w:val="21"/>
          <w:lang w:val="en-US" w:eastAsia="zh-CN"/>
        </w:rPr>
        <w:t>）</w:t>
      </w:r>
      <w:r>
        <w:rPr>
          <w:rFonts w:hint="eastAsia" w:ascii="宋体" w:hAnsi="宋体" w:eastAsia="宋体" w:cs="Times New Roman"/>
          <w:szCs w:val="21"/>
          <w:lang w:eastAsia="zh-CN"/>
        </w:rPr>
        <w:t>：</w:t>
      </w:r>
      <w:r>
        <w:rPr>
          <w:rFonts w:hint="eastAsia" w:ascii="宋体" w:hAnsi="宋体" w:eastAsia="宋体" w:cs="Times New Roman"/>
          <w:szCs w:val="21"/>
          <w:u w:val="single"/>
          <w:lang w:val="en-US" w:eastAsia="zh-CN"/>
        </w:rPr>
        <w:t xml:space="preserve">                       </w:t>
      </w:r>
      <w:r>
        <w:rPr>
          <w:rFonts w:hint="eastAsia" w:ascii="宋体" w:hAnsi="宋体" w:eastAsia="宋体" w:cs="Times New Roman"/>
          <w:szCs w:val="21"/>
          <w:u w:val="none"/>
          <w:lang w:val="en-US" w:eastAsia="zh-CN"/>
        </w:rPr>
        <w:t xml:space="preserve">            </w:t>
      </w:r>
      <w:r>
        <w:rPr>
          <w:rFonts w:hint="eastAsia" w:ascii="宋体" w:hAnsi="宋体" w:eastAsia="宋体" w:cs="Times New Roman"/>
          <w:szCs w:val="21"/>
          <w:u w:val="single"/>
          <w:lang w:val="en-US" w:eastAsia="zh-CN"/>
        </w:rPr>
        <w:t xml:space="preserve">                  </w:t>
      </w:r>
      <w:r>
        <w:rPr>
          <w:rFonts w:hint="eastAsia" w:ascii="宋体" w:hAnsi="宋体" w:eastAsia="宋体" w:cs="Times New Roman"/>
          <w:szCs w:val="21"/>
          <w:lang w:val="en-US" w:eastAsia="zh-CN"/>
        </w:rPr>
        <w:t xml:space="preserve"> </w:t>
      </w:r>
    </w:p>
    <w:p w14:paraId="726A479A">
      <w:pPr>
        <w:numPr>
          <w:ilvl w:val="-1"/>
          <w:numId w:val="0"/>
        </w:numPr>
        <w:adjustRightInd w:val="0"/>
        <w:snapToGrid w:val="0"/>
        <w:spacing w:before="0" w:beforeLines="0" w:line="400" w:lineRule="exact"/>
        <w:ind w:firstLine="420" w:firstLineChars="200"/>
        <w:outlineLvl w:val="9"/>
        <w:rPr>
          <w:rFonts w:hint="default" w:ascii="宋体" w:hAnsi="宋体" w:eastAsia="宋体" w:cs="宋体"/>
          <w:szCs w:val="21"/>
          <w:lang w:val="en" w:eastAsia="zh-CN"/>
        </w:rPr>
      </w:pPr>
      <w:r>
        <w:rPr>
          <w:rFonts w:hint="eastAsia" w:ascii="宋体" w:hAnsi="宋体" w:eastAsia="宋体" w:cs="Times New Roman"/>
          <w:szCs w:val="21"/>
          <w:highlight w:val="none"/>
          <w:u w:val="none"/>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default" w:ascii="宋体" w:hAnsi="宋体" w:eastAsia="宋体" w:cs="宋体"/>
          <w:szCs w:val="21"/>
          <w:u w:val="single"/>
          <w:lang w:val="en" w:eastAsia="zh-CN"/>
        </w:rPr>
        <w:t xml:space="preserve">   </w:t>
      </w:r>
      <w:r>
        <w:rPr>
          <w:rFonts w:hint="eastAsia" w:ascii="宋体" w:hAnsi="宋体" w:eastAsia="宋体" w:cs="宋体"/>
          <w:szCs w:val="21"/>
          <w:u w:val="single"/>
          <w:lang w:val="en-US" w:eastAsia="zh-CN"/>
        </w:rPr>
        <w:t xml:space="preserve">    </w:t>
      </w:r>
      <w:r>
        <w:rPr>
          <w:rFonts w:hint="default" w:ascii="宋体" w:hAnsi="宋体" w:eastAsia="宋体" w:cs="宋体"/>
          <w:szCs w:val="21"/>
          <w:u w:val="single"/>
          <w:lang w:val="en" w:eastAsia="zh-CN"/>
        </w:rPr>
        <w:t xml:space="preserve"> </w:t>
      </w:r>
      <w:r>
        <w:rPr>
          <w:rFonts w:hint="eastAsia" w:ascii="宋体" w:hAnsi="宋体" w:eastAsia="宋体" w:cs="宋体"/>
          <w:szCs w:val="21"/>
          <w:u w:val="single"/>
          <w:lang w:val="en-US" w:eastAsia="zh-CN"/>
        </w:rPr>
        <w:t xml:space="preserve"> </w:t>
      </w:r>
      <w:r>
        <w:rPr>
          <w:rFonts w:hint="default" w:ascii="宋体" w:hAnsi="宋体" w:eastAsia="宋体" w:cs="宋体"/>
          <w:szCs w:val="21"/>
          <w:u w:val="none"/>
          <w:lang w:val="en" w:eastAsia="zh-CN"/>
        </w:rPr>
        <w:t xml:space="preserve">     </w:t>
      </w:r>
      <w:r>
        <w:rPr>
          <w:rFonts w:hint="eastAsia" w:ascii="宋体" w:hAnsi="宋体" w:eastAsia="宋体" w:cs="宋体"/>
          <w:szCs w:val="21"/>
          <w:lang w:val="en-US" w:eastAsia="zh-CN"/>
        </w:rPr>
        <w:t>规格型号：</w:t>
      </w:r>
      <w:r>
        <w:rPr>
          <w:rFonts w:hint="eastAsia" w:ascii="宋体" w:hAnsi="宋体" w:eastAsia="宋体" w:cs="宋体"/>
          <w:szCs w:val="21"/>
          <w:u w:val="single"/>
          <w:lang w:val="en-US" w:eastAsia="zh-CN"/>
        </w:rPr>
        <w:t xml:space="preserve">   </w:t>
      </w:r>
      <w:r>
        <w:rPr>
          <w:rFonts w:hint="default" w:ascii="宋体" w:hAnsi="宋体" w:eastAsia="宋体" w:cs="宋体"/>
          <w:szCs w:val="21"/>
          <w:u w:val="single"/>
          <w:lang w:val="en" w:eastAsia="zh-CN"/>
        </w:rPr>
        <w:t xml:space="preserve">  </w:t>
      </w:r>
      <w:r>
        <w:rPr>
          <w:rFonts w:hint="eastAsia" w:ascii="宋体" w:hAnsi="宋体" w:eastAsia="宋体" w:cs="宋体"/>
          <w:szCs w:val="21"/>
          <w:u w:val="single"/>
          <w:lang w:val="en-US" w:eastAsia="zh-CN"/>
        </w:rPr>
        <w:t xml:space="preserve">       </w:t>
      </w:r>
      <w:r>
        <w:rPr>
          <w:rFonts w:hint="default" w:ascii="宋体" w:hAnsi="宋体" w:eastAsia="宋体" w:cs="宋体"/>
          <w:szCs w:val="21"/>
          <w:u w:val="single"/>
          <w:lang w:val="en" w:eastAsia="zh-CN"/>
        </w:rPr>
        <w:t xml:space="preserve">   </w:t>
      </w:r>
    </w:p>
    <w:p w14:paraId="10763D73">
      <w:pPr>
        <w:adjustRightInd w:val="0"/>
        <w:snapToGrid w:val="0"/>
        <w:spacing w:before="0" w:beforeLines="0" w:line="400" w:lineRule="exact"/>
        <w:ind w:firstLine="945" w:firstLineChars="450"/>
        <w:outlineLvl w:val="9"/>
        <w:rPr>
          <w:rFonts w:ascii="宋体" w:hAnsi="宋体" w:eastAsia="宋体" w:cs="Times New Roman"/>
          <w:szCs w:val="21"/>
          <w:highlight w:val="none"/>
          <w:u w:val="single"/>
        </w:rPr>
      </w:pPr>
      <w:r>
        <w:rPr>
          <w:rFonts w:hint="eastAsia" w:ascii="宋体" w:hAnsi="宋体" w:eastAsia="宋体" w:cs="Times New Roman"/>
          <w:szCs w:val="21"/>
          <w:highlight w:val="none"/>
          <w:u w:val="none"/>
          <w:lang w:val="en-US" w:eastAsia="zh-CN"/>
        </w:rPr>
        <w:t>采购标的的技术要求、商务要求具体见附件。</w:t>
      </w:r>
    </w:p>
    <w:p w14:paraId="0AAB10CB">
      <w:pPr>
        <w:numPr>
          <w:ilvl w:val="-1"/>
          <w:numId w:val="0"/>
        </w:numPr>
        <w:adjustRightInd w:val="0"/>
        <w:snapToGrid w:val="0"/>
        <w:spacing w:before="0" w:beforeLines="0" w:line="400" w:lineRule="exact"/>
        <w:ind w:firstLine="945" w:firstLineChars="450"/>
        <w:outlineLvl w:val="9"/>
        <w:rPr>
          <w:rFonts w:hint="eastAsia" w:ascii="宋体" w:hAnsi="宋体" w:eastAsia="宋体" w:cs="宋体"/>
          <w:szCs w:val="21"/>
          <w:lang w:val="en-US" w:eastAsia="zh-CN"/>
        </w:rPr>
      </w:pPr>
      <w:r>
        <w:rPr>
          <w:rFonts w:hint="eastAsia" w:ascii="汉仪书宋二S" w:hAnsi="汉仪书宋二S" w:eastAsia="汉仪书宋二S" w:cs="汉仪书宋二S"/>
          <w:szCs w:val="21"/>
          <w:lang w:val="en-US" w:eastAsia="zh-CN"/>
        </w:rPr>
        <w:t>①</w:t>
      </w:r>
      <w:r>
        <w:rPr>
          <w:rFonts w:hint="eastAsia" w:ascii="宋体" w:hAnsi="宋体" w:eastAsia="宋体" w:cs="宋体"/>
          <w:szCs w:val="21"/>
          <w:lang w:val="en-US" w:eastAsia="zh-CN"/>
        </w:rPr>
        <w:t>涉及信息类产品，请填写该产品关键部件的品牌、型号：</w:t>
      </w:r>
    </w:p>
    <w:p w14:paraId="76478BC4">
      <w:pPr>
        <w:numPr>
          <w:ilvl w:val="-1"/>
          <w:numId w:val="0"/>
        </w:numPr>
        <w:adjustRightInd w:val="0"/>
        <w:snapToGrid w:val="0"/>
        <w:spacing w:before="0" w:beforeLines="0" w:line="400" w:lineRule="exact"/>
        <w:ind w:firstLine="420" w:firstLineChars="200"/>
        <w:outlineLvl w:val="9"/>
        <w:rPr>
          <w:rFonts w:hint="eastAsia" w:ascii="宋体" w:hAnsi="宋体" w:eastAsia="宋体" w:cs="宋体"/>
          <w:kern w:val="0"/>
          <w:szCs w:val="21"/>
          <w:u w:val="single"/>
          <w:lang w:val="en-US" w:eastAsia="zh-CN"/>
        </w:rPr>
      </w:pPr>
      <w:r>
        <w:rPr>
          <w:rFonts w:hint="eastAsia" w:ascii="宋体" w:hAnsi="宋体" w:eastAsia="宋体" w:cs="宋体"/>
          <w:szCs w:val="21"/>
          <w:lang w:val="en-US" w:eastAsia="zh-CN"/>
        </w:rPr>
        <w:t xml:space="preserve">     标的名称：</w:t>
      </w:r>
      <w:r>
        <w:rPr>
          <w:rFonts w:hint="eastAsia" w:ascii="宋体" w:hAnsi="宋体" w:eastAsia="宋体" w:cs="宋体"/>
          <w:kern w:val="0"/>
          <w:szCs w:val="21"/>
          <w:u w:val="single"/>
          <w:lang w:val="en-US" w:eastAsia="zh-CN"/>
        </w:rPr>
        <w:t xml:space="preserve">      </w:t>
      </w:r>
      <w:r>
        <w:rPr>
          <w:rFonts w:hint="default" w:ascii="宋体" w:hAnsi="宋体" w:eastAsia="宋体" w:cs="宋体"/>
          <w:kern w:val="0"/>
          <w:szCs w:val="21"/>
          <w:u w:val="single"/>
          <w:lang w:val="en" w:eastAsia="zh-CN"/>
        </w:rPr>
        <w:t xml:space="preserve">               </w:t>
      </w:r>
      <w:r>
        <w:rPr>
          <w:rFonts w:hint="eastAsia" w:ascii="宋体" w:hAnsi="宋体" w:eastAsia="宋体" w:cs="宋体"/>
          <w:kern w:val="0"/>
          <w:szCs w:val="21"/>
          <w:u w:val="single"/>
          <w:lang w:val="en-US" w:eastAsia="zh-CN"/>
        </w:rPr>
        <w:t xml:space="preserve">    </w:t>
      </w:r>
    </w:p>
    <w:p w14:paraId="4C09ACD6">
      <w:pPr>
        <w:numPr>
          <w:ilvl w:val="-1"/>
          <w:numId w:val="0"/>
        </w:numPr>
        <w:adjustRightInd w:val="0"/>
        <w:snapToGrid w:val="0"/>
        <w:spacing w:before="0" w:beforeLines="0" w:line="400" w:lineRule="exact"/>
        <w:ind w:firstLine="420" w:firstLineChars="200"/>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     关键部件：</w:t>
      </w:r>
      <w:r>
        <w:rPr>
          <w:rFonts w:hint="eastAsia" w:ascii="宋体" w:hAnsi="宋体" w:eastAsia="宋体" w:cs="宋体"/>
          <w:kern w:val="0"/>
          <w:szCs w:val="21"/>
          <w:u w:val="single"/>
          <w:lang w:val="en-US" w:eastAsia="zh-CN"/>
        </w:rPr>
        <w:t xml:space="preserve">          </w:t>
      </w:r>
      <w:r>
        <w:rPr>
          <w:rFonts w:hint="eastAsia" w:ascii="宋体" w:hAnsi="宋体" w:eastAsia="宋体" w:cs="宋体"/>
          <w:kern w:val="0"/>
          <w:szCs w:val="21"/>
          <w:u w:val="none"/>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w:t>
      </w:r>
      <w:r>
        <w:rPr>
          <w:rFonts w:hint="eastAsia" w:ascii="宋体" w:hAnsi="宋体" w:eastAsia="宋体" w:cs="宋体"/>
          <w:szCs w:val="21"/>
          <w:lang w:val="en-US" w:eastAsia="zh-CN"/>
        </w:rPr>
        <w:t>型号：</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p>
    <w:p w14:paraId="5BEEC802">
      <w:pPr>
        <w:autoSpaceDE w:val="0"/>
        <w:autoSpaceDN w:val="0"/>
        <w:adjustRightInd w:val="0"/>
        <w:spacing w:beforeLines="0" w:line="400" w:lineRule="exact"/>
        <w:ind w:firstLine="420" w:firstLineChars="200"/>
        <w:outlineLvl w:val="9"/>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 xml:space="preserve">     </w:t>
      </w:r>
      <w:r>
        <w:rPr>
          <w:rFonts w:hint="eastAsia" w:ascii="宋体" w:hAnsi="宋体" w:eastAsia="宋体" w:cs="宋体"/>
          <w:kern w:val="2"/>
          <w:sz w:val="21"/>
          <w:szCs w:val="21"/>
          <w:lang w:val="en-US" w:eastAsia="zh-CN" w:bidi="ar-SA"/>
        </w:rPr>
        <w:t>关键部件</w:t>
      </w:r>
      <w:r>
        <w:rPr>
          <w:rFonts w:hint="eastAsia" w:ascii="宋体" w:hAnsi="宋体" w:eastAsia="宋体" w:cs="宋体"/>
          <w:sz w:val="21"/>
          <w:szCs w:val="21"/>
          <w:lang w:val="en-US" w:eastAsia="zh-CN" w:bidi="ar-SA"/>
        </w:rPr>
        <w:t>：</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u w:val="none"/>
          <w:lang w:val="en-US" w:eastAsia="zh-CN" w:bidi="ar-SA"/>
        </w:rPr>
        <w:t xml:space="preserve"> </w:t>
      </w:r>
      <w:r>
        <w:rPr>
          <w:rFonts w:hint="eastAsia" w:ascii="宋体" w:hAnsi="宋体" w:eastAsia="宋体" w:cs="宋体"/>
          <w:sz w:val="21"/>
          <w:szCs w:val="21"/>
          <w:lang w:val="en-US" w:eastAsia="zh-CN" w:bidi="ar-SA"/>
        </w:rPr>
        <w:t>品牌：</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u w:val="none"/>
          <w:lang w:val="en-US" w:eastAsia="zh-CN" w:bidi="ar-SA"/>
        </w:rPr>
        <w:t xml:space="preserve"> </w:t>
      </w:r>
      <w:r>
        <w:rPr>
          <w:rFonts w:hint="eastAsia" w:ascii="宋体" w:hAnsi="宋体" w:eastAsia="宋体" w:cs="宋体"/>
          <w:sz w:val="21"/>
          <w:szCs w:val="21"/>
          <w:lang w:val="en-US" w:eastAsia="zh-CN" w:bidi="ar-SA"/>
        </w:rPr>
        <w:t>型号：</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lang w:val="en-US" w:eastAsia="zh-CN" w:bidi="ar-SA"/>
        </w:rPr>
        <w:t xml:space="preserve"> </w:t>
      </w:r>
    </w:p>
    <w:p w14:paraId="05213CCA">
      <w:pPr>
        <w:autoSpaceDE w:val="0"/>
        <w:autoSpaceDN w:val="0"/>
        <w:adjustRightInd w:val="0"/>
        <w:spacing w:beforeLines="0" w:line="400" w:lineRule="exact"/>
        <w:ind w:firstLine="420" w:firstLineChars="200"/>
        <w:outlineLvl w:val="9"/>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 xml:space="preserve">     关键部件：</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u w:val="none"/>
          <w:lang w:val="en-US" w:eastAsia="zh-CN" w:bidi="ar-SA"/>
        </w:rPr>
        <w:t xml:space="preserve"> </w:t>
      </w:r>
      <w:r>
        <w:rPr>
          <w:rFonts w:hint="eastAsia" w:ascii="宋体" w:hAnsi="宋体" w:eastAsia="宋体" w:cs="宋体"/>
          <w:sz w:val="21"/>
          <w:szCs w:val="21"/>
          <w:lang w:val="en-US" w:eastAsia="zh-CN" w:bidi="ar-SA"/>
        </w:rPr>
        <w:t>品牌：</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u w:val="none"/>
          <w:lang w:val="en-US" w:eastAsia="zh-CN" w:bidi="ar-SA"/>
        </w:rPr>
        <w:t xml:space="preserve"> </w:t>
      </w:r>
      <w:r>
        <w:rPr>
          <w:rFonts w:hint="eastAsia" w:ascii="宋体" w:hAnsi="宋体" w:eastAsia="宋体" w:cs="宋体"/>
          <w:sz w:val="21"/>
          <w:szCs w:val="21"/>
          <w:lang w:val="en-US" w:eastAsia="zh-CN" w:bidi="ar-SA"/>
        </w:rPr>
        <w:t>型号：</w:t>
      </w:r>
      <w:r>
        <w:rPr>
          <w:rFonts w:hint="eastAsia" w:ascii="宋体" w:hAnsi="宋体" w:eastAsia="宋体" w:cs="宋体"/>
          <w:sz w:val="21"/>
          <w:szCs w:val="21"/>
          <w:u w:val="single"/>
          <w:lang w:val="en-US" w:eastAsia="zh-CN" w:bidi="ar-SA"/>
        </w:rPr>
        <w:t xml:space="preserve">       </w:t>
      </w:r>
    </w:p>
    <w:p w14:paraId="22F74903">
      <w:pPr>
        <w:numPr>
          <w:ilvl w:val="-1"/>
          <w:numId w:val="0"/>
        </w:numPr>
        <w:autoSpaceDE w:val="0"/>
        <w:autoSpaceDN w:val="0"/>
        <w:adjustRightInd w:val="0"/>
        <w:snapToGrid w:val="0"/>
        <w:spacing w:before="0" w:beforeLines="0" w:line="400" w:lineRule="exact"/>
        <w:ind w:firstLine="0" w:firstLineChars="0"/>
        <w:outlineLvl w:val="9"/>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 xml:space="preserve">   （注：关键部件是指财政部会同有关部门发布的政府采购需求标准规定的需要通过国家有关部门指定的测评机构开展的安全可靠测评的软硬件，如CPU芯片、操作系统、数据库等。）</w:t>
      </w:r>
    </w:p>
    <w:p w14:paraId="29746F15">
      <w:pPr>
        <w:numPr>
          <w:ilvl w:val="-1"/>
          <w:numId w:val="0"/>
        </w:numPr>
        <w:autoSpaceDE w:val="0"/>
        <w:autoSpaceDN w:val="0"/>
        <w:adjustRightInd w:val="0"/>
        <w:snapToGrid w:val="0"/>
        <w:spacing w:before="0" w:beforeLines="0" w:line="400" w:lineRule="exact"/>
        <w:ind w:firstLine="0" w:firstLineChars="0"/>
        <w:outlineLvl w:val="9"/>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 xml:space="preserve">         </w:t>
      </w:r>
      <w:r>
        <w:rPr>
          <w:rFonts w:hint="eastAsia" w:ascii="汉仪书宋二S" w:hAnsi="汉仪书宋二S" w:eastAsia="汉仪书宋二S" w:cs="汉仪书宋二S"/>
          <w:sz w:val="21"/>
          <w:szCs w:val="21"/>
          <w:lang w:val="en-US" w:eastAsia="zh-CN" w:bidi="ar-SA"/>
        </w:rPr>
        <w:t>②</w:t>
      </w:r>
      <w:r>
        <w:rPr>
          <w:rFonts w:hint="eastAsia" w:ascii="宋体" w:hAnsi="宋体" w:eastAsia="宋体" w:cs="宋体"/>
          <w:sz w:val="21"/>
          <w:szCs w:val="21"/>
          <w:lang w:val="en-US" w:eastAsia="zh-CN" w:bidi="ar-SA"/>
        </w:rPr>
        <w:t>涉及车辆采购，请填写是否属于新能源汽车：</w:t>
      </w:r>
    </w:p>
    <w:p w14:paraId="0475BB32">
      <w:pPr>
        <w:numPr>
          <w:ilvl w:val="-1"/>
          <w:numId w:val="0"/>
        </w:numPr>
        <w:autoSpaceDE w:val="0"/>
        <w:autoSpaceDN w:val="0"/>
        <w:adjustRightInd w:val="0"/>
        <w:snapToGrid w:val="0"/>
        <w:spacing w:before="0" w:beforeLines="0" w:line="400" w:lineRule="exact"/>
        <w:ind w:firstLine="0" w:firstLineChars="0"/>
        <w:outlineLvl w:val="9"/>
        <w:rPr>
          <w:rFonts w:hint="eastAsia" w:ascii="宋体" w:hAnsi="宋体" w:eastAsia="宋体" w:cs="宋体"/>
          <w:iCs w:val="0"/>
          <w:sz w:val="21"/>
          <w:szCs w:val="21"/>
          <w:lang w:val="en-US" w:eastAsia="zh-CN" w:bidi="ar-SA"/>
        </w:rPr>
      </w:pPr>
      <w:r>
        <w:rPr>
          <w:rFonts w:hint="eastAsia" w:ascii="宋体" w:hAnsi="宋体" w:eastAsia="宋体" w:cs="宋体"/>
          <w:sz w:val="21"/>
          <w:szCs w:val="21"/>
          <w:lang w:val="en-US" w:eastAsia="zh-CN" w:bidi="ar-SA"/>
        </w:rPr>
        <w:t xml:space="preserve">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是，《政府采购品目分类目录》底级品目名称</w:t>
      </w:r>
      <w:r>
        <w:rPr>
          <w:rFonts w:hint="eastAsia" w:ascii="宋体" w:hAnsi="宋体" w:eastAsia="宋体" w:cs="宋体"/>
          <w:sz w:val="21"/>
          <w:szCs w:val="21"/>
          <w:lang w:val="en-US" w:eastAsia="zh-CN" w:bidi="ar-SA"/>
        </w:rPr>
        <w:t>：</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lang w:val="en-US" w:eastAsia="zh-CN" w:bidi="ar-SA"/>
        </w:rPr>
        <w:t xml:space="preserve"> 数量：</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lang w:val="en-US" w:eastAsia="zh-CN" w:bidi="ar-SA"/>
        </w:rPr>
        <w:t xml:space="preserve"> 金额：</w:t>
      </w:r>
      <w:r>
        <w:rPr>
          <w:rFonts w:hint="eastAsia" w:ascii="宋体" w:hAnsi="宋体" w:eastAsia="宋体" w:cs="宋体"/>
          <w:sz w:val="21"/>
          <w:szCs w:val="21"/>
          <w:u w:val="single"/>
          <w:lang w:val="en-US" w:eastAsia="zh-CN" w:bidi="ar-SA"/>
        </w:rPr>
        <w:t xml:space="preserve">     </w:t>
      </w:r>
      <w:r>
        <w:rPr>
          <w:rFonts w:hint="eastAsia" w:ascii="宋体" w:hAnsi="宋体" w:eastAsia="宋体" w:cs="宋体"/>
          <w:iCs w:val="0"/>
          <w:sz w:val="21"/>
          <w:szCs w:val="21"/>
          <w:lang w:val="en-US" w:eastAsia="zh-CN" w:bidi="ar-SA"/>
        </w:rPr>
        <w:t xml:space="preserve"> </w:t>
      </w:r>
    </w:p>
    <w:p w14:paraId="0903C13D">
      <w:pPr>
        <w:numPr>
          <w:ilvl w:val="-1"/>
          <w:numId w:val="0"/>
        </w:numPr>
        <w:autoSpaceDE w:val="0"/>
        <w:autoSpaceDN w:val="0"/>
        <w:adjustRightInd w:val="0"/>
        <w:snapToGrid w:val="0"/>
        <w:spacing w:before="0" w:beforeLines="0" w:line="400" w:lineRule="exact"/>
        <w:ind w:firstLine="0" w:firstLineChars="0"/>
        <w:outlineLvl w:val="9"/>
        <w:rPr>
          <w:rFonts w:hint="eastAsia" w:ascii="宋体" w:hAnsi="宋体" w:eastAsia="宋体" w:cs="宋体"/>
          <w:iCs w:val="0"/>
          <w:sz w:val="21"/>
          <w:szCs w:val="21"/>
          <w:lang w:val="en-US" w:eastAsia="zh-CN" w:bidi="ar-SA"/>
        </w:rPr>
      </w:pPr>
      <w:r>
        <w:rPr>
          <w:rFonts w:hint="eastAsia" w:ascii="宋体" w:hAnsi="宋体" w:eastAsia="宋体" w:cs="宋体"/>
          <w:iCs w:val="0"/>
          <w:sz w:val="21"/>
          <w:szCs w:val="21"/>
          <w:lang w:val="en-US" w:eastAsia="zh-CN" w:bidi="ar-SA"/>
        </w:rPr>
        <w:t xml:space="preserve">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否</w:t>
      </w:r>
    </w:p>
    <w:p w14:paraId="65D2F771">
      <w:pPr>
        <w:numPr>
          <w:ilvl w:val="-1"/>
          <w:numId w:val="0"/>
        </w:numPr>
        <w:autoSpaceDE w:val="0"/>
        <w:autoSpaceDN w:val="0"/>
        <w:adjustRightInd w:val="0"/>
        <w:snapToGrid w:val="0"/>
        <w:spacing w:before="0" w:beforeLines="0" w:line="400" w:lineRule="exact"/>
        <w:ind w:left="0" w:firstLine="0" w:firstLineChars="0"/>
        <w:outlineLvl w:val="9"/>
        <w:rPr>
          <w:rFonts w:hint="eastAsia" w:ascii="宋体" w:hAnsi="宋体" w:eastAsia="宋体" w:cs="宋体"/>
          <w:iCs w:val="0"/>
          <w:sz w:val="21"/>
          <w:szCs w:val="21"/>
          <w:lang w:val="en-US" w:eastAsia="zh-CN" w:bidi="ar-SA"/>
        </w:rPr>
      </w:pPr>
      <w:r>
        <w:rPr>
          <w:rFonts w:hint="eastAsia" w:ascii="宋体" w:hAnsi="宋体" w:eastAsia="宋体" w:cs="宋体"/>
          <w:iCs w:val="0"/>
          <w:sz w:val="21"/>
          <w:szCs w:val="21"/>
          <w:lang w:val="en-US" w:eastAsia="zh-CN" w:bidi="ar-SA"/>
        </w:rPr>
        <w:t xml:space="preserve">    （</w:t>
      </w:r>
      <w:r>
        <w:rPr>
          <w:rFonts w:hint="default" w:ascii="宋体" w:hAnsi="宋体" w:eastAsia="宋体" w:cs="宋体"/>
          <w:iCs w:val="0"/>
          <w:sz w:val="21"/>
          <w:szCs w:val="21"/>
          <w:lang w:val="en" w:eastAsia="zh-CN" w:bidi="ar-SA"/>
        </w:rPr>
        <w:t>4</w:t>
      </w:r>
      <w:r>
        <w:rPr>
          <w:rFonts w:hint="eastAsia" w:ascii="宋体" w:hAnsi="宋体" w:eastAsia="宋体" w:cs="宋体"/>
          <w:iCs w:val="0"/>
          <w:sz w:val="21"/>
          <w:szCs w:val="21"/>
          <w:lang w:val="en-US" w:eastAsia="zh-CN" w:bidi="ar-SA"/>
        </w:rPr>
        <w:t>）政府采购组织形式：</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 xml:space="preserve">政府集中采购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 xml:space="preserve">部门集中采购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分散采购</w:t>
      </w:r>
    </w:p>
    <w:p w14:paraId="714CE324">
      <w:pPr>
        <w:numPr>
          <w:ilvl w:val="-1"/>
          <w:numId w:val="0"/>
        </w:numPr>
        <w:autoSpaceDE w:val="0"/>
        <w:autoSpaceDN w:val="0"/>
        <w:adjustRightInd w:val="0"/>
        <w:snapToGrid w:val="0"/>
        <w:spacing w:before="0" w:beforeLines="0" w:line="400" w:lineRule="exact"/>
        <w:ind w:left="0" w:firstLine="420" w:firstLineChars="0"/>
        <w:outlineLvl w:val="9"/>
        <w:rPr>
          <w:rFonts w:hint="eastAsia" w:ascii="宋体" w:hAnsi="宋体" w:eastAsia="宋体" w:cs="宋体"/>
          <w:iCs w:val="0"/>
          <w:sz w:val="21"/>
          <w:szCs w:val="21"/>
          <w:lang w:val="en-US" w:eastAsia="zh-CN" w:bidi="ar-SA"/>
        </w:rPr>
      </w:pPr>
      <w:r>
        <w:rPr>
          <w:rFonts w:hint="eastAsia" w:ascii="宋体" w:hAnsi="宋体" w:eastAsia="宋体" w:cs="宋体"/>
          <w:iCs w:val="0"/>
          <w:sz w:val="21"/>
          <w:szCs w:val="21"/>
          <w:lang w:val="en-US" w:eastAsia="zh-CN" w:bidi="ar-SA"/>
        </w:rPr>
        <w:t>（</w:t>
      </w:r>
      <w:r>
        <w:rPr>
          <w:rFonts w:hint="default" w:ascii="宋体" w:hAnsi="宋体" w:eastAsia="宋体" w:cs="宋体"/>
          <w:iCs w:val="0"/>
          <w:sz w:val="21"/>
          <w:szCs w:val="21"/>
          <w:lang w:val="en" w:eastAsia="zh-CN" w:bidi="ar-SA"/>
        </w:rPr>
        <w:t>5</w:t>
      </w:r>
      <w:r>
        <w:rPr>
          <w:rFonts w:hint="eastAsia" w:ascii="宋体" w:hAnsi="宋体" w:eastAsia="宋体" w:cs="宋体"/>
          <w:iCs w:val="0"/>
          <w:sz w:val="21"/>
          <w:szCs w:val="21"/>
          <w:lang w:val="en-US" w:eastAsia="zh-CN" w:bidi="ar-SA"/>
        </w:rPr>
        <w:t>）政府采购方式：</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 xml:space="preserve">公开招标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 xml:space="preserve">邀请招标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 xml:space="preserve">竞争性谈判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竞争性磋商</w:t>
      </w:r>
    </w:p>
    <w:p w14:paraId="4CBDE7FF">
      <w:pPr>
        <w:numPr>
          <w:ilvl w:val="-1"/>
          <w:numId w:val="0"/>
        </w:numPr>
        <w:autoSpaceDE w:val="0"/>
        <w:autoSpaceDN w:val="0"/>
        <w:adjustRightInd w:val="0"/>
        <w:snapToGrid w:val="0"/>
        <w:spacing w:before="0" w:beforeLines="0" w:line="400" w:lineRule="exact"/>
        <w:ind w:left="0" w:firstLine="420" w:firstLineChars="0"/>
        <w:outlineLvl w:val="9"/>
        <w:rPr>
          <w:rFonts w:hint="eastAsia" w:ascii="宋体" w:hAnsi="宋体" w:eastAsia="宋体" w:cs="宋体"/>
          <w:iCs w:val="0"/>
          <w:sz w:val="21"/>
          <w:szCs w:val="21"/>
          <w:u w:val="single"/>
          <w:lang w:val="en-US" w:eastAsia="zh-CN" w:bidi="ar-SA"/>
        </w:rPr>
      </w:pPr>
      <w:r>
        <w:rPr>
          <w:rFonts w:hint="eastAsia" w:ascii="宋体" w:hAnsi="宋体" w:eastAsia="华文楷体" w:cs="宋体"/>
          <w:sz w:val="22"/>
          <w:szCs w:val="21"/>
          <w:u w:val="none"/>
          <w:lang w:val="en-US" w:eastAsia="zh-CN" w:bidi="ar-SA"/>
        </w:rPr>
        <w:t xml:space="preserve">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 xml:space="preserve">询价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 xml:space="preserve">单一来源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 xml:space="preserve">框架协议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其他：</w:t>
      </w:r>
      <w:r>
        <w:rPr>
          <w:rFonts w:hint="eastAsia" w:ascii="宋体" w:hAnsi="宋体" w:eastAsia="宋体" w:cs="宋体"/>
          <w:iCs w:val="0"/>
          <w:sz w:val="21"/>
          <w:szCs w:val="21"/>
          <w:u w:val="single"/>
          <w:lang w:val="en-US" w:eastAsia="zh-CN" w:bidi="ar-SA"/>
        </w:rPr>
        <w:t xml:space="preserve">          </w:t>
      </w:r>
    </w:p>
    <w:p w14:paraId="1410D795">
      <w:pPr>
        <w:numPr>
          <w:ilvl w:val="-1"/>
          <w:numId w:val="0"/>
        </w:numPr>
        <w:autoSpaceDE w:val="0"/>
        <w:autoSpaceDN w:val="0"/>
        <w:adjustRightInd w:val="0"/>
        <w:snapToGrid w:val="0"/>
        <w:spacing w:before="0" w:beforeLines="0" w:line="400" w:lineRule="exact"/>
        <w:ind w:left="0" w:firstLine="420" w:firstLineChars="0"/>
        <w:outlineLvl w:val="9"/>
        <w:rPr>
          <w:rFonts w:hint="default" w:ascii="宋体" w:hAnsi="宋体" w:eastAsia="宋体" w:cs="宋体"/>
          <w:iCs w:val="0"/>
          <w:sz w:val="21"/>
          <w:szCs w:val="21"/>
          <w:u w:val="none"/>
          <w:lang w:val="en-US" w:eastAsia="zh-CN" w:bidi="ar-SA"/>
        </w:rPr>
      </w:pPr>
      <w:r>
        <w:rPr>
          <w:rFonts w:hint="eastAsia" w:ascii="宋体" w:hAnsi="宋体" w:eastAsia="宋体" w:cs="宋体"/>
          <w:iCs w:val="0"/>
          <w:sz w:val="21"/>
          <w:szCs w:val="21"/>
          <w:u w:val="none"/>
          <w:lang w:val="en-US" w:eastAsia="zh-CN" w:bidi="ar-SA"/>
        </w:rPr>
        <w:t>（注：在框架协议采购的第二阶段，可选择使用该合同文本）</w:t>
      </w:r>
    </w:p>
    <w:p w14:paraId="76F63669">
      <w:pPr>
        <w:numPr>
          <w:ilvl w:val="-1"/>
          <w:numId w:val="0"/>
        </w:numPr>
        <w:autoSpaceDE w:val="0"/>
        <w:autoSpaceDN w:val="0"/>
        <w:adjustRightInd w:val="0"/>
        <w:snapToGrid w:val="0"/>
        <w:spacing w:before="0" w:beforeLines="0" w:line="400" w:lineRule="exact"/>
        <w:ind w:firstLine="220" w:firstLineChars="100"/>
        <w:outlineLvl w:val="9"/>
        <w:rPr>
          <w:rFonts w:hint="eastAsia" w:ascii="宋体" w:hAnsi="宋体" w:eastAsia="宋体" w:cs="Times New Roman"/>
          <w:w w:val="100"/>
          <w:kern w:val="2"/>
          <w:sz w:val="21"/>
          <w:szCs w:val="21"/>
          <w:lang w:val="en-US" w:eastAsia="zh-CN" w:bidi="ar-SA"/>
        </w:rPr>
      </w:pPr>
      <w:r>
        <w:rPr>
          <w:rFonts w:hint="eastAsia" w:ascii="宋体" w:hAnsi="宋体" w:eastAsia="华文楷体" w:cs="华文楷体"/>
          <w:sz w:val="22"/>
          <w:szCs w:val="21"/>
          <w:lang w:val="en-US" w:eastAsia="zh-CN" w:bidi="ar-SA"/>
        </w:rPr>
        <w:t xml:space="preserve"> （</w:t>
      </w:r>
      <w:r>
        <w:rPr>
          <w:rFonts w:hint="default" w:ascii="宋体" w:hAnsi="宋体" w:eastAsia="华文楷体" w:cs="华文楷体"/>
          <w:sz w:val="22"/>
          <w:szCs w:val="21"/>
          <w:lang w:val="en" w:eastAsia="zh-CN" w:bidi="ar-SA"/>
        </w:rPr>
        <w:t>6</w:t>
      </w:r>
      <w:r>
        <w:rPr>
          <w:rFonts w:hint="eastAsia" w:ascii="宋体" w:hAnsi="宋体" w:eastAsia="华文楷体" w:cs="华文楷体"/>
          <w:sz w:val="22"/>
          <w:szCs w:val="21"/>
          <w:lang w:val="en-US" w:eastAsia="zh-CN" w:bidi="ar-SA"/>
        </w:rPr>
        <w:t>）</w:t>
      </w:r>
      <w:r>
        <w:rPr>
          <w:rFonts w:hint="eastAsia" w:ascii="宋体" w:hAnsi="宋体" w:eastAsia="宋体" w:cs="Times New Roman"/>
          <w:w w:val="100"/>
          <w:kern w:val="2"/>
          <w:sz w:val="21"/>
          <w:szCs w:val="21"/>
          <w:lang w:val="en-US" w:eastAsia="zh-CN" w:bidi="ar-SA"/>
        </w:rPr>
        <w:t>中标（成交）采购标的制造商是否为中小企业：</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14:paraId="5C3A9310">
      <w:pPr>
        <w:numPr>
          <w:ilvl w:val="-1"/>
          <w:numId w:val="0"/>
        </w:numPr>
        <w:adjustRightInd w:val="0"/>
        <w:snapToGrid w:val="0"/>
        <w:spacing w:before="0" w:beforeLines="0" w:line="400" w:lineRule="exact"/>
        <w:ind w:left="0" w:leftChars="0" w:firstLine="0" w:firstLineChars="0"/>
        <w:outlineLvl w:val="9"/>
        <w:rPr>
          <w:rFonts w:hint="eastAsia" w:ascii="宋体" w:hAnsi="宋体" w:eastAsia="宋体" w:cs="Times New Roman"/>
          <w:iCs/>
          <w:szCs w:val="21"/>
        </w:rPr>
      </w:pPr>
      <w:r>
        <w:rPr>
          <w:rFonts w:hint="eastAsia" w:ascii="宋体" w:hAnsi="宋体" w:eastAsia="宋体" w:cs="Times New Roman"/>
          <w:w w:val="100"/>
          <w:szCs w:val="21"/>
          <w:lang w:val="en-US" w:eastAsia="zh-CN"/>
        </w:rPr>
        <w:t xml:space="preserve">         本合同</w:t>
      </w:r>
      <w:r>
        <w:rPr>
          <w:rFonts w:hint="eastAsia" w:ascii="宋体" w:hAnsi="宋体" w:eastAsia="宋体" w:cs="Times New Roman"/>
          <w:w w:val="100"/>
          <w:szCs w:val="21"/>
        </w:rPr>
        <w:t>是否</w:t>
      </w:r>
      <w:r>
        <w:rPr>
          <w:rFonts w:hint="eastAsia" w:ascii="宋体" w:hAnsi="宋体" w:eastAsia="宋体" w:cs="Times New Roman"/>
          <w:w w:val="100"/>
          <w:szCs w:val="21"/>
          <w:lang w:eastAsia="zh-CN"/>
        </w:rPr>
        <w:t>为专门面向</w:t>
      </w:r>
      <w:r>
        <w:rPr>
          <w:rFonts w:hint="eastAsia" w:ascii="宋体" w:hAnsi="宋体" w:eastAsia="宋体" w:cs="Times New Roman"/>
          <w:w w:val="100"/>
          <w:szCs w:val="21"/>
        </w:rPr>
        <w:t>中小企业</w:t>
      </w:r>
      <w:r>
        <w:rPr>
          <w:rFonts w:hint="eastAsia" w:ascii="宋体" w:hAnsi="宋体" w:eastAsia="宋体" w:cs="Times New Roman"/>
          <w:w w:val="100"/>
          <w:szCs w:val="21"/>
          <w:lang w:eastAsia="zh-CN"/>
        </w:rPr>
        <w:t>的采</w:t>
      </w:r>
      <w:r>
        <w:rPr>
          <w:rFonts w:hint="eastAsia" w:ascii="宋体" w:hAnsi="宋体" w:eastAsia="宋体" w:cs="Times New Roman"/>
          <w:w w:val="100"/>
          <w:szCs w:val="21"/>
          <w:shd w:val="clear"/>
          <w:lang w:eastAsia="zh-CN"/>
        </w:rPr>
        <w:t>购</w:t>
      </w:r>
      <w:r>
        <w:rPr>
          <w:rFonts w:hint="eastAsia" w:ascii="宋体" w:hAnsi="宋体" w:eastAsia="宋体" w:cs="Times New Roman"/>
          <w:w w:val="100"/>
          <w:szCs w:val="21"/>
          <w:shd w:val="clear"/>
        </w:rPr>
        <w:t>合同</w:t>
      </w:r>
      <w:r>
        <w:rPr>
          <w:rFonts w:hint="eastAsia" w:ascii="宋体" w:hAnsi="宋体" w:eastAsia="宋体" w:cs="Times New Roman"/>
          <w:w w:val="100"/>
          <w:szCs w:val="21"/>
          <w:shd w:val="clear"/>
          <w:lang w:eastAsia="zh-CN"/>
        </w:rPr>
        <w:t>（中小企业预留合同）</w:t>
      </w:r>
      <w:r>
        <w:rPr>
          <w:rFonts w:hint="eastAsia" w:ascii="宋体" w:hAnsi="宋体" w:eastAsia="宋体" w:cs="Times New Roman"/>
          <w:szCs w:val="21"/>
          <w:shd w:val="clear"/>
        </w:rPr>
        <w:t>：</w:t>
      </w:r>
      <w:r>
        <w:rPr>
          <w:rFonts w:hint="eastAsia" w:ascii="宋体" w:hAnsi="宋体" w:eastAsia="宋体" w:cs="Times New Roman"/>
          <w:iCs/>
          <w:szCs w:val="21"/>
        </w:rPr>
        <w:sym w:font="Wingdings" w:char="00A8"/>
      </w:r>
      <w:r>
        <w:rPr>
          <w:rFonts w:hint="eastAsia" w:ascii="宋体" w:hAnsi="宋体" w:eastAsia="宋体" w:cs="Times New Roman"/>
          <w:iCs/>
          <w:szCs w:val="21"/>
        </w:rPr>
        <w:t xml:space="preserve">是 </w:t>
      </w:r>
      <w:r>
        <w:rPr>
          <w:rFonts w:hint="eastAsia" w:ascii="宋体" w:hAnsi="宋体" w:eastAsia="宋体" w:cs="Times New Roman"/>
          <w:iCs/>
          <w:szCs w:val="21"/>
          <w:lang w:val="en-US" w:eastAsia="zh-CN"/>
        </w:rPr>
        <w:t xml:space="preserve">  </w:t>
      </w:r>
      <w:r>
        <w:rPr>
          <w:rFonts w:hint="eastAsia" w:ascii="宋体" w:hAnsi="宋体" w:eastAsia="宋体" w:cs="Times New Roman"/>
          <w:iCs/>
          <w:szCs w:val="21"/>
        </w:rPr>
        <w:t xml:space="preserve"> </w:t>
      </w:r>
      <w:r>
        <w:rPr>
          <w:rFonts w:hint="eastAsia" w:ascii="宋体" w:hAnsi="宋体" w:eastAsia="宋体" w:cs="Times New Roman"/>
          <w:iCs/>
          <w:szCs w:val="21"/>
        </w:rPr>
        <w:sym w:font="Wingdings" w:char="00A8"/>
      </w:r>
      <w:r>
        <w:rPr>
          <w:rFonts w:hint="eastAsia" w:ascii="宋体" w:hAnsi="宋体" w:eastAsia="宋体" w:cs="Times New Roman"/>
          <w:iCs/>
          <w:szCs w:val="21"/>
        </w:rPr>
        <w:t>否</w:t>
      </w:r>
    </w:p>
    <w:p w14:paraId="24966CF3">
      <w:pPr>
        <w:numPr>
          <w:ilvl w:val="-1"/>
          <w:numId w:val="0"/>
        </w:numPr>
        <w:adjustRightInd w:val="0"/>
        <w:snapToGrid w:val="0"/>
        <w:spacing w:before="0" w:beforeLines="0" w:line="400" w:lineRule="exact"/>
        <w:ind w:firstLine="0" w:firstLineChars="0"/>
        <w:outlineLvl w:val="9"/>
        <w:rPr>
          <w:rFonts w:hint="eastAsia" w:ascii="宋体" w:hAnsi="宋体" w:eastAsia="宋体" w:cs="Times New Roman"/>
          <w:iCs/>
          <w:szCs w:val="21"/>
        </w:rPr>
      </w:pPr>
      <w:r>
        <w:rPr>
          <w:rFonts w:hint="eastAsia" w:ascii="Times New Roman" w:hAnsi="Times New Roman" w:eastAsia="宋体" w:cs="Times New Roman"/>
          <w:szCs w:val="24"/>
          <w:lang w:val="en-US" w:eastAsia="zh-CN"/>
        </w:rPr>
        <w:t xml:space="preserve">         若本项目不专门面向中小企业采购，是否给予小微企业评审优惠：</w:t>
      </w:r>
      <w:r>
        <w:rPr>
          <w:rFonts w:hint="eastAsia" w:ascii="宋体" w:hAnsi="宋体" w:eastAsia="宋体" w:cs="Times New Roman"/>
          <w:iCs/>
          <w:szCs w:val="21"/>
        </w:rPr>
        <w:sym w:font="Wingdings" w:char="00A8"/>
      </w:r>
      <w:r>
        <w:rPr>
          <w:rFonts w:hint="eastAsia" w:ascii="宋体" w:hAnsi="宋体" w:eastAsia="宋体" w:cs="Times New Roman"/>
          <w:iCs/>
          <w:szCs w:val="21"/>
        </w:rPr>
        <w:t xml:space="preserve">是   </w:t>
      </w:r>
      <w:r>
        <w:rPr>
          <w:rFonts w:hint="eastAsia" w:ascii="宋体" w:hAnsi="宋体" w:eastAsia="宋体" w:cs="Times New Roman"/>
          <w:iCs/>
          <w:szCs w:val="21"/>
        </w:rPr>
        <w:sym w:font="Wingdings" w:char="00A8"/>
      </w:r>
      <w:r>
        <w:rPr>
          <w:rFonts w:hint="eastAsia" w:ascii="宋体" w:hAnsi="宋体" w:eastAsia="宋体" w:cs="Times New Roman"/>
          <w:iCs/>
          <w:szCs w:val="21"/>
        </w:rPr>
        <w:t>否</w:t>
      </w:r>
    </w:p>
    <w:p w14:paraId="3381B2CE">
      <w:pPr>
        <w:numPr>
          <w:ilvl w:val="-1"/>
          <w:numId w:val="0"/>
        </w:numPr>
        <w:adjustRightInd w:val="0"/>
        <w:snapToGrid w:val="0"/>
        <w:spacing w:before="0" w:beforeLines="0" w:line="400" w:lineRule="exact"/>
        <w:ind w:firstLine="0" w:firstLineChars="0"/>
        <w:outlineLvl w:val="9"/>
        <w:rPr>
          <w:rFonts w:hint="eastAsia" w:ascii="宋体" w:hAnsi="宋体" w:eastAsia="宋体" w:cs="Times New Roman"/>
          <w:iCs/>
          <w:szCs w:val="21"/>
        </w:rPr>
      </w:pPr>
      <w:r>
        <w:rPr>
          <w:rFonts w:hint="eastAsia" w:ascii="Times New Roman" w:hAnsi="Times New Roman" w:eastAsia="宋体" w:cs="Times New Roman"/>
          <w:szCs w:val="24"/>
          <w:lang w:val="en-US" w:eastAsia="zh-CN"/>
        </w:rPr>
        <w:t xml:space="preserve">         中标（成交）采购标的制造商是否为残疾人福利性单位：</w:t>
      </w:r>
      <w:r>
        <w:rPr>
          <w:rFonts w:hint="eastAsia" w:ascii="宋体" w:hAnsi="宋体" w:eastAsia="宋体" w:cs="Times New Roman"/>
          <w:iCs/>
          <w:szCs w:val="21"/>
        </w:rPr>
        <w:sym w:font="Wingdings" w:char="00A8"/>
      </w:r>
      <w:r>
        <w:rPr>
          <w:rFonts w:hint="eastAsia" w:ascii="宋体" w:hAnsi="宋体" w:eastAsia="宋体" w:cs="Times New Roman"/>
          <w:iCs/>
          <w:szCs w:val="21"/>
        </w:rPr>
        <w:t xml:space="preserve">是   </w:t>
      </w:r>
      <w:r>
        <w:rPr>
          <w:rFonts w:hint="eastAsia" w:ascii="宋体" w:hAnsi="宋体" w:eastAsia="宋体" w:cs="Times New Roman"/>
          <w:iCs/>
          <w:szCs w:val="21"/>
        </w:rPr>
        <w:sym w:font="Wingdings" w:char="00A8"/>
      </w:r>
      <w:r>
        <w:rPr>
          <w:rFonts w:hint="eastAsia" w:ascii="宋体" w:hAnsi="宋体" w:eastAsia="宋体" w:cs="Times New Roman"/>
          <w:iCs/>
          <w:szCs w:val="21"/>
        </w:rPr>
        <w:t>否</w:t>
      </w:r>
    </w:p>
    <w:p w14:paraId="2B283037">
      <w:pPr>
        <w:numPr>
          <w:ilvl w:val="0"/>
          <w:numId w:val="0"/>
        </w:numPr>
        <w:snapToGrid w:val="0"/>
        <w:spacing w:beforeLines="0" w:line="400" w:lineRule="exact"/>
        <w:ind w:firstLine="0" w:firstLineChars="0"/>
        <w:outlineLvl w:val="9"/>
        <w:rPr>
          <w:rFonts w:hint="default"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 xml:space="preserve">         中标（成交）采购标的制造商是否为监狱企业：</w:t>
      </w:r>
      <w:r>
        <w:rPr>
          <w:rFonts w:hint="eastAsia" w:ascii="宋体" w:hAnsi="宋体" w:eastAsia="宋体" w:cs="Times New Roman"/>
          <w:iCs/>
          <w:szCs w:val="21"/>
        </w:rPr>
        <w:sym w:font="Wingdings" w:char="00A8"/>
      </w:r>
      <w:r>
        <w:rPr>
          <w:rFonts w:hint="eastAsia" w:ascii="宋体" w:hAnsi="宋体" w:eastAsia="宋体" w:cs="Times New Roman"/>
          <w:iCs/>
          <w:szCs w:val="21"/>
        </w:rPr>
        <w:t xml:space="preserve">是       </w:t>
      </w:r>
      <w:r>
        <w:rPr>
          <w:rFonts w:hint="eastAsia" w:ascii="宋体" w:hAnsi="宋体" w:eastAsia="宋体" w:cs="Times New Roman"/>
          <w:iCs/>
          <w:szCs w:val="21"/>
        </w:rPr>
        <w:sym w:font="Wingdings" w:char="00A8"/>
      </w:r>
      <w:r>
        <w:rPr>
          <w:rFonts w:hint="eastAsia" w:ascii="宋体" w:hAnsi="宋体" w:eastAsia="宋体" w:cs="Times New Roman"/>
          <w:iCs/>
          <w:szCs w:val="21"/>
        </w:rPr>
        <w:t>否</w:t>
      </w:r>
    </w:p>
    <w:p w14:paraId="6A0107D6">
      <w:pPr>
        <w:adjustRightInd w:val="0"/>
        <w:snapToGrid w:val="0"/>
        <w:spacing w:before="0" w:beforeLines="0" w:line="400" w:lineRule="exact"/>
        <w:ind w:firstLine="420" w:firstLineChars="200"/>
        <w:outlineLvl w:val="9"/>
        <w:rPr>
          <w:rFonts w:ascii="宋体" w:hAnsi="宋体" w:eastAsia="宋体" w:cs="Times New Roman"/>
          <w:szCs w:val="21"/>
        </w:rPr>
      </w:pPr>
      <w:r>
        <w:rPr>
          <w:rFonts w:hint="eastAsia" w:ascii="宋体" w:hAnsi="宋体" w:eastAsia="宋体" w:cs="Times New Roman"/>
          <w:szCs w:val="21"/>
        </w:rPr>
        <w:t>（</w:t>
      </w:r>
      <w:r>
        <w:rPr>
          <w:rFonts w:hint="default" w:ascii="宋体" w:hAnsi="宋体" w:eastAsia="宋体" w:cs="Times New Roman"/>
          <w:szCs w:val="21"/>
          <w:lang w:val="en" w:eastAsia="zh-CN"/>
        </w:rPr>
        <w:t>7</w:t>
      </w:r>
      <w:r>
        <w:rPr>
          <w:rFonts w:hint="eastAsia" w:ascii="宋体" w:hAnsi="宋体" w:eastAsia="宋体" w:cs="Times New Roman"/>
          <w:szCs w:val="21"/>
        </w:rPr>
        <w:t>）合同是否分包：</w:t>
      </w:r>
      <w:r>
        <w:rPr>
          <w:rFonts w:hint="eastAsia" w:ascii="宋体" w:hAnsi="宋体" w:eastAsia="宋体" w:cs="Times New Roman"/>
          <w:iCs/>
          <w:szCs w:val="21"/>
        </w:rPr>
        <w:sym w:font="Wingdings" w:char="00A8"/>
      </w:r>
      <w:r>
        <w:rPr>
          <w:rFonts w:hint="eastAsia" w:ascii="宋体" w:hAnsi="宋体" w:eastAsia="宋体" w:cs="Times New Roman"/>
          <w:iCs/>
          <w:szCs w:val="21"/>
        </w:rPr>
        <w:t xml:space="preserve">是       </w:t>
      </w:r>
      <w:r>
        <w:rPr>
          <w:rFonts w:hint="eastAsia" w:ascii="宋体" w:hAnsi="宋体" w:eastAsia="宋体" w:cs="Times New Roman"/>
          <w:iCs/>
          <w:szCs w:val="21"/>
        </w:rPr>
        <w:sym w:font="Wingdings" w:char="00A8"/>
      </w:r>
      <w:r>
        <w:rPr>
          <w:rFonts w:hint="eastAsia" w:ascii="宋体" w:hAnsi="宋体" w:eastAsia="宋体" w:cs="Times New Roman"/>
          <w:iCs/>
          <w:szCs w:val="21"/>
        </w:rPr>
        <w:t>否</w:t>
      </w:r>
    </w:p>
    <w:p w14:paraId="0BC02C95">
      <w:pPr>
        <w:adjustRightInd w:val="0"/>
        <w:snapToGrid w:val="0"/>
        <w:spacing w:before="0" w:beforeLines="0" w:line="400" w:lineRule="exact"/>
        <w:ind w:firstLine="840" w:firstLineChars="400"/>
        <w:outlineLvl w:val="9"/>
        <w:rPr>
          <w:rFonts w:hint="eastAsia" w:ascii="宋体" w:hAnsi="宋体" w:eastAsia="宋体" w:cs="Times New Roman"/>
          <w:szCs w:val="21"/>
          <w:u w:val="single"/>
        </w:rPr>
      </w:pPr>
      <w:r>
        <w:rPr>
          <w:rFonts w:hint="eastAsia" w:ascii="宋体" w:hAnsi="宋体" w:eastAsia="宋体" w:cs="Times New Roman"/>
          <w:szCs w:val="21"/>
          <w:lang w:val="en-US" w:eastAsia="zh-CN"/>
        </w:rPr>
        <w:t xml:space="preserve"> </w:t>
      </w:r>
      <w:r>
        <w:rPr>
          <w:rFonts w:hint="eastAsia" w:ascii="宋体" w:hAnsi="宋体" w:eastAsia="宋体" w:cs="Times New Roman"/>
          <w:szCs w:val="21"/>
        </w:rPr>
        <w:t>分包主要内容：</w:t>
      </w:r>
      <w:r>
        <w:rPr>
          <w:rFonts w:hint="eastAsia" w:ascii="宋体" w:hAnsi="宋体" w:eastAsia="宋体" w:cs="Times New Roman"/>
          <w:szCs w:val="21"/>
          <w:u w:val="single"/>
        </w:rPr>
        <w:t xml:space="preserve">                                        </w:t>
      </w:r>
      <w:r>
        <w:rPr>
          <w:rFonts w:hint="eastAsia" w:ascii="宋体" w:hAnsi="宋体" w:eastAsia="宋体" w:cs="Times New Roman"/>
          <w:szCs w:val="21"/>
          <w:u w:val="single"/>
          <w:lang w:val="en-US" w:eastAsia="zh-CN"/>
        </w:rPr>
        <w:t xml:space="preserve"> </w:t>
      </w:r>
      <w:r>
        <w:rPr>
          <w:rFonts w:hint="eastAsia" w:ascii="宋体" w:hAnsi="宋体" w:eastAsia="宋体" w:cs="Times New Roman"/>
          <w:szCs w:val="21"/>
          <w:u w:val="single"/>
        </w:rPr>
        <w:t xml:space="preserve">   </w:t>
      </w:r>
    </w:p>
    <w:p w14:paraId="7EC317C7">
      <w:pPr>
        <w:adjustRightInd w:val="0"/>
        <w:snapToGrid w:val="0"/>
        <w:spacing w:before="0" w:beforeLines="0" w:line="400" w:lineRule="exact"/>
        <w:ind w:firstLine="840" w:firstLineChars="400"/>
        <w:outlineLvl w:val="9"/>
        <w:rPr>
          <w:rFonts w:hint="eastAsia" w:ascii="宋体" w:hAnsi="宋体" w:eastAsia="宋体" w:cs="Times New Roman"/>
          <w:szCs w:val="21"/>
          <w:highlight w:val="none"/>
        </w:rPr>
      </w:pPr>
      <w:r>
        <w:rPr>
          <w:rFonts w:hint="eastAsia" w:ascii="宋体" w:hAnsi="宋体" w:eastAsia="宋体" w:cs="Times New Roman"/>
          <w:szCs w:val="21"/>
          <w:u w:val="none"/>
          <w:lang w:val="en-US" w:eastAsia="zh-CN"/>
        </w:rPr>
        <w:t xml:space="preserve"> </w:t>
      </w:r>
      <w:r>
        <w:rPr>
          <w:rFonts w:hint="eastAsia" w:ascii="宋体" w:hAnsi="宋体" w:eastAsia="宋体" w:cs="Times New Roman"/>
          <w:szCs w:val="21"/>
        </w:rPr>
        <w:t>分包</w:t>
      </w:r>
      <w:r>
        <w:rPr>
          <w:rFonts w:hint="eastAsia" w:ascii="宋体" w:hAnsi="宋体" w:eastAsia="宋体" w:cs="Times New Roman"/>
          <w:szCs w:val="21"/>
          <w:highlight w:val="none"/>
        </w:rPr>
        <w:t>供应商</w:t>
      </w:r>
      <w:r>
        <w:rPr>
          <w:rFonts w:hint="eastAsia" w:ascii="宋体" w:hAnsi="宋体" w:eastAsia="宋体" w:cs="Times New Roman"/>
          <w:szCs w:val="21"/>
          <w:highlight w:val="none"/>
          <w:lang w:eastAsia="zh-CN"/>
        </w:rPr>
        <w:t>/制造商</w:t>
      </w:r>
      <w:r>
        <w:rPr>
          <w:rFonts w:hint="eastAsia" w:ascii="宋体" w:hAnsi="宋体" w:eastAsia="宋体" w:cs="Times New Roman"/>
          <w:szCs w:val="21"/>
          <w:highlight w:val="none"/>
        </w:rPr>
        <w:t>名称</w:t>
      </w:r>
      <w:r>
        <w:rPr>
          <w:rFonts w:hint="eastAsia" w:ascii="宋体" w:hAnsi="宋体" w:eastAsia="宋体" w:cs="Times New Roman"/>
          <w:szCs w:val="21"/>
          <w:highlight w:val="none"/>
          <w:lang w:eastAsia="zh-CN"/>
        </w:rPr>
        <w:t>（如供应商和制造商不同，请分别填写）</w:t>
      </w:r>
      <w:r>
        <w:rPr>
          <w:rFonts w:hint="eastAsia" w:ascii="宋体" w:hAnsi="宋体" w:eastAsia="宋体" w:cs="Times New Roman"/>
          <w:szCs w:val="21"/>
          <w:highlight w:val="none"/>
        </w:rPr>
        <w:t>：</w:t>
      </w:r>
    </w:p>
    <w:p w14:paraId="1D0AAF18">
      <w:pPr>
        <w:adjustRightInd w:val="0"/>
        <w:snapToGrid w:val="0"/>
        <w:spacing w:before="0" w:beforeLines="0" w:line="400" w:lineRule="exact"/>
        <w:ind w:firstLine="840" w:firstLineChars="400"/>
        <w:outlineLvl w:val="9"/>
        <w:rPr>
          <w:rFonts w:ascii="宋体" w:hAnsi="宋体" w:eastAsia="宋体" w:cs="Times New Roman"/>
          <w:szCs w:val="21"/>
          <w:highlight w:val="none"/>
          <w:u w:val="single"/>
        </w:rPr>
      </w:pPr>
      <w:r>
        <w:rPr>
          <w:rFonts w:hint="eastAsia" w:ascii="宋体" w:hAnsi="宋体" w:eastAsia="宋体" w:cs="Times New Roman"/>
          <w:szCs w:val="21"/>
          <w:highlight w:val="none"/>
          <w:u w:val="none"/>
        </w:rPr>
        <w:t xml:space="preserve"> </w:t>
      </w:r>
      <w:r>
        <w:rPr>
          <w:rFonts w:hint="eastAsia" w:ascii="宋体" w:hAnsi="宋体" w:eastAsia="宋体" w:cs="Times New Roman"/>
          <w:szCs w:val="21"/>
          <w:highlight w:val="none"/>
          <w:u w:val="single"/>
          <w:lang w:val="en-US" w:eastAsia="zh-CN"/>
        </w:rPr>
        <w:t xml:space="preserve">  </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u w:val="single"/>
          <w:lang w:val="en-US" w:eastAsia="zh-CN"/>
        </w:rPr>
        <w:t xml:space="preserve">                       </w:t>
      </w:r>
    </w:p>
    <w:p w14:paraId="37E5C034">
      <w:pPr>
        <w:adjustRightInd w:val="0"/>
        <w:snapToGrid w:val="0"/>
        <w:spacing w:before="0" w:beforeLines="0" w:line="400" w:lineRule="exact"/>
        <w:ind w:firstLine="840" w:firstLineChars="400"/>
        <w:outlineLvl w:val="9"/>
        <w:rPr>
          <w:rFonts w:hint="eastAsia" w:ascii="宋体" w:hAnsi="宋体" w:eastAsia="宋体" w:cs="Times New Roman"/>
          <w:szCs w:val="21"/>
        </w:rPr>
      </w:pP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rPr>
        <w:t>分包供应商</w:t>
      </w:r>
      <w:r>
        <w:rPr>
          <w:rFonts w:hint="eastAsia" w:ascii="宋体" w:hAnsi="宋体" w:eastAsia="宋体" w:cs="Times New Roman"/>
          <w:szCs w:val="21"/>
          <w:highlight w:val="none"/>
          <w:lang w:val="en-US" w:eastAsia="zh-CN"/>
        </w:rPr>
        <w:t>/</w:t>
      </w:r>
      <w:r>
        <w:rPr>
          <w:rFonts w:hint="eastAsia" w:ascii="宋体" w:hAnsi="宋体" w:eastAsia="宋体" w:cs="Times New Roman"/>
          <w:szCs w:val="21"/>
          <w:highlight w:val="none"/>
          <w:lang w:eastAsia="zh-CN"/>
        </w:rPr>
        <w:t>制造商</w:t>
      </w:r>
      <w:r>
        <w:rPr>
          <w:rFonts w:hint="eastAsia" w:ascii="宋体" w:hAnsi="宋体" w:eastAsia="宋体" w:cs="Times New Roman"/>
          <w:szCs w:val="21"/>
        </w:rPr>
        <w:t>类型</w:t>
      </w:r>
      <w:r>
        <w:rPr>
          <w:rFonts w:hint="eastAsia" w:ascii="宋体" w:hAnsi="宋体" w:eastAsia="宋体" w:cs="Times New Roman"/>
          <w:szCs w:val="21"/>
          <w:highlight w:val="none"/>
          <w:lang w:eastAsia="zh-CN"/>
        </w:rPr>
        <w:t>（如果供应商和制造商不同，只填写制造商类型）</w:t>
      </w:r>
      <w:r>
        <w:rPr>
          <w:rFonts w:hint="eastAsia" w:ascii="宋体" w:hAnsi="宋体" w:eastAsia="宋体" w:cs="Times New Roman"/>
          <w:szCs w:val="21"/>
        </w:rPr>
        <w:t>：</w:t>
      </w:r>
    </w:p>
    <w:p w14:paraId="0CBC05FB">
      <w:pPr>
        <w:adjustRightInd w:val="0"/>
        <w:snapToGrid w:val="0"/>
        <w:spacing w:beforeLines="0" w:line="400" w:lineRule="exact"/>
        <w:ind w:firstLine="840" w:firstLineChars="400"/>
        <w:outlineLvl w:val="9"/>
        <w:rPr>
          <w:rFonts w:hint="eastAsia" w:ascii="宋体" w:hAnsi="宋体" w:eastAsia="宋体" w:cs="Times New Roman"/>
          <w:iCs/>
          <w:szCs w:val="21"/>
          <w:lang w:val="en-US" w:eastAsia="zh-CN"/>
        </w:rPr>
      </w:pPr>
      <w:r>
        <w:rPr>
          <w:rFonts w:hint="eastAsia" w:ascii="宋体" w:hAnsi="宋体" w:eastAsia="宋体" w:cs="Times New Roman"/>
          <w:iCs/>
          <w:szCs w:val="21"/>
          <w:lang w:val="en-US" w:eastAsia="zh-CN"/>
        </w:rPr>
        <w:t xml:space="preserve"> </w:t>
      </w:r>
      <w:r>
        <w:rPr>
          <w:rFonts w:hint="eastAsia" w:ascii="宋体" w:hAnsi="宋体" w:eastAsia="宋体" w:cs="Times New Roman"/>
          <w:iCs/>
          <w:szCs w:val="21"/>
        </w:rPr>
        <w:sym w:font="Wingdings" w:char="00A8"/>
      </w:r>
      <w:r>
        <w:rPr>
          <w:rFonts w:hint="eastAsia" w:ascii="宋体" w:hAnsi="宋体" w:eastAsia="宋体" w:cs="Times New Roman"/>
          <w:iCs/>
          <w:szCs w:val="21"/>
        </w:rPr>
        <w:t xml:space="preserve">大型企业  </w:t>
      </w:r>
      <w:r>
        <w:rPr>
          <w:rFonts w:hint="eastAsia" w:ascii="宋体" w:hAnsi="宋体" w:eastAsia="宋体" w:cs="Times New Roman"/>
          <w:iCs/>
          <w:szCs w:val="21"/>
        </w:rPr>
        <w:sym w:font="Wingdings" w:char="00A8"/>
      </w:r>
      <w:r>
        <w:rPr>
          <w:rFonts w:hint="eastAsia" w:ascii="宋体" w:hAnsi="宋体" w:eastAsia="宋体" w:cs="Times New Roman"/>
          <w:iCs/>
          <w:szCs w:val="21"/>
        </w:rPr>
        <w:t xml:space="preserve">中型企业  </w:t>
      </w:r>
      <w:r>
        <w:rPr>
          <w:rFonts w:hint="eastAsia" w:ascii="宋体" w:hAnsi="宋体" w:eastAsia="宋体" w:cs="Times New Roman"/>
          <w:iCs/>
          <w:szCs w:val="21"/>
        </w:rPr>
        <w:sym w:font="Wingdings" w:char="00A8"/>
      </w:r>
      <w:r>
        <w:rPr>
          <w:rFonts w:hint="eastAsia" w:ascii="宋体" w:hAnsi="宋体" w:eastAsia="宋体" w:cs="Times New Roman"/>
          <w:iCs/>
          <w:szCs w:val="21"/>
        </w:rPr>
        <w:t>小微型企业</w:t>
      </w:r>
      <w:r>
        <w:rPr>
          <w:rFonts w:hint="eastAsia" w:ascii="宋体" w:hAnsi="宋体" w:eastAsia="宋体" w:cs="Times New Roman"/>
          <w:iCs/>
          <w:szCs w:val="21"/>
          <w:lang w:val="en-US" w:eastAsia="zh-CN"/>
        </w:rPr>
        <w:t xml:space="preserve">  </w:t>
      </w:r>
    </w:p>
    <w:p w14:paraId="18F6AFD0">
      <w:pPr>
        <w:adjustRightInd w:val="0"/>
        <w:snapToGrid w:val="0"/>
        <w:spacing w:beforeLines="0" w:line="400" w:lineRule="exact"/>
        <w:ind w:firstLine="840" w:firstLineChars="400"/>
        <w:outlineLvl w:val="9"/>
        <w:rPr>
          <w:rFonts w:hint="default" w:ascii="Times New Roman" w:hAnsi="Times New Roman" w:eastAsia="华文楷体" w:cs="Times New Roman"/>
          <w:szCs w:val="24"/>
          <w:u w:val="none"/>
          <w:lang w:val="en-US" w:eastAsia="zh-CN"/>
        </w:rPr>
      </w:pPr>
      <w:r>
        <w:rPr>
          <w:rFonts w:hint="eastAsia" w:ascii="宋体" w:hAnsi="宋体" w:eastAsia="宋体" w:cs="Times New Roman"/>
          <w:iCs/>
          <w:szCs w:val="21"/>
          <w:lang w:val="en-US" w:eastAsia="zh-CN"/>
        </w:rPr>
        <w:t xml:space="preserve"> </w:t>
      </w:r>
      <w:r>
        <w:rPr>
          <w:rFonts w:hint="eastAsia" w:ascii="宋体" w:hAnsi="宋体" w:eastAsia="宋体" w:cs="Times New Roman"/>
          <w:iCs/>
          <w:szCs w:val="21"/>
        </w:rPr>
        <w:sym w:font="Wingdings" w:char="00A8"/>
      </w:r>
      <w:r>
        <w:rPr>
          <w:rFonts w:hint="eastAsia" w:ascii="宋体" w:hAnsi="宋体" w:eastAsia="宋体" w:cs="Times New Roman"/>
          <w:iCs/>
          <w:szCs w:val="21"/>
          <w:lang w:eastAsia="zh-CN"/>
        </w:rPr>
        <w:t>残疾人福利性单位</w:t>
      </w:r>
      <w:r>
        <w:rPr>
          <w:rFonts w:hint="eastAsia" w:ascii="宋体" w:hAnsi="宋体" w:eastAsia="宋体" w:cs="Times New Roman"/>
          <w:iCs/>
          <w:szCs w:val="21"/>
          <w:lang w:val="en-US" w:eastAsia="zh-CN"/>
        </w:rPr>
        <w:t xml:space="preserve"> </w:t>
      </w:r>
      <w:r>
        <w:rPr>
          <w:rFonts w:hint="eastAsia" w:ascii="宋体" w:hAnsi="宋体" w:eastAsia="宋体" w:cs="Times New Roman"/>
          <w:iCs/>
          <w:szCs w:val="21"/>
        </w:rPr>
        <w:sym w:font="Wingdings" w:char="00A8"/>
      </w:r>
      <w:r>
        <w:rPr>
          <w:rFonts w:hint="eastAsia" w:ascii="宋体" w:hAnsi="宋体" w:eastAsia="宋体" w:cs="Times New Roman"/>
          <w:iCs/>
          <w:szCs w:val="21"/>
          <w:lang w:eastAsia="zh-CN"/>
        </w:rPr>
        <w:t>监狱</w:t>
      </w:r>
      <w:r>
        <w:rPr>
          <w:rFonts w:hint="eastAsia" w:ascii="宋体" w:hAnsi="宋体" w:eastAsia="宋体" w:cs="Times New Roman"/>
          <w:iCs/>
          <w:szCs w:val="21"/>
        </w:rPr>
        <w:t>企业</w:t>
      </w:r>
      <w:r>
        <w:rPr>
          <w:rFonts w:hint="eastAsia" w:ascii="宋体" w:hAnsi="宋体" w:eastAsia="宋体" w:cs="Times New Roman"/>
          <w:iCs/>
          <w:szCs w:val="21"/>
          <w:lang w:val="en-US" w:eastAsia="zh-CN"/>
        </w:rPr>
        <w:t xml:space="preserve"> </w:t>
      </w:r>
      <w:r>
        <w:rPr>
          <w:rFonts w:hint="eastAsia" w:ascii="宋体" w:hAnsi="宋体" w:eastAsia="宋体" w:cs="Times New Roman"/>
          <w:iCs/>
          <w:szCs w:val="21"/>
        </w:rPr>
        <w:sym w:font="Wingdings" w:char="00A8"/>
      </w:r>
      <w:r>
        <w:rPr>
          <w:rFonts w:hint="eastAsia" w:ascii="宋体" w:hAnsi="宋体" w:eastAsia="宋体" w:cs="Times New Roman"/>
          <w:iCs/>
          <w:szCs w:val="21"/>
          <w:lang w:eastAsia="zh-CN"/>
        </w:rPr>
        <w:t>其他</w:t>
      </w:r>
    </w:p>
    <w:p w14:paraId="536A57C5">
      <w:pPr>
        <w:numPr>
          <w:ilvl w:val="-1"/>
          <w:numId w:val="0"/>
        </w:numPr>
        <w:adjustRightInd w:val="0"/>
        <w:snapToGrid w:val="0"/>
        <w:spacing w:before="0" w:beforeLines="0" w:line="400" w:lineRule="exact"/>
        <w:ind w:left="0" w:leftChars="0" w:firstLine="0" w:firstLineChars="0"/>
        <w:outlineLvl w:val="9"/>
        <w:rPr>
          <w:rFonts w:hint="eastAsia" w:ascii="宋体" w:hAnsi="宋体" w:eastAsia="宋体" w:cs="宋体"/>
          <w:iCs/>
          <w:szCs w:val="21"/>
          <w:highlight w:val="none"/>
        </w:rPr>
      </w:pPr>
      <w:r>
        <w:rPr>
          <w:rFonts w:hint="eastAsia" w:ascii="宋体" w:hAnsi="宋体" w:eastAsia="宋体" w:cs="Times New Roman"/>
          <w:szCs w:val="21"/>
          <w:highlight w:val="none"/>
          <w:u w:val="none"/>
          <w:lang w:val="en-US" w:eastAsia="zh-CN"/>
        </w:rPr>
        <w:t xml:space="preserve">    </w:t>
      </w:r>
      <w:r>
        <w:rPr>
          <w:rFonts w:hint="eastAsia" w:ascii="宋体" w:hAnsi="宋体" w:eastAsia="宋体" w:cs="宋体"/>
          <w:szCs w:val="21"/>
          <w:highlight w:val="none"/>
          <w:u w:val="none"/>
          <w:lang w:val="en-US" w:eastAsia="zh-CN"/>
        </w:rPr>
        <w:t>（</w:t>
      </w:r>
      <w:r>
        <w:rPr>
          <w:rFonts w:hint="default" w:ascii="宋体" w:hAnsi="宋体" w:eastAsia="宋体" w:cs="宋体"/>
          <w:szCs w:val="21"/>
          <w:highlight w:val="none"/>
          <w:u w:val="none"/>
          <w:lang w:val="en" w:eastAsia="zh-CN"/>
        </w:rPr>
        <w:t>8</w:t>
      </w:r>
      <w:r>
        <w:rPr>
          <w:rFonts w:hint="eastAsia" w:ascii="宋体" w:hAnsi="宋体" w:eastAsia="宋体" w:cs="宋体"/>
          <w:szCs w:val="21"/>
          <w:highlight w:val="none"/>
          <w:u w:val="none"/>
          <w:lang w:val="en-US" w:eastAsia="zh-CN"/>
        </w:rPr>
        <w:t>）中标（成交）供应商是否为外商投资企业：</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 xml:space="preserve">是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否</w:t>
      </w:r>
    </w:p>
    <w:p w14:paraId="46050914">
      <w:pPr>
        <w:tabs>
          <w:tab w:val="left" w:pos="1340"/>
        </w:tabs>
        <w:autoSpaceDE w:val="0"/>
        <w:autoSpaceDN w:val="0"/>
        <w:adjustRightInd w:val="0"/>
        <w:spacing w:beforeLines="0" w:line="400" w:lineRule="exact"/>
        <w:ind w:firstLine="420" w:firstLineChars="200"/>
        <w:outlineLvl w:val="9"/>
        <w:rPr>
          <w:rFonts w:hint="eastAsia" w:ascii="宋体" w:hAnsi="宋体" w:eastAsia="宋体" w:cs="宋体"/>
          <w:sz w:val="21"/>
          <w:szCs w:val="21"/>
          <w:highlight w:val="none"/>
          <w:u w:val="single"/>
          <w:lang w:val="en-US" w:eastAsia="zh-CN" w:bidi="ar-SA"/>
        </w:rPr>
      </w:pPr>
      <w:r>
        <w:rPr>
          <w:rFonts w:hint="eastAsia" w:ascii="宋体" w:hAnsi="宋体" w:eastAsia="宋体" w:cs="宋体"/>
          <w:sz w:val="21"/>
          <w:szCs w:val="21"/>
          <w:highlight w:val="none"/>
          <w:u w:val="none"/>
          <w:lang w:val="en-US" w:eastAsia="zh-CN" w:bidi="ar-SA"/>
        </w:rPr>
        <w:t xml:space="preserve">     外商投资企业类型：</w:t>
      </w:r>
      <w:r>
        <w:rPr>
          <w:rFonts w:hint="eastAsia" w:ascii="宋体" w:hAnsi="宋体" w:eastAsia="宋体" w:cs="宋体"/>
          <w:iCs/>
          <w:sz w:val="21"/>
          <w:szCs w:val="21"/>
          <w:highlight w:val="none"/>
          <w:lang w:val="en-US" w:eastAsia="zh-CN" w:bidi="ar-SA"/>
        </w:rPr>
        <w:sym w:font="Wingdings" w:char="00A8"/>
      </w:r>
      <w:r>
        <w:rPr>
          <w:rFonts w:hint="eastAsia" w:ascii="宋体" w:hAnsi="宋体" w:eastAsia="宋体" w:cs="宋体"/>
          <w:sz w:val="21"/>
          <w:szCs w:val="21"/>
          <w:highlight w:val="none"/>
          <w:u w:val="none"/>
          <w:lang w:val="en-US" w:eastAsia="zh-CN" w:bidi="ar-SA"/>
        </w:rPr>
        <w:t xml:space="preserve">全部由外国投资者投资  </w:t>
      </w:r>
      <w:r>
        <w:rPr>
          <w:rFonts w:hint="eastAsia" w:ascii="宋体" w:hAnsi="宋体" w:eastAsia="宋体" w:cs="宋体"/>
          <w:iCs/>
          <w:sz w:val="21"/>
          <w:szCs w:val="21"/>
          <w:highlight w:val="none"/>
          <w:lang w:val="en-US" w:eastAsia="zh-CN" w:bidi="ar-SA"/>
        </w:rPr>
        <w:sym w:font="Wingdings" w:char="00A8"/>
      </w:r>
      <w:r>
        <w:rPr>
          <w:rFonts w:hint="eastAsia" w:ascii="宋体" w:hAnsi="宋体" w:eastAsia="宋体" w:cs="宋体"/>
          <w:iCs/>
          <w:sz w:val="21"/>
          <w:szCs w:val="21"/>
          <w:highlight w:val="none"/>
          <w:lang w:val="en-US" w:eastAsia="zh-CN" w:bidi="ar-SA"/>
        </w:rPr>
        <w:t>部分由外国投资者投资</w:t>
      </w:r>
    </w:p>
    <w:p w14:paraId="31A74597">
      <w:pPr>
        <w:numPr>
          <w:ilvl w:val="-1"/>
          <w:numId w:val="0"/>
        </w:numPr>
        <w:adjustRightInd w:val="0"/>
        <w:snapToGrid w:val="0"/>
        <w:spacing w:before="0" w:beforeLines="0" w:line="400" w:lineRule="exact"/>
        <w:ind w:firstLine="420" w:firstLineChars="200"/>
        <w:outlineLvl w:val="9"/>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default" w:ascii="宋体" w:hAnsi="宋体" w:eastAsia="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14:paraId="6362E59D">
      <w:pPr>
        <w:numPr>
          <w:ilvl w:val="-1"/>
          <w:numId w:val="0"/>
        </w:numPr>
        <w:adjustRightInd w:val="0"/>
        <w:snapToGrid w:val="0"/>
        <w:spacing w:before="0" w:beforeLines="0" w:line="400" w:lineRule="exact"/>
        <w:ind w:firstLine="840" w:firstLineChars="400"/>
        <w:outlineLvl w:val="9"/>
        <w:rPr>
          <w:rFonts w:hint="eastAsia" w:ascii="宋体" w:hAnsi="宋体" w:eastAsia="宋体" w:cs="宋体"/>
          <w:szCs w:val="21"/>
          <w:u w:val="single"/>
          <w:lang w:val="en-US" w:eastAsia="zh-CN"/>
        </w:rPr>
      </w:pPr>
      <w:r>
        <w:rPr>
          <w:rFonts w:hint="eastAsia" w:ascii="宋体" w:hAnsi="宋体" w:eastAsia="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金额：</w:t>
      </w:r>
      <w:r>
        <w:rPr>
          <w:rFonts w:hint="eastAsia" w:ascii="宋体" w:hAnsi="宋体" w:eastAsia="宋体" w:cs="宋体"/>
          <w:szCs w:val="21"/>
          <w:u w:val="single"/>
          <w:lang w:val="en-US" w:eastAsia="zh-CN"/>
        </w:rPr>
        <w:t xml:space="preserve">        </w:t>
      </w:r>
    </w:p>
    <w:p w14:paraId="3E86D265">
      <w:pPr>
        <w:numPr>
          <w:ilvl w:val="-1"/>
          <w:numId w:val="0"/>
        </w:numPr>
        <w:adjustRightInd w:val="0"/>
        <w:snapToGrid w:val="0"/>
        <w:spacing w:before="0" w:beforeLines="0" w:line="400" w:lineRule="exact"/>
        <w:ind w:firstLine="840" w:firstLineChars="400"/>
        <w:outlineLvl w:val="9"/>
        <w:rPr>
          <w:rFonts w:hint="eastAsia" w:ascii="宋体" w:hAnsi="宋体" w:eastAsia="宋体" w:cs="Times New Roman"/>
          <w:iCs w:val="0"/>
          <w:szCs w:val="21"/>
        </w:rPr>
      </w:pPr>
      <w:r>
        <w:rPr>
          <w:rFonts w:hint="eastAsia" w:ascii="宋体" w:hAnsi="宋体" w:eastAsia="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cs="Times New Roman"/>
          <w:iCs w:val="0"/>
          <w:szCs w:val="21"/>
        </w:rPr>
        <w:t xml:space="preserve">      </w:t>
      </w:r>
    </w:p>
    <w:p w14:paraId="30A52CF7">
      <w:pPr>
        <w:adjustRightInd w:val="0"/>
        <w:snapToGrid w:val="0"/>
        <w:spacing w:before="0" w:beforeLines="0" w:line="400" w:lineRule="exact"/>
        <w:ind w:firstLine="840" w:firstLineChars="400"/>
        <w:outlineLvl w:val="9"/>
        <w:rPr>
          <w:rFonts w:hint="eastAsia" w:ascii="宋体" w:hAnsi="宋体" w:eastAsia="宋体" w:cs="Times New Roman"/>
          <w:szCs w:val="21"/>
          <w:u w:val="none"/>
          <w:lang w:val="en-US" w:eastAsia="zh-CN"/>
        </w:rPr>
      </w:pPr>
      <w:r>
        <w:rPr>
          <w:rFonts w:hint="eastAsia" w:ascii="宋体" w:hAnsi="宋体" w:eastAsia="宋体" w:cs="Times New Roman"/>
          <w:iCs w:val="0"/>
          <w:szCs w:val="21"/>
          <w:lang w:val="en-US" w:eastAsia="zh-CN"/>
        </w:rPr>
        <w:t xml:space="preserve"> </w:t>
      </w:r>
      <w:r>
        <w:rPr>
          <w:rFonts w:hint="eastAsia" w:ascii="宋体" w:hAnsi="宋体" w:eastAsia="宋体" w:cs="Times New Roman"/>
          <w:iCs w:val="0"/>
          <w:szCs w:val="21"/>
        </w:rPr>
        <w:sym w:font="Wingdings" w:char="00A8"/>
      </w:r>
      <w:r>
        <w:rPr>
          <w:rFonts w:hint="eastAsia" w:ascii="宋体" w:hAnsi="宋体" w:eastAsia="宋体" w:cs="Times New Roman"/>
          <w:iCs w:val="0"/>
          <w:szCs w:val="21"/>
          <w:lang w:eastAsia="zh-CN"/>
        </w:rPr>
        <w:t>否</w:t>
      </w:r>
    </w:p>
    <w:p w14:paraId="7685B96D">
      <w:pPr>
        <w:numPr>
          <w:ilvl w:val="-1"/>
          <w:numId w:val="0"/>
        </w:numPr>
        <w:tabs>
          <w:tab w:val="left" w:pos="740"/>
        </w:tabs>
        <w:adjustRightInd w:val="0"/>
        <w:snapToGrid w:val="0"/>
        <w:spacing w:before="0" w:beforeLines="0" w:line="400" w:lineRule="exact"/>
        <w:ind w:left="0" w:firstLine="0" w:firstLineChars="0"/>
        <w:outlineLvl w:val="9"/>
        <w:rPr>
          <w:rFonts w:hint="eastAsia" w:ascii="宋体" w:hAnsi="宋体" w:eastAsia="宋体" w:cs="Times New Roman"/>
          <w:b w:val="0"/>
          <w:bCs w:val="0"/>
          <w:sz w:val="21"/>
          <w:szCs w:val="21"/>
          <w:u w:val="none"/>
          <w:lang w:val="en-US" w:eastAsia="zh-CN"/>
        </w:rPr>
      </w:pPr>
      <w:r>
        <w:rPr>
          <w:rFonts w:hint="eastAsia" w:ascii="宋体" w:hAnsi="宋体" w:eastAsia="宋体" w:cs="Times New Roman"/>
          <w:b w:val="0"/>
          <w:bCs w:val="0"/>
          <w:sz w:val="21"/>
          <w:szCs w:val="21"/>
          <w:u w:val="none"/>
          <w:lang w:val="en-US" w:eastAsia="zh-CN"/>
        </w:rPr>
        <w:t xml:space="preserve">    （1</w:t>
      </w:r>
      <w:r>
        <w:rPr>
          <w:rFonts w:hint="default" w:ascii="宋体" w:hAnsi="宋体" w:eastAsia="宋体" w:cs="Times New Roman"/>
          <w:b w:val="0"/>
          <w:bCs w:val="0"/>
          <w:sz w:val="21"/>
          <w:szCs w:val="21"/>
          <w:u w:val="none"/>
          <w:lang w:val="en" w:eastAsia="zh-CN"/>
        </w:rPr>
        <w:t>0</w:t>
      </w:r>
      <w:r>
        <w:rPr>
          <w:rFonts w:hint="eastAsia" w:ascii="宋体" w:hAnsi="宋体" w:eastAsia="宋体" w:cs="Times New Roman"/>
          <w:b w:val="0"/>
          <w:bCs w:val="0"/>
          <w:sz w:val="21"/>
          <w:szCs w:val="21"/>
          <w:u w:val="none"/>
          <w:lang w:val="en-US" w:eastAsia="zh-CN"/>
        </w:rPr>
        <w:t>）是否涉及节能产品：</w:t>
      </w:r>
    </w:p>
    <w:p w14:paraId="0EB20122">
      <w:pPr>
        <w:numPr>
          <w:ilvl w:val="-1"/>
          <w:numId w:val="0"/>
        </w:numPr>
        <w:tabs>
          <w:tab w:val="left" w:pos="740"/>
        </w:tabs>
        <w:adjustRightInd w:val="0"/>
        <w:snapToGrid w:val="0"/>
        <w:spacing w:before="0" w:beforeLines="0" w:line="400" w:lineRule="exact"/>
        <w:ind w:firstLine="0" w:firstLineChars="0"/>
        <w:outlineLvl w:val="9"/>
        <w:rPr>
          <w:rFonts w:hint="eastAsia" w:ascii="宋体" w:hAnsi="宋体" w:eastAsia="宋体" w:cs="Times New Roman"/>
          <w:iCs/>
          <w:szCs w:val="21"/>
          <w:lang w:val="en-US" w:eastAsia="zh-CN"/>
        </w:rPr>
      </w:pPr>
      <w:r>
        <w:rPr>
          <w:rFonts w:hint="eastAsia" w:ascii="宋体" w:hAnsi="宋体" w:eastAsia="宋体" w:cs="Times New Roman"/>
          <w:b w:val="0"/>
          <w:bCs w:val="0"/>
          <w:sz w:val="21"/>
          <w:szCs w:val="21"/>
          <w:u w:val="none"/>
          <w:lang w:val="en-US" w:eastAsia="zh-CN"/>
        </w:rPr>
        <w:t xml:space="preserve">         </w:t>
      </w:r>
      <w:r>
        <w:rPr>
          <w:rFonts w:hint="eastAsia" w:ascii="宋体" w:hAnsi="宋体" w:eastAsia="宋体" w:cs="Times New Roman"/>
          <w:iCs w:val="0"/>
          <w:szCs w:val="21"/>
        </w:rPr>
        <w:sym w:font="Wingdings" w:char="00A8"/>
      </w:r>
      <w:r>
        <w:rPr>
          <w:rFonts w:hint="eastAsia" w:ascii="宋体" w:hAnsi="宋体" w:eastAsia="宋体" w:cs="Times New Roman"/>
          <w:iCs w:val="0"/>
          <w:szCs w:val="21"/>
        </w:rPr>
        <w:t>是</w:t>
      </w:r>
      <w:r>
        <w:rPr>
          <w:rFonts w:hint="eastAsia" w:ascii="宋体" w:hAnsi="宋体" w:eastAsia="宋体" w:cs="Times New Roman"/>
          <w:iCs w:val="0"/>
          <w:szCs w:val="21"/>
          <w:lang w:eastAsia="zh-CN"/>
        </w:rPr>
        <w:t>，《节能产品政府采购品目清单》的底级品目名称：</w:t>
      </w:r>
      <w:r>
        <w:rPr>
          <w:rFonts w:hint="eastAsia" w:ascii="宋体" w:hAnsi="宋体" w:eastAsia="宋体" w:cs="Times New Roman"/>
          <w:szCs w:val="21"/>
          <w:u w:val="single"/>
          <w:lang w:val="en-US" w:eastAsia="zh-CN"/>
        </w:rPr>
        <w:t xml:space="preserve">         </w:t>
      </w:r>
      <w:r>
        <w:rPr>
          <w:rFonts w:hint="eastAsia" w:ascii="宋体" w:hAnsi="宋体" w:eastAsia="宋体" w:cs="Times New Roman"/>
          <w:iCs/>
          <w:szCs w:val="21"/>
          <w:lang w:val="en-US" w:eastAsia="zh-CN"/>
        </w:rPr>
        <w:t xml:space="preserve">     </w:t>
      </w:r>
    </w:p>
    <w:p w14:paraId="37CD9402">
      <w:pPr>
        <w:numPr>
          <w:ilvl w:val="-1"/>
          <w:numId w:val="0"/>
        </w:numPr>
        <w:tabs>
          <w:tab w:val="left" w:pos="740"/>
        </w:tabs>
        <w:adjustRightInd w:val="0"/>
        <w:snapToGrid w:val="0"/>
        <w:spacing w:before="0" w:beforeLines="0" w:line="400" w:lineRule="exact"/>
        <w:ind w:firstLine="0" w:firstLineChars="0"/>
        <w:outlineLvl w:val="9"/>
        <w:rPr>
          <w:rFonts w:hint="eastAsia" w:ascii="宋体" w:hAnsi="宋体" w:eastAsia="宋体" w:cs="Times New Roman"/>
          <w:iCs/>
          <w:szCs w:val="21"/>
          <w:lang w:val="en-US" w:eastAsia="zh-CN"/>
        </w:rPr>
      </w:pPr>
      <w:r>
        <w:rPr>
          <w:rFonts w:hint="eastAsia" w:ascii="宋体" w:hAnsi="宋体" w:eastAsia="宋体" w:cs="Times New Roman"/>
          <w:iCs/>
          <w:szCs w:val="21"/>
          <w:lang w:val="en-US" w:eastAsia="zh-CN"/>
        </w:rPr>
        <w:t xml:space="preserve">                </w:t>
      </w:r>
      <w:r>
        <w:rPr>
          <w:rFonts w:hint="eastAsia" w:ascii="宋体" w:hAnsi="宋体" w:eastAsia="宋体" w:cs="Times New Roman"/>
          <w:iCs/>
          <w:szCs w:val="21"/>
        </w:rPr>
        <w:sym w:font="Wingdings" w:char="00A8"/>
      </w:r>
      <w:r>
        <w:rPr>
          <w:rFonts w:hint="eastAsia" w:ascii="宋体" w:hAnsi="宋体" w:eastAsia="宋体" w:cs="Times New Roman"/>
          <w:iCs/>
          <w:szCs w:val="21"/>
          <w:lang w:eastAsia="zh-CN"/>
        </w:rPr>
        <w:t>强制采购</w:t>
      </w:r>
      <w:r>
        <w:rPr>
          <w:rFonts w:hint="eastAsia" w:ascii="宋体" w:hAnsi="宋体" w:eastAsia="宋体" w:cs="Times New Roman"/>
          <w:iCs/>
          <w:szCs w:val="21"/>
          <w:lang w:val="en-US" w:eastAsia="zh-CN"/>
        </w:rPr>
        <w:t xml:space="preserve">       </w:t>
      </w:r>
      <w:r>
        <w:rPr>
          <w:rFonts w:hint="eastAsia" w:ascii="宋体" w:hAnsi="宋体" w:eastAsia="宋体" w:cs="Times New Roman"/>
          <w:iCs/>
          <w:szCs w:val="21"/>
        </w:rPr>
        <w:sym w:font="Wingdings" w:char="00A8"/>
      </w:r>
      <w:r>
        <w:rPr>
          <w:rFonts w:hint="eastAsia" w:ascii="宋体" w:hAnsi="宋体" w:eastAsia="宋体" w:cs="Times New Roman"/>
          <w:iCs/>
          <w:szCs w:val="21"/>
          <w:lang w:eastAsia="zh-CN"/>
        </w:rPr>
        <w:t>优先采购</w:t>
      </w:r>
      <w:r>
        <w:rPr>
          <w:rFonts w:hint="eastAsia" w:ascii="宋体" w:hAnsi="宋体" w:eastAsia="宋体" w:cs="Times New Roman"/>
          <w:iCs/>
          <w:szCs w:val="21"/>
          <w:lang w:val="en-US" w:eastAsia="zh-CN"/>
        </w:rPr>
        <w:t xml:space="preserve">    </w:t>
      </w:r>
    </w:p>
    <w:p w14:paraId="7E602C02">
      <w:pPr>
        <w:numPr>
          <w:ilvl w:val="-1"/>
          <w:numId w:val="0"/>
        </w:numPr>
        <w:tabs>
          <w:tab w:val="left" w:pos="740"/>
        </w:tabs>
        <w:adjustRightInd w:val="0"/>
        <w:snapToGrid w:val="0"/>
        <w:spacing w:before="0" w:beforeLines="0" w:line="400" w:lineRule="exact"/>
        <w:ind w:firstLine="0" w:firstLineChars="0"/>
        <w:outlineLvl w:val="9"/>
        <w:rPr>
          <w:rFonts w:hint="eastAsia" w:ascii="宋体" w:hAnsi="宋体" w:eastAsia="宋体" w:cs="Times New Roman"/>
          <w:iCs w:val="0"/>
          <w:szCs w:val="21"/>
        </w:rPr>
      </w:pPr>
      <w:r>
        <w:rPr>
          <w:rFonts w:hint="eastAsia" w:ascii="宋体" w:hAnsi="宋体" w:eastAsia="宋体" w:cs="Times New Roman"/>
          <w:iCs/>
          <w:szCs w:val="21"/>
          <w:lang w:val="en-US" w:eastAsia="zh-CN"/>
        </w:rPr>
        <w:t xml:space="preserve">         </w:t>
      </w:r>
      <w:r>
        <w:rPr>
          <w:rFonts w:hint="eastAsia" w:ascii="宋体" w:hAnsi="宋体" w:eastAsia="宋体" w:cs="Times New Roman"/>
          <w:iCs w:val="0"/>
          <w:szCs w:val="21"/>
        </w:rPr>
        <w:sym w:font="Wingdings" w:char="00A8"/>
      </w:r>
      <w:r>
        <w:rPr>
          <w:rFonts w:hint="eastAsia" w:ascii="宋体" w:hAnsi="宋体" w:eastAsia="宋体" w:cs="Times New Roman"/>
          <w:iCs w:val="0"/>
          <w:szCs w:val="21"/>
        </w:rPr>
        <w:t>否</w:t>
      </w:r>
    </w:p>
    <w:p w14:paraId="14A531DC">
      <w:pPr>
        <w:numPr>
          <w:ilvl w:val="-1"/>
          <w:numId w:val="0"/>
        </w:numPr>
        <w:tabs>
          <w:tab w:val="left" w:pos="740"/>
        </w:tabs>
        <w:adjustRightInd w:val="0"/>
        <w:snapToGrid w:val="0"/>
        <w:spacing w:before="0" w:beforeLines="0" w:line="400" w:lineRule="exact"/>
        <w:ind w:left="0" w:firstLine="0" w:firstLineChars="0"/>
        <w:outlineLvl w:val="9"/>
        <w:rPr>
          <w:rFonts w:hint="eastAsia" w:ascii="宋体" w:hAnsi="宋体" w:eastAsia="宋体" w:cs="Times New Roman"/>
          <w:b w:val="0"/>
          <w:bCs w:val="0"/>
          <w:sz w:val="21"/>
          <w:szCs w:val="21"/>
          <w:u w:val="none"/>
          <w:lang w:val="en-US" w:eastAsia="zh-CN"/>
        </w:rPr>
      </w:pPr>
      <w:r>
        <w:rPr>
          <w:rFonts w:hint="eastAsia" w:ascii="宋体" w:hAnsi="宋体" w:eastAsia="宋体" w:cs="Times New Roman"/>
          <w:b w:val="0"/>
          <w:bCs w:val="0"/>
          <w:sz w:val="21"/>
          <w:szCs w:val="21"/>
          <w:u w:val="none"/>
          <w:lang w:val="en-US" w:eastAsia="zh-CN"/>
        </w:rPr>
        <w:t xml:space="preserve">          是否涉及环境标志产品：</w:t>
      </w:r>
    </w:p>
    <w:p w14:paraId="6519DD36">
      <w:pPr>
        <w:numPr>
          <w:ilvl w:val="-1"/>
          <w:numId w:val="0"/>
        </w:numPr>
        <w:tabs>
          <w:tab w:val="left" w:pos="740"/>
        </w:tabs>
        <w:adjustRightInd w:val="0"/>
        <w:snapToGrid w:val="0"/>
        <w:spacing w:before="0" w:beforeLines="0" w:line="400" w:lineRule="exact"/>
        <w:ind w:firstLine="0" w:firstLineChars="0"/>
        <w:outlineLvl w:val="9"/>
        <w:rPr>
          <w:rFonts w:hint="eastAsia" w:ascii="宋体" w:hAnsi="宋体" w:eastAsia="宋体" w:cs="Times New Roman"/>
          <w:iCs w:val="0"/>
          <w:szCs w:val="21"/>
          <w:lang w:eastAsia="zh-CN"/>
        </w:rPr>
      </w:pPr>
      <w:r>
        <w:rPr>
          <w:rFonts w:hint="eastAsia" w:ascii="宋体" w:hAnsi="宋体" w:eastAsia="宋体" w:cs="Times New Roman"/>
          <w:b w:val="0"/>
          <w:bCs w:val="0"/>
          <w:sz w:val="21"/>
          <w:szCs w:val="21"/>
          <w:u w:val="none"/>
          <w:lang w:val="en-US" w:eastAsia="zh-CN"/>
        </w:rPr>
        <w:t xml:space="preserve">         </w:t>
      </w:r>
      <w:r>
        <w:rPr>
          <w:rFonts w:hint="eastAsia" w:ascii="宋体" w:hAnsi="宋体" w:eastAsia="宋体" w:cs="Times New Roman"/>
          <w:iCs w:val="0"/>
          <w:szCs w:val="21"/>
        </w:rPr>
        <w:sym w:font="Wingdings" w:char="00A8"/>
      </w:r>
      <w:r>
        <w:rPr>
          <w:rFonts w:hint="eastAsia" w:ascii="宋体" w:hAnsi="宋体" w:eastAsia="宋体" w:cs="Times New Roman"/>
          <w:iCs w:val="0"/>
          <w:szCs w:val="21"/>
        </w:rPr>
        <w:t>是</w:t>
      </w:r>
      <w:r>
        <w:rPr>
          <w:rFonts w:hint="eastAsia" w:ascii="宋体" w:hAnsi="宋体" w:eastAsia="宋体" w:cs="Times New Roman"/>
          <w:iCs w:val="0"/>
          <w:szCs w:val="21"/>
          <w:lang w:eastAsia="zh-CN"/>
        </w:rPr>
        <w:t>，《环境标志产品政府采购品目清单》的底级品目名称：</w:t>
      </w:r>
      <w:r>
        <w:rPr>
          <w:rFonts w:hint="eastAsia" w:ascii="宋体" w:hAnsi="宋体" w:eastAsia="宋体" w:cs="Times New Roman"/>
          <w:szCs w:val="21"/>
          <w:u w:val="single"/>
          <w:lang w:val="en-US" w:eastAsia="zh-CN"/>
        </w:rPr>
        <w:t xml:space="preserve">         </w:t>
      </w:r>
      <w:r>
        <w:rPr>
          <w:rFonts w:hint="eastAsia" w:ascii="宋体" w:hAnsi="宋体" w:eastAsia="宋体" w:cs="Times New Roman"/>
          <w:iCs/>
          <w:szCs w:val="21"/>
          <w:lang w:val="en-US" w:eastAsia="zh-CN"/>
        </w:rPr>
        <w:t xml:space="preserve"> </w:t>
      </w:r>
    </w:p>
    <w:p w14:paraId="43529A31">
      <w:pPr>
        <w:numPr>
          <w:ilvl w:val="-1"/>
          <w:numId w:val="0"/>
        </w:numPr>
        <w:tabs>
          <w:tab w:val="left" w:pos="740"/>
        </w:tabs>
        <w:adjustRightInd w:val="0"/>
        <w:snapToGrid w:val="0"/>
        <w:spacing w:before="0" w:beforeLines="0" w:line="400" w:lineRule="exact"/>
        <w:ind w:firstLine="0" w:firstLineChars="0"/>
        <w:outlineLvl w:val="9"/>
        <w:rPr>
          <w:rFonts w:hint="eastAsia" w:ascii="宋体" w:hAnsi="宋体" w:eastAsia="宋体" w:cs="Times New Roman"/>
          <w:iCs/>
          <w:szCs w:val="21"/>
          <w:lang w:val="en-US" w:eastAsia="zh-CN"/>
        </w:rPr>
      </w:pPr>
      <w:r>
        <w:rPr>
          <w:rFonts w:hint="eastAsia" w:ascii="宋体" w:hAnsi="宋体" w:eastAsia="宋体" w:cs="Times New Roman"/>
          <w:iCs/>
          <w:szCs w:val="21"/>
          <w:lang w:val="en-US" w:eastAsia="zh-CN"/>
        </w:rPr>
        <w:t xml:space="preserve">                </w:t>
      </w:r>
      <w:r>
        <w:rPr>
          <w:rFonts w:hint="eastAsia" w:ascii="宋体" w:hAnsi="宋体" w:eastAsia="宋体" w:cs="Times New Roman"/>
          <w:iCs/>
          <w:szCs w:val="21"/>
        </w:rPr>
        <w:sym w:font="Wingdings" w:char="00A8"/>
      </w:r>
      <w:r>
        <w:rPr>
          <w:rFonts w:hint="eastAsia" w:ascii="宋体" w:hAnsi="宋体" w:eastAsia="宋体" w:cs="Times New Roman"/>
          <w:iCs/>
          <w:szCs w:val="21"/>
          <w:lang w:eastAsia="zh-CN"/>
        </w:rPr>
        <w:t>强制采购</w:t>
      </w:r>
      <w:r>
        <w:rPr>
          <w:rFonts w:hint="eastAsia" w:ascii="宋体" w:hAnsi="宋体" w:eastAsia="宋体" w:cs="Times New Roman"/>
          <w:iCs/>
          <w:szCs w:val="21"/>
          <w:lang w:val="en-US" w:eastAsia="zh-CN"/>
        </w:rPr>
        <w:t xml:space="preserve">       </w:t>
      </w:r>
      <w:r>
        <w:rPr>
          <w:rFonts w:hint="eastAsia" w:ascii="宋体" w:hAnsi="宋体" w:eastAsia="宋体" w:cs="Times New Roman"/>
          <w:iCs/>
          <w:szCs w:val="21"/>
        </w:rPr>
        <w:sym w:font="Wingdings" w:char="00A8"/>
      </w:r>
      <w:r>
        <w:rPr>
          <w:rFonts w:hint="eastAsia" w:ascii="宋体" w:hAnsi="宋体" w:eastAsia="宋体" w:cs="Times New Roman"/>
          <w:iCs/>
          <w:szCs w:val="21"/>
          <w:lang w:eastAsia="zh-CN"/>
        </w:rPr>
        <w:t>优先采购</w:t>
      </w:r>
      <w:r>
        <w:rPr>
          <w:rFonts w:hint="eastAsia" w:ascii="宋体" w:hAnsi="宋体" w:eastAsia="宋体" w:cs="Times New Roman"/>
          <w:iCs/>
          <w:szCs w:val="21"/>
          <w:lang w:val="en-US" w:eastAsia="zh-CN"/>
        </w:rPr>
        <w:t xml:space="preserve">    </w:t>
      </w:r>
    </w:p>
    <w:p w14:paraId="72BFB355">
      <w:pPr>
        <w:numPr>
          <w:ilvl w:val="-1"/>
          <w:numId w:val="0"/>
        </w:numPr>
        <w:tabs>
          <w:tab w:val="left" w:pos="740"/>
        </w:tabs>
        <w:adjustRightInd w:val="0"/>
        <w:snapToGrid w:val="0"/>
        <w:spacing w:before="0" w:beforeLines="0" w:line="400" w:lineRule="exact"/>
        <w:ind w:firstLine="0" w:firstLineChars="0"/>
        <w:outlineLvl w:val="9"/>
        <w:rPr>
          <w:rFonts w:hint="eastAsia" w:ascii="宋体" w:hAnsi="宋体" w:eastAsia="宋体" w:cs="Times New Roman"/>
          <w:b w:val="0"/>
          <w:bCs w:val="0"/>
          <w:sz w:val="21"/>
          <w:szCs w:val="21"/>
          <w:u w:val="none"/>
          <w:lang w:val="en-US" w:eastAsia="zh-CN"/>
        </w:rPr>
      </w:pPr>
      <w:r>
        <w:rPr>
          <w:rFonts w:hint="eastAsia" w:ascii="宋体" w:hAnsi="宋体" w:eastAsia="宋体" w:cs="Times New Roman"/>
          <w:iCs/>
          <w:szCs w:val="21"/>
          <w:lang w:val="en-US" w:eastAsia="zh-CN"/>
        </w:rPr>
        <w:t xml:space="preserve">         </w:t>
      </w:r>
      <w:r>
        <w:rPr>
          <w:rFonts w:hint="eastAsia" w:ascii="宋体" w:hAnsi="宋体" w:eastAsia="宋体" w:cs="Times New Roman"/>
          <w:iCs w:val="0"/>
          <w:szCs w:val="21"/>
        </w:rPr>
        <w:sym w:font="Wingdings" w:char="00A8"/>
      </w:r>
      <w:r>
        <w:rPr>
          <w:rFonts w:hint="eastAsia" w:ascii="宋体" w:hAnsi="宋体" w:eastAsia="宋体" w:cs="Times New Roman"/>
          <w:iCs w:val="0"/>
          <w:szCs w:val="21"/>
        </w:rPr>
        <w:t>否</w:t>
      </w:r>
    </w:p>
    <w:p w14:paraId="1C543D05">
      <w:pPr>
        <w:numPr>
          <w:ilvl w:val="-1"/>
          <w:numId w:val="0"/>
        </w:numPr>
        <w:autoSpaceDE w:val="0"/>
        <w:autoSpaceDN w:val="0"/>
        <w:adjustRightInd w:val="0"/>
        <w:snapToGrid w:val="0"/>
        <w:spacing w:before="0" w:beforeLines="0" w:line="400" w:lineRule="exact"/>
        <w:ind w:firstLine="0" w:firstLineChars="0"/>
        <w:outlineLvl w:val="9"/>
        <w:rPr>
          <w:rFonts w:hint="eastAsia" w:ascii="宋体" w:hAnsi="宋体" w:eastAsia="宋体" w:cs="Times New Roman"/>
          <w:iCs w:val="0"/>
          <w:kern w:val="2"/>
          <w:sz w:val="21"/>
          <w:szCs w:val="21"/>
          <w:u w:val="none"/>
          <w:lang w:val="en-US" w:eastAsia="zh-CN" w:bidi="ar-SA"/>
        </w:rPr>
      </w:pPr>
      <w:r>
        <w:rPr>
          <w:rFonts w:hint="eastAsia" w:ascii="宋体" w:hAnsi="宋体" w:eastAsia="华文楷体" w:cs="华文楷体"/>
          <w:b w:val="0"/>
          <w:bCs w:val="0"/>
          <w:sz w:val="21"/>
          <w:szCs w:val="21"/>
          <w:u w:val="none"/>
          <w:lang w:val="en-US" w:eastAsia="zh-CN" w:bidi="ar-SA"/>
        </w:rPr>
        <w:t xml:space="preserve">          </w:t>
      </w:r>
      <w:r>
        <w:rPr>
          <w:rFonts w:hint="eastAsia" w:ascii="宋体" w:hAnsi="宋体" w:eastAsia="宋体" w:cs="Times New Roman"/>
          <w:b w:val="0"/>
          <w:bCs w:val="0"/>
          <w:kern w:val="2"/>
          <w:sz w:val="21"/>
          <w:szCs w:val="21"/>
          <w:u w:val="none"/>
          <w:lang w:val="en-US" w:eastAsia="zh-CN" w:bidi="ar-SA"/>
        </w:rPr>
        <w:t>是否涉及绿色产品：</w:t>
      </w:r>
      <w:r>
        <w:rPr>
          <w:rFonts w:hint="eastAsia" w:ascii="宋体" w:hAnsi="宋体" w:eastAsia="宋体" w:cs="Times New Roman"/>
          <w:iCs w:val="0"/>
          <w:kern w:val="2"/>
          <w:sz w:val="21"/>
          <w:szCs w:val="21"/>
          <w:u w:val="none"/>
          <w:lang w:val="en-US" w:eastAsia="zh-CN" w:bidi="ar-SA"/>
        </w:rPr>
        <w:t xml:space="preserve"> </w:t>
      </w:r>
    </w:p>
    <w:p w14:paraId="33000875">
      <w:pPr>
        <w:autoSpaceDE w:val="0"/>
        <w:autoSpaceDN w:val="0"/>
        <w:adjustRightInd w:val="0"/>
        <w:spacing w:beforeLines="0" w:line="400" w:lineRule="exact"/>
        <w:ind w:firstLine="420" w:firstLineChars="0"/>
        <w:outlineLvl w:val="9"/>
        <w:rPr>
          <w:rFonts w:hint="eastAsia" w:ascii="宋体" w:hAnsi="宋体" w:eastAsia="宋体" w:cs="华文楷体"/>
          <w:sz w:val="22"/>
          <w:szCs w:val="21"/>
          <w:u w:val="single"/>
          <w:lang w:val="en-US" w:eastAsia="zh-CN" w:bidi="ar-SA"/>
        </w:rPr>
      </w:pPr>
      <w:r>
        <w:rPr>
          <w:rFonts w:hint="eastAsia" w:ascii="宋体" w:hAnsi="宋体" w:eastAsia="宋体" w:cs="Times New Roman"/>
          <w:iCs w:val="0"/>
          <w:kern w:val="2"/>
          <w:sz w:val="21"/>
          <w:szCs w:val="21"/>
          <w:u w:val="none"/>
          <w:lang w:val="en-US" w:eastAsia="zh-CN" w:bidi="ar-SA"/>
        </w:rPr>
        <w:t xml:space="preserve">     </w:t>
      </w:r>
      <w:r>
        <w:rPr>
          <w:rFonts w:hint="eastAsia" w:ascii="宋体" w:hAnsi="宋体" w:eastAsia="宋体" w:cs="Times New Roman"/>
          <w:iCs w:val="0"/>
          <w:kern w:val="2"/>
          <w:sz w:val="21"/>
          <w:szCs w:val="21"/>
          <w:u w:val="none"/>
          <w:lang w:val="en-US" w:eastAsia="zh-CN" w:bidi="ar-SA"/>
        </w:rPr>
        <w:sym w:font="Wingdings" w:char="00A8"/>
      </w:r>
      <w:r>
        <w:rPr>
          <w:rFonts w:hint="eastAsia" w:ascii="宋体" w:hAnsi="宋体" w:eastAsia="宋体" w:cs="Times New Roman"/>
          <w:iCs w:val="0"/>
          <w:kern w:val="2"/>
          <w:sz w:val="21"/>
          <w:szCs w:val="21"/>
          <w:u w:val="none"/>
          <w:lang w:val="en-US" w:eastAsia="zh-CN" w:bidi="ar-SA"/>
        </w:rPr>
        <w:t>是，绿色产品政府采购相关政策确定的底级品目名称：</w:t>
      </w:r>
      <w:r>
        <w:rPr>
          <w:rFonts w:hint="eastAsia" w:ascii="宋体" w:hAnsi="宋体" w:eastAsia="宋体" w:cs="华文楷体"/>
          <w:sz w:val="22"/>
          <w:szCs w:val="21"/>
          <w:u w:val="single"/>
          <w:lang w:val="en-US" w:eastAsia="zh-CN" w:bidi="ar-SA"/>
        </w:rPr>
        <w:t xml:space="preserve">         </w:t>
      </w:r>
    </w:p>
    <w:p w14:paraId="7FCA0E23">
      <w:pPr>
        <w:numPr>
          <w:ilvl w:val="-1"/>
          <w:numId w:val="0"/>
        </w:numPr>
        <w:tabs>
          <w:tab w:val="left" w:pos="740"/>
        </w:tabs>
        <w:adjustRightInd w:val="0"/>
        <w:snapToGrid w:val="0"/>
        <w:spacing w:before="0" w:beforeLines="0" w:line="400" w:lineRule="exact"/>
        <w:ind w:firstLine="0" w:firstLineChars="0"/>
        <w:outlineLvl w:val="9"/>
        <w:rPr>
          <w:rFonts w:hint="eastAsia" w:ascii="宋体" w:hAnsi="宋体" w:eastAsia="宋体" w:cs="Times New Roman"/>
          <w:iCs/>
          <w:szCs w:val="21"/>
          <w:lang w:val="en-US" w:eastAsia="zh-CN"/>
        </w:rPr>
      </w:pPr>
      <w:r>
        <w:rPr>
          <w:rFonts w:hint="eastAsia" w:ascii="宋体" w:hAnsi="宋体" w:eastAsia="宋体" w:cs="Times New Roman"/>
          <w:iCs/>
          <w:szCs w:val="21"/>
          <w:lang w:val="en-US" w:eastAsia="zh-CN"/>
        </w:rPr>
        <w:t xml:space="preserve">                </w:t>
      </w:r>
      <w:r>
        <w:rPr>
          <w:rFonts w:hint="eastAsia" w:ascii="宋体" w:hAnsi="宋体" w:eastAsia="宋体" w:cs="Times New Roman"/>
          <w:iCs/>
          <w:szCs w:val="21"/>
        </w:rPr>
        <w:sym w:font="Wingdings" w:char="00A8"/>
      </w:r>
      <w:r>
        <w:rPr>
          <w:rFonts w:hint="eastAsia" w:ascii="宋体" w:hAnsi="宋体" w:eastAsia="宋体" w:cs="Times New Roman"/>
          <w:iCs/>
          <w:szCs w:val="21"/>
          <w:lang w:eastAsia="zh-CN"/>
        </w:rPr>
        <w:t>强制采购</w:t>
      </w:r>
      <w:r>
        <w:rPr>
          <w:rFonts w:hint="eastAsia" w:ascii="宋体" w:hAnsi="宋体" w:eastAsia="宋体" w:cs="Times New Roman"/>
          <w:iCs/>
          <w:szCs w:val="21"/>
          <w:lang w:val="en-US" w:eastAsia="zh-CN"/>
        </w:rPr>
        <w:t xml:space="preserve">       </w:t>
      </w:r>
      <w:r>
        <w:rPr>
          <w:rFonts w:hint="eastAsia" w:ascii="宋体" w:hAnsi="宋体" w:eastAsia="宋体" w:cs="Times New Roman"/>
          <w:iCs/>
          <w:szCs w:val="21"/>
        </w:rPr>
        <w:sym w:font="Wingdings" w:char="00A8"/>
      </w:r>
      <w:r>
        <w:rPr>
          <w:rFonts w:hint="eastAsia" w:ascii="宋体" w:hAnsi="宋体" w:eastAsia="宋体" w:cs="Times New Roman"/>
          <w:iCs/>
          <w:szCs w:val="21"/>
          <w:lang w:eastAsia="zh-CN"/>
        </w:rPr>
        <w:t>优先采购</w:t>
      </w:r>
      <w:r>
        <w:rPr>
          <w:rFonts w:hint="eastAsia" w:ascii="宋体" w:hAnsi="宋体" w:eastAsia="宋体" w:cs="Times New Roman"/>
          <w:iCs/>
          <w:szCs w:val="21"/>
          <w:lang w:val="en-US" w:eastAsia="zh-CN"/>
        </w:rPr>
        <w:t xml:space="preserve">    </w:t>
      </w:r>
    </w:p>
    <w:p w14:paraId="49B8C7B6">
      <w:pPr>
        <w:autoSpaceDE w:val="0"/>
        <w:autoSpaceDN w:val="0"/>
        <w:adjustRightInd w:val="0"/>
        <w:spacing w:beforeLines="0" w:line="400" w:lineRule="exact"/>
        <w:ind w:firstLine="420" w:firstLineChars="0"/>
        <w:outlineLvl w:val="9"/>
        <w:rPr>
          <w:rFonts w:hint="eastAsia" w:ascii="宋体" w:hAnsi="宋体" w:eastAsia="华文楷体" w:cs="华文楷体"/>
          <w:b w:val="0"/>
          <w:bCs w:val="0"/>
          <w:sz w:val="21"/>
          <w:szCs w:val="21"/>
          <w:u w:val="none"/>
          <w:lang w:val="en-US" w:eastAsia="zh-CN" w:bidi="ar-SA"/>
        </w:rPr>
      </w:pPr>
      <w:r>
        <w:rPr>
          <w:rFonts w:hint="eastAsia" w:ascii="宋体" w:hAnsi="宋体" w:eastAsia="宋体" w:cs="Times New Roman"/>
          <w:iCs w:val="0"/>
          <w:kern w:val="2"/>
          <w:sz w:val="21"/>
          <w:szCs w:val="21"/>
          <w:u w:val="none"/>
          <w:lang w:val="en-US" w:eastAsia="zh-CN" w:bidi="ar-SA"/>
        </w:rPr>
        <w:t xml:space="preserve">     </w:t>
      </w:r>
      <w:r>
        <w:rPr>
          <w:rFonts w:hint="eastAsia" w:ascii="宋体" w:hAnsi="宋体" w:eastAsia="宋体" w:cs="Times New Roman"/>
          <w:iCs w:val="0"/>
          <w:kern w:val="2"/>
          <w:sz w:val="21"/>
          <w:szCs w:val="21"/>
          <w:u w:val="none"/>
          <w:lang w:val="en-US" w:eastAsia="zh-CN" w:bidi="ar-SA"/>
        </w:rPr>
        <w:sym w:font="Wingdings" w:char="00A8"/>
      </w:r>
      <w:r>
        <w:rPr>
          <w:rFonts w:hint="eastAsia" w:ascii="宋体" w:hAnsi="宋体" w:eastAsia="宋体" w:cs="Times New Roman"/>
          <w:iCs w:val="0"/>
          <w:kern w:val="2"/>
          <w:sz w:val="21"/>
          <w:szCs w:val="21"/>
          <w:u w:val="none"/>
          <w:lang w:val="en-US" w:eastAsia="zh-CN" w:bidi="ar-SA"/>
        </w:rPr>
        <w:t>否</w:t>
      </w:r>
    </w:p>
    <w:p w14:paraId="6EAC9C73">
      <w:pPr>
        <w:numPr>
          <w:ilvl w:val="-1"/>
          <w:numId w:val="0"/>
        </w:numPr>
        <w:adjustRightInd w:val="0"/>
        <w:snapToGrid w:val="0"/>
        <w:spacing w:before="0" w:beforeLines="0" w:line="400" w:lineRule="exact"/>
        <w:ind w:firstLine="0" w:firstLineChars="0"/>
        <w:outlineLvl w:val="9"/>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 xml:space="preserve">    （1</w:t>
      </w:r>
      <w:r>
        <w:rPr>
          <w:rFonts w:hint="default" w:ascii="宋体" w:hAnsi="宋体" w:eastAsia="宋体" w:cs="Times New Roman"/>
          <w:szCs w:val="21"/>
          <w:lang w:val="en" w:eastAsia="zh-CN"/>
        </w:rPr>
        <w:t>1</w:t>
      </w:r>
      <w:r>
        <w:rPr>
          <w:rFonts w:hint="eastAsia" w:ascii="宋体" w:hAnsi="宋体" w:eastAsia="宋体" w:cs="Times New Roman"/>
          <w:szCs w:val="21"/>
          <w:lang w:val="en-US" w:eastAsia="zh-CN"/>
        </w:rPr>
        <w:t>）涉及商品包装和快递包装的，是否参考</w:t>
      </w:r>
      <w:r>
        <w:rPr>
          <w:rFonts w:hint="eastAsia" w:ascii="宋体" w:hAnsi="宋体" w:eastAsia="宋体" w:cs="Times New Roman"/>
          <w:szCs w:val="21"/>
        </w:rPr>
        <w:t>《商品包装政府采购需求标准（试行）》、《快递包装政府采购需求标准（试行）》</w:t>
      </w:r>
      <w:r>
        <w:rPr>
          <w:rFonts w:hint="eastAsia" w:ascii="宋体" w:hAnsi="宋体" w:eastAsia="宋体" w:cs="Times New Roman"/>
          <w:szCs w:val="21"/>
          <w:lang w:eastAsia="zh-CN"/>
        </w:rPr>
        <w:t>明确产品及相关快递服务的具体包装要求：</w:t>
      </w:r>
    </w:p>
    <w:p w14:paraId="6A92E961">
      <w:pPr>
        <w:numPr>
          <w:ilvl w:val="-1"/>
          <w:numId w:val="0"/>
        </w:numPr>
        <w:adjustRightInd w:val="0"/>
        <w:snapToGrid w:val="0"/>
        <w:spacing w:before="0" w:beforeLines="0" w:line="400" w:lineRule="exact"/>
        <w:ind w:firstLine="840" w:firstLineChars="400"/>
        <w:outlineLvl w:val="9"/>
        <w:rPr>
          <w:rFonts w:hint="eastAsia" w:ascii="宋体" w:hAnsi="宋体" w:eastAsia="宋体" w:cs="Times New Roman"/>
          <w:iCs w:val="0"/>
          <w:szCs w:val="21"/>
          <w:lang w:val="en-US" w:eastAsia="zh-CN"/>
        </w:rPr>
      </w:pPr>
      <w:r>
        <w:rPr>
          <w:rFonts w:hint="eastAsia" w:ascii="宋体" w:hAnsi="宋体" w:eastAsia="宋体" w:cs="Times New Roman"/>
          <w:iCs w:val="0"/>
          <w:szCs w:val="21"/>
        </w:rPr>
        <w:sym w:font="Wingdings" w:char="00A8"/>
      </w:r>
      <w:r>
        <w:rPr>
          <w:rFonts w:hint="eastAsia" w:ascii="宋体" w:hAnsi="宋体" w:eastAsia="宋体" w:cs="Times New Roman"/>
          <w:iCs w:val="0"/>
          <w:szCs w:val="21"/>
        </w:rPr>
        <w:t xml:space="preserve">是       </w:t>
      </w:r>
      <w:r>
        <w:rPr>
          <w:rFonts w:hint="eastAsia" w:ascii="宋体" w:hAnsi="宋体" w:eastAsia="宋体" w:cs="Times New Roman"/>
          <w:iCs w:val="0"/>
          <w:szCs w:val="21"/>
        </w:rPr>
        <w:sym w:font="Wingdings" w:char="00A8"/>
      </w:r>
      <w:r>
        <w:rPr>
          <w:rFonts w:hint="eastAsia" w:ascii="宋体" w:hAnsi="宋体" w:eastAsia="宋体" w:cs="Times New Roman"/>
          <w:iCs w:val="0"/>
          <w:szCs w:val="21"/>
        </w:rPr>
        <w:t>否</w:t>
      </w:r>
      <w:r>
        <w:rPr>
          <w:rFonts w:hint="eastAsia" w:ascii="宋体" w:hAnsi="宋体" w:eastAsia="宋体" w:cs="Times New Roman"/>
          <w:iCs w:val="0"/>
          <w:szCs w:val="21"/>
          <w:lang w:val="en-US" w:eastAsia="zh-CN"/>
        </w:rPr>
        <w:t xml:space="preserve">      </w:t>
      </w:r>
      <w:r>
        <w:rPr>
          <w:rFonts w:hint="eastAsia" w:ascii="宋体" w:hAnsi="宋体" w:eastAsia="宋体" w:cs="Times New Roman"/>
          <w:iCs w:val="0"/>
          <w:szCs w:val="21"/>
        </w:rPr>
        <w:sym w:font="Wingdings" w:char="00A8"/>
      </w:r>
      <w:r>
        <w:rPr>
          <w:rFonts w:hint="eastAsia" w:ascii="宋体" w:hAnsi="宋体" w:eastAsia="宋体" w:cs="Times New Roman"/>
          <w:iCs w:val="0"/>
          <w:szCs w:val="21"/>
          <w:lang w:eastAsia="zh-CN"/>
        </w:rPr>
        <w:t>不涉及</w:t>
      </w:r>
    </w:p>
    <w:p w14:paraId="32AECFFB">
      <w:pPr>
        <w:numPr>
          <w:ilvl w:val="0"/>
          <w:numId w:val="16"/>
        </w:numPr>
        <w:adjustRightInd w:val="0"/>
        <w:snapToGrid w:val="0"/>
        <w:spacing w:before="0" w:beforeLines="0" w:line="400" w:lineRule="exact"/>
        <w:ind w:firstLine="422" w:firstLineChars="200"/>
        <w:outlineLvl w:val="9"/>
        <w:rPr>
          <w:rFonts w:ascii="宋体" w:hAnsi="宋体" w:eastAsia="宋体" w:cs="Times New Roman"/>
          <w:b/>
          <w:szCs w:val="21"/>
          <w:highlight w:val="none"/>
        </w:rPr>
      </w:pPr>
      <w:r>
        <w:rPr>
          <w:rFonts w:hint="eastAsia" w:ascii="宋体" w:hAnsi="宋体" w:eastAsia="宋体" w:cs="Times New Roman"/>
          <w:b/>
          <w:szCs w:val="21"/>
          <w:highlight w:val="none"/>
        </w:rPr>
        <w:t>合同金额</w:t>
      </w:r>
    </w:p>
    <w:p w14:paraId="0F9A2446">
      <w:pPr>
        <w:adjustRightInd w:val="0"/>
        <w:snapToGrid w:val="0"/>
        <w:spacing w:before="0" w:beforeLines="0" w:line="400" w:lineRule="exact"/>
        <w:ind w:firstLine="420" w:firstLineChars="200"/>
        <w:outlineLvl w:val="9"/>
        <w:rPr>
          <w:rFonts w:ascii="宋体" w:hAnsi="宋体" w:eastAsia="宋体" w:cs="Times New Roman"/>
          <w:szCs w:val="21"/>
        </w:rPr>
      </w:pPr>
      <w:r>
        <w:rPr>
          <w:rFonts w:hint="eastAsia" w:ascii="宋体" w:hAnsi="宋体" w:eastAsia="宋体" w:cs="Times New Roman"/>
          <w:szCs w:val="21"/>
        </w:rPr>
        <w:t>（1）合同金额小写：</w:t>
      </w:r>
      <w:r>
        <w:rPr>
          <w:rFonts w:hint="eastAsia" w:ascii="宋体" w:hAnsi="宋体" w:eastAsia="宋体" w:cs="Times New Roman"/>
          <w:szCs w:val="21"/>
          <w:u w:val="single"/>
        </w:rPr>
        <w:t xml:space="preserve">                 </w:t>
      </w:r>
      <w:r>
        <w:rPr>
          <w:rFonts w:hint="eastAsia" w:ascii="宋体" w:hAnsi="宋体" w:eastAsia="宋体" w:cs="Times New Roman"/>
          <w:szCs w:val="21"/>
          <w:u w:val="single"/>
          <w:lang w:val="en-US" w:eastAsia="zh-CN"/>
        </w:rPr>
        <w:t xml:space="preserve">    </w:t>
      </w:r>
      <w:r>
        <w:rPr>
          <w:rFonts w:hint="eastAsia" w:ascii="宋体" w:hAnsi="宋体" w:eastAsia="宋体" w:cs="Times New Roman"/>
          <w:szCs w:val="21"/>
          <w:u w:val="single"/>
        </w:rPr>
        <w:t xml:space="preserve">      </w:t>
      </w:r>
    </w:p>
    <w:p w14:paraId="623A7EC1">
      <w:pPr>
        <w:adjustRightInd w:val="0"/>
        <w:snapToGrid w:val="0"/>
        <w:spacing w:before="0" w:beforeLines="0" w:line="400" w:lineRule="exact"/>
        <w:ind w:left="0" w:firstLine="0" w:firstLineChars="0"/>
        <w:outlineLvl w:val="9"/>
        <w:rPr>
          <w:rFonts w:ascii="宋体" w:hAnsi="宋体" w:eastAsia="宋体" w:cs="Times New Roman"/>
          <w:szCs w:val="21"/>
          <w:u w:val="single"/>
        </w:rPr>
      </w:pPr>
      <w:r>
        <w:rPr>
          <w:rFonts w:hint="eastAsia" w:ascii="宋体" w:hAnsi="宋体" w:eastAsia="宋体" w:cs="Times New Roman"/>
          <w:szCs w:val="21"/>
          <w:lang w:val="en-US" w:eastAsia="zh-CN"/>
        </w:rPr>
        <w:t xml:space="preserve">                 </w:t>
      </w:r>
      <w:r>
        <w:rPr>
          <w:rFonts w:hint="eastAsia" w:ascii="宋体" w:hAnsi="宋体" w:eastAsia="宋体" w:cs="Times New Roman"/>
          <w:szCs w:val="21"/>
        </w:rPr>
        <w:t>大写：</w:t>
      </w:r>
      <w:r>
        <w:rPr>
          <w:rFonts w:hint="eastAsia" w:ascii="宋体" w:hAnsi="宋体" w:eastAsia="宋体" w:cs="Times New Roman"/>
          <w:szCs w:val="21"/>
          <w:u w:val="single"/>
        </w:rPr>
        <w:t xml:space="preserve">           </w:t>
      </w:r>
      <w:r>
        <w:rPr>
          <w:rFonts w:hint="eastAsia" w:ascii="宋体" w:hAnsi="宋体" w:eastAsia="宋体" w:cs="Times New Roman"/>
          <w:szCs w:val="21"/>
          <w:u w:val="single"/>
          <w:lang w:val="en-US" w:eastAsia="zh-CN"/>
        </w:rPr>
        <w:t xml:space="preserve"> </w:t>
      </w:r>
      <w:r>
        <w:rPr>
          <w:rFonts w:hint="eastAsia" w:ascii="宋体" w:hAnsi="宋体" w:eastAsia="宋体" w:cs="Times New Roman"/>
          <w:szCs w:val="21"/>
          <w:u w:val="single"/>
        </w:rPr>
        <w:t xml:space="preserve">     </w:t>
      </w:r>
      <w:r>
        <w:rPr>
          <w:rFonts w:hint="eastAsia" w:ascii="宋体" w:hAnsi="宋体" w:eastAsia="宋体" w:cs="Times New Roman"/>
          <w:szCs w:val="21"/>
          <w:u w:val="single"/>
          <w:lang w:val="en-US" w:eastAsia="zh-CN"/>
        </w:rPr>
        <w:t xml:space="preserve">    </w:t>
      </w:r>
      <w:r>
        <w:rPr>
          <w:rFonts w:hint="eastAsia" w:ascii="宋体" w:hAnsi="宋体" w:eastAsia="宋体" w:cs="Times New Roman"/>
          <w:szCs w:val="21"/>
          <w:u w:val="single"/>
        </w:rPr>
        <w:t xml:space="preserve">      </w:t>
      </w:r>
    </w:p>
    <w:p w14:paraId="26BD07C5">
      <w:pPr>
        <w:adjustRightInd w:val="0"/>
        <w:snapToGrid w:val="0"/>
        <w:spacing w:before="0" w:beforeLines="0" w:line="400" w:lineRule="exact"/>
        <w:ind w:firstLine="0" w:firstLineChars="0"/>
        <w:outlineLvl w:val="9"/>
        <w:rPr>
          <w:rFonts w:ascii="宋体" w:hAnsi="宋体" w:eastAsia="宋体" w:cs="Times New Roman"/>
          <w:szCs w:val="21"/>
        </w:rPr>
      </w:pPr>
      <w:r>
        <w:rPr>
          <w:rFonts w:hint="eastAsia" w:ascii="宋体" w:hAnsi="宋体" w:eastAsia="宋体" w:cs="Times New Roman"/>
          <w:szCs w:val="21"/>
          <w:lang w:val="en-US" w:eastAsia="zh-CN"/>
        </w:rPr>
        <w:t xml:space="preserve">         </w:t>
      </w:r>
      <w:r>
        <w:rPr>
          <w:rFonts w:hint="eastAsia" w:ascii="宋体" w:hAnsi="宋体" w:eastAsia="宋体" w:cs="Times New Roman"/>
          <w:szCs w:val="21"/>
        </w:rPr>
        <w:t>分包金额</w:t>
      </w:r>
      <w:r>
        <w:rPr>
          <w:rFonts w:hint="eastAsia" w:ascii="宋体" w:hAnsi="宋体" w:eastAsia="宋体" w:cs="Times New Roman"/>
          <w:szCs w:val="21"/>
          <w:lang w:eastAsia="zh-CN"/>
        </w:rPr>
        <w:t>（如有）</w:t>
      </w:r>
      <w:r>
        <w:rPr>
          <w:rFonts w:hint="eastAsia" w:ascii="宋体" w:hAnsi="宋体" w:eastAsia="宋体" w:cs="Times New Roman"/>
          <w:szCs w:val="21"/>
        </w:rPr>
        <w:t>小写：</w:t>
      </w:r>
      <w:r>
        <w:rPr>
          <w:rFonts w:hint="eastAsia" w:ascii="宋体" w:hAnsi="宋体" w:eastAsia="宋体" w:cs="Times New Roman"/>
          <w:szCs w:val="21"/>
          <w:u w:val="single"/>
        </w:rPr>
        <w:t xml:space="preserve">                   </w:t>
      </w:r>
    </w:p>
    <w:p w14:paraId="48E0732D">
      <w:pPr>
        <w:adjustRightInd w:val="0"/>
        <w:snapToGrid w:val="0"/>
        <w:spacing w:before="0" w:beforeLines="0" w:line="400" w:lineRule="exact"/>
        <w:ind w:firstLine="0" w:firstLineChars="0"/>
        <w:outlineLvl w:val="9"/>
        <w:rPr>
          <w:rFonts w:hint="eastAsia" w:ascii="宋体" w:hAnsi="宋体" w:eastAsia="宋体" w:cs="Times New Roman"/>
          <w:szCs w:val="21"/>
          <w:u w:val="single"/>
        </w:rPr>
      </w:pPr>
      <w:r>
        <w:rPr>
          <w:rFonts w:hint="eastAsia" w:ascii="宋体" w:hAnsi="宋体" w:eastAsia="宋体" w:cs="Times New Roman"/>
          <w:szCs w:val="21"/>
          <w:lang w:val="en-US" w:eastAsia="zh-CN"/>
        </w:rPr>
        <w:t xml:space="preserve">                     </w:t>
      </w:r>
      <w:r>
        <w:rPr>
          <w:rFonts w:hint="eastAsia" w:ascii="宋体" w:hAnsi="宋体" w:eastAsia="宋体" w:cs="Times New Roman"/>
          <w:szCs w:val="21"/>
        </w:rPr>
        <w:t>大写：</w:t>
      </w:r>
      <w:r>
        <w:rPr>
          <w:rFonts w:hint="eastAsia" w:ascii="宋体" w:hAnsi="宋体" w:eastAsia="宋体" w:cs="Times New Roman"/>
          <w:szCs w:val="21"/>
          <w:u w:val="single"/>
        </w:rPr>
        <w:t xml:space="preserve">                   </w:t>
      </w:r>
      <w:r>
        <w:rPr>
          <w:rFonts w:hint="eastAsia" w:ascii="宋体" w:hAnsi="宋体" w:eastAsia="宋体" w:cs="Times New Roman"/>
          <w:szCs w:val="21"/>
          <w:u w:val="single"/>
          <w:lang w:val="en-US" w:eastAsia="zh-CN"/>
        </w:rPr>
        <w:t xml:space="preserve"> </w:t>
      </w:r>
      <w:r>
        <w:rPr>
          <w:rFonts w:hint="eastAsia" w:ascii="宋体" w:hAnsi="宋体" w:eastAsia="宋体" w:cs="Times New Roman"/>
          <w:szCs w:val="21"/>
          <w:u w:val="single"/>
        </w:rPr>
        <w:t xml:space="preserve">   </w:t>
      </w:r>
    </w:p>
    <w:p w14:paraId="09F5BE8D">
      <w:pPr>
        <w:adjustRightInd w:val="0"/>
        <w:snapToGrid w:val="0"/>
        <w:spacing w:before="0" w:beforeLines="0" w:line="400" w:lineRule="exact"/>
        <w:ind w:firstLine="0" w:firstLineChars="0"/>
        <w:outlineLvl w:val="9"/>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 xml:space="preserve">    （注：固定单价合同应填写单价和最高限价）</w:t>
      </w:r>
    </w:p>
    <w:p w14:paraId="2DB604DE">
      <w:pPr>
        <w:numPr>
          <w:ilvl w:val="-1"/>
          <w:numId w:val="0"/>
        </w:numPr>
        <w:adjustRightInd w:val="0"/>
        <w:snapToGrid w:val="0"/>
        <w:spacing w:before="0" w:beforeLines="0" w:line="400" w:lineRule="exact"/>
        <w:ind w:firstLine="0" w:firstLineChars="0"/>
        <w:outlineLvl w:val="9"/>
        <w:rPr>
          <w:rFonts w:hint="eastAsia" w:ascii="宋体" w:hAnsi="宋体" w:eastAsia="宋体" w:cs="Times New Roman"/>
          <w:szCs w:val="21"/>
        </w:rPr>
      </w:pPr>
      <w:r>
        <w:rPr>
          <w:rFonts w:hint="eastAsia" w:ascii="宋体" w:hAnsi="宋体" w:eastAsia="宋体" w:cs="Times New Roman"/>
          <w:szCs w:val="21"/>
          <w:lang w:val="en-US" w:eastAsia="zh-CN"/>
        </w:rPr>
        <w:t xml:space="preserve">    </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2</w:t>
      </w:r>
      <w:r>
        <w:rPr>
          <w:rFonts w:hint="eastAsia" w:ascii="宋体" w:hAnsi="宋体" w:eastAsia="宋体" w:cs="Times New Roman"/>
          <w:szCs w:val="21"/>
          <w:lang w:eastAsia="zh-CN"/>
        </w:rPr>
        <w:t>）</w:t>
      </w:r>
      <w:r>
        <w:rPr>
          <w:rFonts w:hint="eastAsia" w:ascii="宋体" w:hAnsi="宋体" w:eastAsia="宋体" w:cs="Times New Roman"/>
          <w:szCs w:val="21"/>
        </w:rPr>
        <w:t>合同定价方式</w:t>
      </w:r>
      <w:r>
        <w:rPr>
          <w:rFonts w:hint="eastAsia" w:ascii="宋体" w:hAnsi="宋体" w:eastAsia="宋体" w:cs="Times New Roman"/>
          <w:szCs w:val="21"/>
          <w:lang w:eastAsia="zh-CN"/>
        </w:rPr>
        <w:t>（采用组合定价方式的，可以勾选多项）</w:t>
      </w:r>
      <w:r>
        <w:rPr>
          <w:rFonts w:hint="eastAsia" w:ascii="宋体" w:hAnsi="宋体" w:eastAsia="宋体" w:cs="Times New Roman"/>
          <w:szCs w:val="21"/>
        </w:rPr>
        <w:t>：</w:t>
      </w:r>
    </w:p>
    <w:p w14:paraId="0DE6AE38">
      <w:pPr>
        <w:adjustRightInd w:val="0"/>
        <w:snapToGrid w:val="0"/>
        <w:spacing w:before="0" w:beforeLines="0" w:line="400" w:lineRule="exact"/>
        <w:ind w:firstLine="420" w:firstLineChars="200"/>
        <w:outlineLvl w:val="9"/>
        <w:rPr>
          <w:rFonts w:hint="eastAsia" w:ascii="宋体" w:hAnsi="宋体" w:eastAsia="宋体" w:cs="Times New Roman"/>
          <w:szCs w:val="21"/>
          <w:lang w:eastAsia="zh-CN"/>
        </w:rPr>
      </w:pPr>
      <w:r>
        <w:rPr>
          <w:rFonts w:hint="eastAsia" w:ascii="宋体" w:hAnsi="宋体" w:eastAsia="宋体" w:cs="Times New Roman"/>
          <w:iCs/>
          <w:szCs w:val="21"/>
          <w:lang w:val="en-US" w:eastAsia="zh-CN"/>
        </w:rPr>
        <w:t xml:space="preserve">  </w:t>
      </w:r>
      <w:r>
        <w:rPr>
          <w:rFonts w:hint="eastAsia" w:ascii="宋体" w:hAnsi="宋体" w:eastAsia="宋体" w:cs="Times New Roman"/>
          <w:iCs/>
          <w:szCs w:val="21"/>
        </w:rPr>
        <w:sym w:font="Wingdings" w:char="00A8"/>
      </w:r>
      <w:r>
        <w:rPr>
          <w:rFonts w:hint="eastAsia" w:ascii="宋体" w:hAnsi="宋体" w:eastAsia="宋体" w:cs="Times New Roman"/>
          <w:iCs/>
          <w:szCs w:val="21"/>
        </w:rPr>
        <w:t xml:space="preserve">固定总价 </w:t>
      </w:r>
      <w:r>
        <w:rPr>
          <w:rFonts w:hint="eastAsia" w:ascii="宋体" w:hAnsi="宋体" w:eastAsia="宋体" w:cs="Times New Roman"/>
          <w:iCs/>
          <w:szCs w:val="21"/>
        </w:rPr>
        <w:sym w:font="Wingdings" w:char="00A8"/>
      </w:r>
      <w:r>
        <w:rPr>
          <w:rFonts w:hint="eastAsia" w:ascii="宋体" w:hAnsi="宋体" w:eastAsia="宋体" w:cs="Times New Roman"/>
          <w:iCs/>
          <w:szCs w:val="21"/>
        </w:rPr>
        <w:t>固定单价</w:t>
      </w:r>
      <w:r>
        <w:rPr>
          <w:rFonts w:hint="eastAsia" w:ascii="宋体" w:hAnsi="宋体" w:eastAsia="宋体" w:cs="Times New Roman"/>
          <w:iCs/>
          <w:szCs w:val="21"/>
          <w:lang w:val="en-US" w:eastAsia="zh-CN"/>
        </w:rPr>
        <w:t xml:space="preserve"> </w:t>
      </w:r>
      <w:r>
        <w:rPr>
          <w:rFonts w:hint="eastAsia" w:ascii="宋体" w:hAnsi="宋体" w:eastAsia="宋体" w:cs="Times New Roman"/>
          <w:iCs/>
          <w:szCs w:val="21"/>
        </w:rPr>
        <w:sym w:font="Wingdings" w:char="00A8"/>
      </w:r>
      <w:r>
        <w:rPr>
          <w:rFonts w:hint="eastAsia" w:ascii="宋体" w:hAnsi="宋体" w:eastAsia="宋体" w:cs="Times New Roman"/>
          <w:iCs/>
          <w:szCs w:val="21"/>
          <w:lang w:eastAsia="zh-CN"/>
        </w:rPr>
        <w:t>固定费率</w:t>
      </w:r>
      <w:r>
        <w:rPr>
          <w:rFonts w:hint="eastAsia" w:ascii="宋体" w:hAnsi="宋体" w:eastAsia="宋体" w:cs="Times New Roman"/>
          <w:iCs/>
          <w:szCs w:val="21"/>
        </w:rPr>
        <w:t xml:space="preserve"> </w:t>
      </w:r>
      <w:r>
        <w:rPr>
          <w:rFonts w:hint="eastAsia" w:ascii="宋体" w:hAnsi="宋体" w:eastAsia="宋体" w:cs="Times New Roman"/>
          <w:iCs/>
          <w:szCs w:val="21"/>
        </w:rPr>
        <w:sym w:font="Wingdings" w:char="00A8"/>
      </w:r>
      <w:r>
        <w:rPr>
          <w:rFonts w:hint="eastAsia" w:ascii="宋体" w:hAnsi="宋体" w:eastAsia="宋体" w:cs="Times New Roman"/>
          <w:iCs/>
          <w:szCs w:val="21"/>
        </w:rPr>
        <w:t xml:space="preserve">成本补偿 </w:t>
      </w:r>
      <w:r>
        <w:rPr>
          <w:rFonts w:hint="eastAsia" w:ascii="宋体" w:hAnsi="宋体" w:eastAsia="宋体" w:cs="Times New Roman"/>
          <w:iCs/>
          <w:szCs w:val="21"/>
        </w:rPr>
        <w:sym w:font="Wingdings" w:char="00A8"/>
      </w:r>
      <w:r>
        <w:rPr>
          <w:rFonts w:hint="eastAsia" w:ascii="宋体" w:hAnsi="宋体" w:eastAsia="宋体" w:cs="Times New Roman"/>
          <w:iCs/>
          <w:szCs w:val="21"/>
        </w:rPr>
        <w:t>绩效激励</w:t>
      </w:r>
      <w:r>
        <w:rPr>
          <w:rFonts w:hint="eastAsia" w:ascii="宋体" w:hAnsi="宋体" w:eastAsia="宋体" w:cs="Times New Roman"/>
          <w:iCs/>
          <w:szCs w:val="21"/>
          <w:lang w:val="en-US" w:eastAsia="zh-CN"/>
        </w:rPr>
        <w:t xml:space="preserve"> </w:t>
      </w:r>
      <w:r>
        <w:rPr>
          <w:rFonts w:hint="eastAsia" w:ascii="宋体" w:hAnsi="宋体" w:eastAsia="宋体" w:cs="Times New Roman"/>
          <w:iCs/>
          <w:szCs w:val="21"/>
        </w:rPr>
        <w:sym w:font="Wingdings" w:char="00A8"/>
      </w:r>
      <w:r>
        <w:rPr>
          <w:rFonts w:hint="eastAsia" w:ascii="宋体" w:hAnsi="宋体" w:eastAsia="宋体" w:cs="Times New Roman"/>
          <w:iCs/>
          <w:szCs w:val="21"/>
          <w:lang w:eastAsia="zh-CN"/>
        </w:rPr>
        <w:t>其他</w:t>
      </w:r>
      <w:r>
        <w:rPr>
          <w:rFonts w:hint="eastAsia" w:ascii="宋体" w:hAnsi="宋体" w:eastAsia="宋体" w:cs="Times New Roman"/>
          <w:szCs w:val="21"/>
          <w:u w:val="single"/>
        </w:rPr>
        <w:t xml:space="preserve">       </w:t>
      </w:r>
    </w:p>
    <w:p w14:paraId="18076D8A">
      <w:pPr>
        <w:widowControl w:val="0"/>
        <w:spacing w:beforeLines="0" w:line="400" w:lineRule="exact"/>
        <w:ind w:firstLine="420" w:firstLineChars="200"/>
        <w:jc w:val="both"/>
        <w:outlineLvl w:val="9"/>
        <w:rPr>
          <w:rFonts w:ascii="Times New Roman" w:hAnsi="Times New Roman"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（3）付款方式（按项目实际勾选填写）：</w:t>
      </w:r>
    </w:p>
    <w:p w14:paraId="3ACED685">
      <w:pPr>
        <w:adjustRightInd w:val="0"/>
        <w:snapToGrid w:val="0"/>
        <w:spacing w:before="0" w:beforeLines="0" w:line="400" w:lineRule="exact"/>
        <w:ind w:firstLine="630" w:firstLineChars="300"/>
        <w:outlineLvl w:val="9"/>
        <w:rPr>
          <w:rFonts w:ascii="宋体" w:hAnsi="宋体" w:eastAsia="宋体" w:cs="Times New Roman"/>
          <w:szCs w:val="21"/>
          <w:u w:val="single"/>
        </w:rPr>
      </w:pPr>
      <w:r>
        <w:rPr>
          <w:rFonts w:hint="eastAsia" w:ascii="宋体" w:hAnsi="宋体" w:eastAsia="宋体" w:cs="Times New Roman"/>
          <w:szCs w:val="21"/>
        </w:rPr>
        <w:sym w:font="Wingdings" w:char="00A8"/>
      </w:r>
      <w:r>
        <w:rPr>
          <w:rFonts w:hint="eastAsia" w:ascii="宋体" w:hAnsi="宋体" w:eastAsia="宋体" w:cs="Times New Roman"/>
          <w:szCs w:val="21"/>
        </w:rPr>
        <w:t>全额付款：</w:t>
      </w:r>
      <w:r>
        <w:rPr>
          <w:rFonts w:hint="eastAsia" w:ascii="宋体" w:hAnsi="宋体" w:eastAsia="宋体" w:cs="Times New Roman"/>
          <w:szCs w:val="21"/>
          <w:u w:val="single"/>
        </w:rPr>
        <w:t xml:space="preserve">     （应</w:t>
      </w:r>
      <w:r>
        <w:rPr>
          <w:rFonts w:hint="eastAsia" w:ascii="宋体" w:hAnsi="宋体" w:eastAsia="宋体" w:cs="Times New Roman"/>
          <w:szCs w:val="21"/>
          <w:u w:val="single"/>
          <w:lang w:eastAsia="zh-CN"/>
        </w:rPr>
        <w:t>明确</w:t>
      </w:r>
      <w:r>
        <w:rPr>
          <w:rFonts w:hint="eastAsia" w:ascii="宋体" w:hAnsi="宋体" w:eastAsia="宋体" w:cs="Times New Roman"/>
          <w:szCs w:val="21"/>
          <w:u w:val="single"/>
        </w:rPr>
        <w:t>一次性支付合同款项</w:t>
      </w:r>
      <w:r>
        <w:rPr>
          <w:rFonts w:hint="eastAsia" w:ascii="宋体" w:hAnsi="宋体" w:eastAsia="宋体" w:cs="Times New Roman"/>
          <w:szCs w:val="21"/>
          <w:u w:val="single"/>
          <w:lang w:eastAsia="zh-CN"/>
        </w:rPr>
        <w:t>的条件</w:t>
      </w:r>
      <w:r>
        <w:rPr>
          <w:rFonts w:hint="eastAsia" w:ascii="宋体" w:hAnsi="宋体" w:eastAsia="宋体" w:cs="Times New Roman"/>
          <w:szCs w:val="21"/>
          <w:u w:val="single"/>
        </w:rPr>
        <w:t xml:space="preserve">）                    </w:t>
      </w:r>
    </w:p>
    <w:p w14:paraId="4C81D19A">
      <w:pPr>
        <w:snapToGrid w:val="0"/>
        <w:spacing w:beforeLines="0" w:line="400" w:lineRule="exact"/>
        <w:ind w:firstLine="630" w:firstLineChars="300"/>
        <w:outlineLvl w:val="9"/>
        <w:rPr>
          <w:rFonts w:ascii="Times New Roman" w:hAnsi="Times New Roman" w:eastAsia="宋体" w:cs="Times New Roman"/>
          <w:szCs w:val="24"/>
        </w:rPr>
      </w:pPr>
      <w:r>
        <w:rPr>
          <w:rFonts w:hint="eastAsia" w:ascii="宋体" w:hAnsi="宋体" w:eastAsia="宋体" w:cs="Times New Roman"/>
          <w:szCs w:val="21"/>
        </w:rPr>
        <w:sym w:font="Wingdings" w:char="00A8"/>
      </w:r>
      <w:r>
        <w:rPr>
          <w:rFonts w:hint="eastAsia" w:ascii="宋体" w:hAnsi="宋体" w:eastAsia="宋体" w:cs="Times New Roman"/>
          <w:szCs w:val="21"/>
        </w:rPr>
        <w:t>分期付款：</w:t>
      </w:r>
      <w:r>
        <w:rPr>
          <w:rFonts w:hint="eastAsia" w:ascii="宋体" w:hAnsi="宋体" w:eastAsia="宋体" w:cs="Times New Roman"/>
          <w:szCs w:val="21"/>
          <w:u w:val="single"/>
        </w:rPr>
        <w:t xml:space="preserve">  （应明确分期支付合同款项的各期比例和支付条件</w:t>
      </w:r>
      <w:r>
        <w:rPr>
          <w:rFonts w:hint="eastAsia" w:ascii="宋体" w:hAnsi="宋体" w:eastAsia="宋体" w:cs="Times New Roman"/>
          <w:szCs w:val="21"/>
          <w:u w:val="single"/>
          <w:lang w:eastAsia="zh-CN"/>
        </w:rPr>
        <w:t>，各期支付条件应与分期履约验收情况挂钩</w:t>
      </w:r>
      <w:r>
        <w:rPr>
          <w:rFonts w:hint="eastAsia" w:ascii="宋体" w:hAnsi="宋体" w:eastAsia="宋体" w:cs="Times New Roman"/>
          <w:szCs w:val="21"/>
          <w:u w:val="single"/>
        </w:rPr>
        <w:t xml:space="preserve">） </w:t>
      </w:r>
      <w:r>
        <w:rPr>
          <w:rFonts w:hint="eastAsia" w:ascii="宋体" w:hAnsi="宋体" w:eastAsia="宋体" w:cs="Times New Roman"/>
          <w:szCs w:val="21"/>
          <w:u w:val="none"/>
          <w:lang w:eastAsia="zh-CN"/>
        </w:rPr>
        <w:t>，</w:t>
      </w:r>
      <w:r>
        <w:rPr>
          <w:rFonts w:hint="eastAsia" w:ascii="宋体" w:hAnsi="宋体" w:eastAsia="宋体" w:cs="Times New Roman"/>
          <w:szCs w:val="21"/>
          <w:lang w:eastAsia="zh-CN"/>
        </w:rPr>
        <w:t>其中涉及预付款的</w:t>
      </w:r>
      <w:r>
        <w:rPr>
          <w:rFonts w:hint="eastAsia" w:ascii="宋体" w:hAnsi="宋体" w:eastAsia="宋体" w:cs="Times New Roman"/>
          <w:szCs w:val="21"/>
        </w:rPr>
        <w:t>：</w:t>
      </w:r>
      <w:r>
        <w:rPr>
          <w:rFonts w:hint="eastAsia" w:ascii="宋体" w:hAnsi="宋体" w:eastAsia="宋体" w:cs="Times New Roman"/>
          <w:szCs w:val="21"/>
          <w:u w:val="single"/>
        </w:rPr>
        <w:t xml:space="preserve"> （应明确预付款的支付比例和支付条件） </w:t>
      </w:r>
    </w:p>
    <w:p w14:paraId="68DA1C3D">
      <w:pPr>
        <w:adjustRightInd w:val="0"/>
        <w:snapToGrid w:val="0"/>
        <w:spacing w:before="0" w:beforeLines="0" w:line="400" w:lineRule="exact"/>
        <w:ind w:firstLine="630" w:firstLineChars="300"/>
        <w:outlineLvl w:val="9"/>
        <w:rPr>
          <w:rFonts w:ascii="宋体" w:hAnsi="宋体" w:eastAsia="宋体" w:cs="Times New Roman"/>
          <w:szCs w:val="21"/>
          <w:u w:val="single"/>
        </w:rPr>
      </w:pPr>
      <w:r>
        <w:rPr>
          <w:rFonts w:hint="eastAsia" w:ascii="宋体" w:hAnsi="宋体" w:eastAsia="宋体" w:cs="Times New Roman"/>
          <w:szCs w:val="21"/>
        </w:rPr>
        <w:sym w:font="Wingdings" w:char="00A8"/>
      </w:r>
      <w:r>
        <w:rPr>
          <w:rFonts w:hint="eastAsia" w:ascii="宋体" w:hAnsi="宋体" w:eastAsia="宋体" w:cs="Times New Roman"/>
          <w:szCs w:val="21"/>
        </w:rPr>
        <w:t>成本补偿：</w:t>
      </w:r>
      <w:r>
        <w:rPr>
          <w:rFonts w:hint="eastAsia" w:ascii="宋体" w:hAnsi="宋体" w:eastAsia="宋体" w:cs="Times New Roman"/>
          <w:szCs w:val="21"/>
          <w:u w:val="single"/>
        </w:rPr>
        <w:t xml:space="preserve">      （应明确按照成本补偿方式的支付方式和支付条件）   </w:t>
      </w:r>
    </w:p>
    <w:p w14:paraId="745895FB">
      <w:pPr>
        <w:adjustRightInd w:val="0"/>
        <w:snapToGrid w:val="0"/>
        <w:spacing w:before="0" w:beforeLines="0" w:line="400" w:lineRule="exact"/>
        <w:ind w:firstLine="630" w:firstLineChars="300"/>
        <w:outlineLvl w:val="9"/>
        <w:rPr>
          <w:rFonts w:ascii="宋体" w:hAnsi="宋体" w:eastAsia="宋体" w:cs="Times New Roman"/>
          <w:szCs w:val="21"/>
        </w:rPr>
      </w:pPr>
      <w:r>
        <w:rPr>
          <w:rFonts w:hint="eastAsia" w:ascii="宋体" w:hAnsi="宋体" w:eastAsia="宋体" w:cs="Times New Roman"/>
          <w:szCs w:val="21"/>
        </w:rPr>
        <w:sym w:font="Wingdings" w:char="00A8"/>
      </w:r>
      <w:r>
        <w:rPr>
          <w:rFonts w:hint="eastAsia" w:ascii="宋体" w:hAnsi="宋体" w:eastAsia="宋体" w:cs="Times New Roman"/>
          <w:szCs w:val="21"/>
        </w:rPr>
        <w:t>绩效激励：</w:t>
      </w:r>
      <w:r>
        <w:rPr>
          <w:rFonts w:hint="eastAsia" w:ascii="宋体" w:hAnsi="宋体" w:eastAsia="宋体" w:cs="Times New Roman"/>
          <w:szCs w:val="21"/>
          <w:u w:val="single"/>
        </w:rPr>
        <w:t xml:space="preserve">      （应明确按照绩效激励方式的支付方式和支付条件）   </w:t>
      </w:r>
    </w:p>
    <w:p w14:paraId="1BB9B08F">
      <w:pPr>
        <w:numPr>
          <w:ilvl w:val="0"/>
          <w:numId w:val="16"/>
        </w:numPr>
        <w:adjustRightInd w:val="0"/>
        <w:snapToGrid w:val="0"/>
        <w:spacing w:before="0" w:beforeLines="0" w:line="400" w:lineRule="exact"/>
        <w:ind w:firstLine="422" w:firstLineChars="200"/>
        <w:outlineLvl w:val="9"/>
        <w:rPr>
          <w:rFonts w:ascii="宋体" w:hAnsi="宋体" w:eastAsia="宋体" w:cs="Times New Roman"/>
          <w:b/>
          <w:bCs w:val="0"/>
          <w:szCs w:val="21"/>
          <w:u w:val="single"/>
        </w:rPr>
      </w:pPr>
      <w:r>
        <w:rPr>
          <w:rFonts w:hint="eastAsia" w:ascii="宋体" w:hAnsi="宋体" w:eastAsia="宋体" w:cs="Times New Roman"/>
          <w:b/>
          <w:bCs w:val="0"/>
          <w:szCs w:val="21"/>
        </w:rPr>
        <w:t>合同履行</w:t>
      </w:r>
    </w:p>
    <w:p w14:paraId="6D6A4E7D">
      <w:pPr>
        <w:adjustRightInd w:val="0"/>
        <w:snapToGrid w:val="0"/>
        <w:spacing w:before="0" w:beforeLines="0" w:line="400" w:lineRule="exact"/>
        <w:ind w:firstLine="420" w:firstLineChars="200"/>
        <w:outlineLvl w:val="9"/>
        <w:rPr>
          <w:rFonts w:hint="eastAsia" w:ascii="宋体" w:hAnsi="宋体" w:eastAsia="宋体" w:cs="宋体"/>
          <w:szCs w:val="21"/>
        </w:rPr>
      </w:pPr>
      <w:r>
        <w:rPr>
          <w:rFonts w:hint="eastAsia" w:ascii="宋体" w:hAnsi="宋体" w:eastAsia="宋体" w:cs="宋体"/>
          <w:szCs w:val="21"/>
        </w:rPr>
        <w:t>（1）起始日期：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日，完成日期：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3FD37035">
      <w:pPr>
        <w:adjustRightInd w:val="0"/>
        <w:snapToGrid w:val="0"/>
        <w:spacing w:before="0" w:beforeLines="0" w:line="400" w:lineRule="exact"/>
        <w:ind w:firstLine="420" w:firstLineChars="200"/>
        <w:outlineLvl w:val="9"/>
        <w:rPr>
          <w:rFonts w:hint="eastAsia" w:ascii="宋体" w:hAnsi="宋体" w:eastAsia="宋体" w:cs="宋体"/>
          <w:szCs w:val="21"/>
          <w:u w:val="single"/>
        </w:rPr>
      </w:pPr>
      <w:r>
        <w:rPr>
          <w:rFonts w:hint="eastAsia" w:ascii="宋体" w:hAnsi="宋体" w:eastAsia="宋体" w:cs="宋体"/>
          <w:szCs w:val="21"/>
        </w:rPr>
        <w:t>（2）</w:t>
      </w:r>
      <w:r>
        <w:rPr>
          <w:rFonts w:hint="eastAsia" w:ascii="宋体" w:hAnsi="宋体" w:eastAsia="宋体" w:cs="宋体"/>
          <w:szCs w:val="21"/>
          <w:lang w:eastAsia="zh-CN"/>
        </w:rPr>
        <w:t>履约</w:t>
      </w:r>
      <w:r>
        <w:rPr>
          <w:rFonts w:hint="eastAsia" w:ascii="宋体" w:hAnsi="宋体" w:eastAsia="宋体" w:cs="宋体"/>
          <w:szCs w:val="21"/>
        </w:rPr>
        <w:t>地点</w:t>
      </w:r>
      <w:r>
        <w:rPr>
          <w:rFonts w:hint="eastAsia" w:ascii="宋体" w:hAnsi="宋体" w:eastAsia="宋体" w:cs="宋体"/>
          <w:b w:val="0"/>
          <w:bCs/>
          <w:szCs w:val="21"/>
        </w:rPr>
        <w:t>：</w:t>
      </w:r>
      <w:r>
        <w:rPr>
          <w:rFonts w:hint="eastAsia" w:ascii="宋体" w:hAnsi="宋体" w:eastAsia="宋体" w:cs="宋体"/>
          <w:szCs w:val="21"/>
          <w:u w:val="single"/>
        </w:rPr>
        <w:t xml:space="preserve">                             </w:t>
      </w:r>
    </w:p>
    <w:p w14:paraId="0A8AC536">
      <w:pPr>
        <w:adjustRightInd w:val="0"/>
        <w:snapToGrid w:val="0"/>
        <w:spacing w:before="0" w:beforeLines="0" w:line="400" w:lineRule="exact"/>
        <w:ind w:firstLine="420" w:firstLineChars="200"/>
        <w:outlineLvl w:val="9"/>
        <w:rPr>
          <w:rFonts w:hint="eastAsia" w:ascii="宋体" w:hAnsi="宋体" w:eastAsia="宋体" w:cs="宋体"/>
          <w:sz w:val="21"/>
          <w:szCs w:val="21"/>
          <w:lang w:eastAsia="zh-CN"/>
        </w:rPr>
      </w:pPr>
      <w:r>
        <w:rPr>
          <w:rFonts w:hint="eastAsia" w:ascii="宋体" w:hAnsi="宋体" w:eastAsia="宋体" w:cs="宋体"/>
          <w:bCs/>
          <w:szCs w:val="21"/>
        </w:rPr>
        <w:t>（3）履约担保：</w:t>
      </w:r>
      <w:r>
        <w:rPr>
          <w:rFonts w:hint="eastAsia" w:ascii="宋体" w:hAnsi="宋体" w:eastAsia="宋体" w:cs="宋体"/>
          <w:sz w:val="21"/>
          <w:szCs w:val="24"/>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14:paraId="433D590C">
      <w:pPr>
        <w:autoSpaceDE w:val="0"/>
        <w:autoSpaceDN w:val="0"/>
        <w:adjustRightInd w:val="0"/>
        <w:spacing w:beforeLines="0" w:line="400" w:lineRule="exact"/>
        <w:ind w:firstLine="440" w:firstLineChars="200"/>
        <w:outlineLvl w:val="9"/>
        <w:rPr>
          <w:rFonts w:hint="eastAsia" w:ascii="宋体" w:hAnsi="宋体" w:eastAsia="宋体" w:cs="宋体"/>
          <w:sz w:val="21"/>
          <w:szCs w:val="21"/>
          <w:lang w:val="en-US" w:eastAsia="zh-CN" w:bidi="ar-SA"/>
        </w:rPr>
      </w:pPr>
      <w:r>
        <w:rPr>
          <w:rFonts w:hint="eastAsia" w:ascii="宋体" w:hAnsi="宋体" w:eastAsia="华文楷体" w:cs="宋体"/>
          <w:bCs/>
          <w:sz w:val="22"/>
          <w:szCs w:val="21"/>
          <w:u w:val="none"/>
          <w:lang w:val="en-US" w:eastAsia="zh-CN" w:bidi="ar-SA"/>
        </w:rPr>
        <w:t xml:space="preserve">  </w:t>
      </w:r>
      <w:r>
        <w:rPr>
          <w:rFonts w:hint="eastAsia" w:ascii="宋体" w:hAnsi="宋体" w:eastAsia="宋体" w:cs="宋体"/>
          <w:sz w:val="21"/>
          <w:szCs w:val="21"/>
          <w:lang w:val="en-US" w:eastAsia="zh-CN" w:bidi="ar-SA"/>
        </w:rPr>
        <w:t xml:space="preserve">  收取履约保证金形式：</w:t>
      </w:r>
      <w:r>
        <w:rPr>
          <w:rFonts w:hint="eastAsia" w:ascii="宋体" w:hAnsi="宋体" w:eastAsia="宋体" w:cs="宋体"/>
          <w:bCs/>
          <w:sz w:val="21"/>
          <w:szCs w:val="21"/>
          <w:u w:val="single"/>
          <w:lang w:val="en-US" w:eastAsia="zh-CN" w:bidi="ar-SA"/>
        </w:rPr>
        <w:t xml:space="preserve">                            </w:t>
      </w:r>
    </w:p>
    <w:p w14:paraId="6749FE65">
      <w:pPr>
        <w:autoSpaceDE w:val="0"/>
        <w:autoSpaceDN w:val="0"/>
        <w:adjustRightInd w:val="0"/>
        <w:spacing w:beforeLines="0" w:line="400" w:lineRule="exact"/>
        <w:ind w:firstLine="420" w:firstLineChars="200"/>
        <w:outlineLvl w:val="9"/>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 xml:space="preserve">    收取履约保证金金额：</w:t>
      </w:r>
      <w:r>
        <w:rPr>
          <w:rFonts w:hint="eastAsia" w:ascii="宋体" w:hAnsi="宋体" w:eastAsia="宋体" w:cs="宋体"/>
          <w:bCs/>
          <w:sz w:val="21"/>
          <w:szCs w:val="21"/>
          <w:u w:val="single"/>
          <w:lang w:val="en-US" w:eastAsia="zh-CN" w:bidi="ar-SA"/>
        </w:rPr>
        <w:t xml:space="preserve">                            </w:t>
      </w:r>
    </w:p>
    <w:p w14:paraId="5AFE5B3B">
      <w:pPr>
        <w:snapToGrid w:val="0"/>
        <w:spacing w:beforeLines="0" w:line="400" w:lineRule="exact"/>
        <w:ind w:firstLine="420" w:firstLineChars="200"/>
        <w:outlineLvl w:val="9"/>
        <w:rPr>
          <w:rFonts w:hint="eastAsia" w:ascii="宋体" w:hAnsi="宋体" w:eastAsia="宋体" w:cs="宋体"/>
          <w:sz w:val="21"/>
          <w:szCs w:val="24"/>
          <w:lang w:val="en-US" w:eastAsia="zh-CN"/>
        </w:rPr>
      </w:pPr>
      <w:r>
        <w:rPr>
          <w:rFonts w:hint="eastAsia" w:ascii="宋体" w:hAnsi="宋体" w:eastAsia="宋体" w:cs="宋体"/>
          <w:bCs/>
          <w:szCs w:val="21"/>
          <w:u w:val="none"/>
          <w:lang w:val="en-US" w:eastAsia="zh-CN"/>
        </w:rPr>
        <w:t xml:space="preserve">    履约担保期限</w:t>
      </w:r>
      <w:r>
        <w:rPr>
          <w:rFonts w:hint="eastAsia" w:ascii="宋体" w:hAnsi="宋体" w:eastAsia="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eastAsia="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14:paraId="43ADABF7">
      <w:pPr>
        <w:adjustRightInd w:val="0"/>
        <w:snapToGrid w:val="0"/>
        <w:spacing w:before="0" w:beforeLines="0" w:line="400" w:lineRule="exact"/>
        <w:ind w:firstLine="420" w:firstLineChars="200"/>
        <w:outlineLvl w:val="9"/>
        <w:rPr>
          <w:rFonts w:hint="eastAsia" w:ascii="宋体" w:hAnsi="宋体" w:eastAsia="宋体" w:cs="宋体"/>
          <w:bCs/>
          <w:szCs w:val="21"/>
        </w:rPr>
      </w:pPr>
      <w:r>
        <w:rPr>
          <w:rFonts w:hint="eastAsia" w:ascii="宋体" w:hAnsi="宋体" w:eastAsia="宋体" w:cs="宋体"/>
          <w:bCs/>
          <w:szCs w:val="21"/>
        </w:rPr>
        <w:t>（4）分期履行要求：</w:t>
      </w:r>
      <w:r>
        <w:rPr>
          <w:rFonts w:hint="eastAsia" w:ascii="宋体" w:hAnsi="宋体" w:eastAsia="宋体" w:cs="宋体"/>
          <w:bCs/>
          <w:szCs w:val="21"/>
          <w:u w:val="single"/>
        </w:rPr>
        <w:t xml:space="preserve">                                                   </w:t>
      </w:r>
      <w:r>
        <w:rPr>
          <w:rFonts w:hint="eastAsia" w:ascii="宋体" w:hAnsi="宋体" w:eastAsia="宋体" w:cs="宋体"/>
          <w:bCs/>
          <w:szCs w:val="21"/>
          <w:u w:val="single"/>
          <w:lang w:val="en-US" w:eastAsia="zh-CN"/>
        </w:rPr>
        <w:t xml:space="preserve">    </w:t>
      </w:r>
      <w:r>
        <w:rPr>
          <w:rFonts w:hint="eastAsia" w:ascii="宋体" w:hAnsi="宋体" w:eastAsia="宋体" w:cs="宋体"/>
          <w:bCs/>
          <w:szCs w:val="21"/>
          <w:u w:val="single"/>
        </w:rPr>
        <w:t xml:space="preserve"> </w:t>
      </w:r>
    </w:p>
    <w:p w14:paraId="3F5DB986">
      <w:pPr>
        <w:adjustRightInd w:val="0"/>
        <w:snapToGrid w:val="0"/>
        <w:spacing w:before="0" w:beforeLines="0" w:line="400" w:lineRule="exact"/>
        <w:ind w:firstLine="420" w:firstLineChars="200"/>
        <w:outlineLvl w:val="9"/>
        <w:rPr>
          <w:rFonts w:hint="eastAsia" w:ascii="宋体" w:hAnsi="宋体" w:eastAsia="宋体" w:cs="宋体"/>
          <w:szCs w:val="21"/>
          <w:u w:val="single"/>
        </w:rPr>
      </w:pPr>
      <w:r>
        <w:rPr>
          <w:rFonts w:hint="eastAsia" w:ascii="宋体" w:hAnsi="宋体" w:eastAsia="宋体" w:cs="宋体"/>
          <w:bCs/>
          <w:szCs w:val="21"/>
        </w:rPr>
        <w:t>（5）</w:t>
      </w:r>
      <w:r>
        <w:rPr>
          <w:rFonts w:hint="eastAsia" w:ascii="宋体" w:hAnsi="宋体" w:eastAsia="宋体" w:cs="宋体"/>
          <w:bCs/>
          <w:szCs w:val="21"/>
          <w:lang w:eastAsia="zh-CN"/>
        </w:rPr>
        <w:t>风险处置措施和替代方案</w:t>
      </w:r>
      <w:r>
        <w:rPr>
          <w:rFonts w:hint="eastAsia" w:ascii="宋体" w:hAnsi="宋体" w:eastAsia="宋体" w:cs="宋体"/>
          <w:bCs/>
          <w:szCs w:val="21"/>
        </w:rPr>
        <w:t>：</w:t>
      </w:r>
      <w:r>
        <w:rPr>
          <w:rFonts w:hint="eastAsia" w:ascii="宋体" w:hAnsi="宋体" w:eastAsia="宋体" w:cs="宋体"/>
          <w:color w:val="0000FF"/>
          <w:szCs w:val="21"/>
          <w:u w:val="single"/>
        </w:rPr>
        <w:t xml:space="preserve"> </w:t>
      </w:r>
      <w:r>
        <w:rPr>
          <w:rFonts w:hint="eastAsia" w:ascii="宋体" w:hAnsi="宋体" w:eastAsia="宋体" w:cs="宋体"/>
          <w:color w:val="000000"/>
          <w:szCs w:val="21"/>
          <w:u w:val="single"/>
        </w:rPr>
        <w:t xml:space="preserve">              </w:t>
      </w:r>
      <w:r>
        <w:rPr>
          <w:rFonts w:hint="eastAsia" w:ascii="宋体" w:hAnsi="宋体" w:eastAsia="宋体" w:cs="宋体"/>
          <w:szCs w:val="21"/>
          <w:u w:val="single"/>
        </w:rPr>
        <w:t xml:space="preserve">                                                </w:t>
      </w:r>
    </w:p>
    <w:p w14:paraId="5EA620DE">
      <w:pPr>
        <w:numPr>
          <w:ilvl w:val="0"/>
          <w:numId w:val="16"/>
        </w:numPr>
        <w:adjustRightInd w:val="0"/>
        <w:snapToGrid w:val="0"/>
        <w:spacing w:before="0" w:beforeLines="0" w:line="400" w:lineRule="exact"/>
        <w:ind w:firstLine="422" w:firstLineChars="200"/>
        <w:outlineLvl w:val="9"/>
        <w:rPr>
          <w:rFonts w:ascii="宋体" w:hAnsi="宋体" w:eastAsia="宋体" w:cs="Times New Roman"/>
          <w:b/>
          <w:szCs w:val="21"/>
        </w:rPr>
      </w:pPr>
      <w:r>
        <w:rPr>
          <w:rFonts w:hint="eastAsia" w:ascii="宋体" w:hAnsi="宋体" w:eastAsia="宋体" w:cs="Times New Roman"/>
          <w:b/>
          <w:szCs w:val="21"/>
        </w:rPr>
        <w:t>合同验收</w:t>
      </w:r>
    </w:p>
    <w:p w14:paraId="3FC2605C">
      <w:pPr>
        <w:numPr>
          <w:ilvl w:val="0"/>
          <w:numId w:val="18"/>
        </w:numPr>
        <w:adjustRightInd w:val="0"/>
        <w:snapToGrid w:val="0"/>
        <w:spacing w:before="0" w:beforeLines="0" w:line="400" w:lineRule="exact"/>
        <w:ind w:firstLine="420" w:firstLineChars="200"/>
        <w:outlineLvl w:val="9"/>
        <w:rPr>
          <w:rFonts w:hint="eastAsia" w:ascii="宋体" w:hAnsi="宋体" w:eastAsia="宋体" w:cs="Times New Roman"/>
          <w:bCs/>
          <w:szCs w:val="21"/>
        </w:rPr>
      </w:pPr>
      <w:r>
        <w:rPr>
          <w:rFonts w:hint="eastAsia" w:ascii="宋体" w:hAnsi="宋体" w:eastAsia="宋体" w:cs="Times New Roman"/>
          <w:bCs/>
          <w:szCs w:val="21"/>
        </w:rPr>
        <w:t>验收组织方式：</w:t>
      </w:r>
      <w:r>
        <w:rPr>
          <w:rFonts w:hint="eastAsia" w:ascii="宋体" w:hAnsi="宋体" w:eastAsia="宋体" w:cs="宋体"/>
          <w:sz w:val="21"/>
          <w:szCs w:val="21"/>
        </w:rPr>
        <w:sym w:font="Wingdings" w:char="00A8"/>
      </w:r>
      <w:r>
        <w:rPr>
          <w:rFonts w:hint="eastAsia" w:ascii="宋体" w:hAnsi="宋体" w:eastAsia="宋体" w:cs="Times New Roman"/>
          <w:bCs/>
          <w:szCs w:val="21"/>
        </w:rPr>
        <w:t xml:space="preserve">自行组织 </w:t>
      </w:r>
      <w:r>
        <w:rPr>
          <w:rFonts w:hint="eastAsia" w:ascii="宋体" w:hAnsi="宋体" w:eastAsia="宋体" w:cs="宋体"/>
          <w:sz w:val="21"/>
          <w:szCs w:val="21"/>
        </w:rPr>
        <w:sym w:font="Wingdings" w:char="00A8"/>
      </w:r>
      <w:r>
        <w:rPr>
          <w:rFonts w:hint="eastAsia" w:ascii="宋体" w:hAnsi="宋体" w:eastAsia="宋体" w:cs="Times New Roman"/>
          <w:bCs/>
          <w:szCs w:val="21"/>
        </w:rPr>
        <w:t>委托第三方组织</w:t>
      </w:r>
    </w:p>
    <w:p w14:paraId="69C53C12">
      <w:pPr>
        <w:numPr>
          <w:ilvl w:val="0"/>
          <w:numId w:val="0"/>
        </w:numPr>
        <w:adjustRightInd w:val="0"/>
        <w:snapToGrid w:val="0"/>
        <w:spacing w:before="0" w:beforeLines="0" w:line="400" w:lineRule="exact"/>
        <w:outlineLvl w:val="9"/>
        <w:rPr>
          <w:rFonts w:ascii="宋体" w:hAnsi="宋体" w:eastAsia="宋体" w:cs="Times New Roman"/>
          <w:bCs/>
          <w:szCs w:val="21"/>
        </w:rPr>
      </w:pPr>
      <w:r>
        <w:rPr>
          <w:rFonts w:hint="eastAsia" w:ascii="宋体" w:hAnsi="宋体" w:eastAsia="宋体" w:cs="Times New Roman"/>
          <w:bCs/>
          <w:szCs w:val="21"/>
          <w:lang w:val="en-US" w:eastAsia="zh-CN"/>
        </w:rPr>
        <w:t xml:space="preserve">         </w:t>
      </w:r>
      <w:r>
        <w:rPr>
          <w:rFonts w:hint="eastAsia" w:ascii="宋体" w:hAnsi="宋体" w:eastAsia="宋体" w:cs="Times New Roman"/>
          <w:bCs/>
          <w:szCs w:val="21"/>
        </w:rPr>
        <w:t>验收主体：</w:t>
      </w:r>
      <w:r>
        <w:rPr>
          <w:rFonts w:hint="eastAsia" w:ascii="宋体" w:hAnsi="宋体" w:eastAsia="宋体" w:cs="Times New Roman"/>
          <w:bCs/>
          <w:szCs w:val="21"/>
          <w:u w:val="single"/>
        </w:rPr>
        <w:t xml:space="preserve">                  </w:t>
      </w:r>
    </w:p>
    <w:p w14:paraId="5503D792">
      <w:pPr>
        <w:adjustRightInd w:val="0"/>
        <w:snapToGrid w:val="0"/>
        <w:spacing w:before="0" w:beforeLines="0" w:line="400" w:lineRule="exact"/>
        <w:ind w:firstLine="0" w:firstLineChars="0"/>
        <w:outlineLvl w:val="9"/>
        <w:rPr>
          <w:rFonts w:ascii="宋体" w:hAnsi="宋体" w:eastAsia="宋体" w:cs="Times New Roman"/>
          <w:bCs/>
          <w:szCs w:val="21"/>
        </w:rPr>
      </w:pPr>
      <w:r>
        <w:rPr>
          <w:rFonts w:hint="eastAsia" w:ascii="宋体" w:hAnsi="宋体" w:eastAsia="宋体" w:cs="Times New Roman"/>
          <w:bCs/>
          <w:szCs w:val="21"/>
          <w:lang w:val="en-US" w:eastAsia="zh-CN"/>
        </w:rPr>
        <w:t xml:space="preserve">        </w:t>
      </w:r>
      <w:r>
        <w:rPr>
          <w:rFonts w:hint="eastAsia" w:ascii="宋体" w:hAnsi="宋体" w:eastAsia="宋体" w:cs="Times New Roman"/>
          <w:bCs/>
          <w:szCs w:val="21"/>
        </w:rPr>
        <w:t>是否邀请本项目的其他供应商</w:t>
      </w:r>
      <w:r>
        <w:rPr>
          <w:rFonts w:hint="eastAsia" w:ascii="宋体" w:hAnsi="宋体" w:eastAsia="宋体" w:cs="Times New Roman"/>
          <w:bCs/>
          <w:szCs w:val="21"/>
          <w:lang w:eastAsia="zh-CN"/>
        </w:rPr>
        <w:t>参加验收</w:t>
      </w:r>
      <w:r>
        <w:rPr>
          <w:rFonts w:hint="eastAsia" w:ascii="宋体" w:hAnsi="宋体" w:eastAsia="宋体" w:cs="Times New Roman"/>
          <w:bCs/>
          <w:szCs w:val="21"/>
        </w:rPr>
        <w:t>：</w:t>
      </w:r>
      <w:r>
        <w:rPr>
          <w:rFonts w:hint="eastAsia" w:ascii="宋体" w:hAnsi="宋体" w:eastAsia="宋体" w:cs="宋体"/>
          <w:sz w:val="21"/>
          <w:szCs w:val="21"/>
        </w:rPr>
        <w:sym w:font="Wingdings" w:char="00A8"/>
      </w:r>
      <w:r>
        <w:rPr>
          <w:rFonts w:hint="eastAsia" w:ascii="宋体" w:hAnsi="宋体" w:eastAsia="宋体" w:cs="Times New Roman"/>
          <w:bCs/>
          <w:szCs w:val="21"/>
        </w:rPr>
        <w:t xml:space="preserve">是  </w:t>
      </w:r>
      <w:r>
        <w:rPr>
          <w:rFonts w:hint="eastAsia" w:ascii="宋体" w:hAnsi="宋体" w:eastAsia="宋体" w:cs="宋体"/>
          <w:sz w:val="21"/>
          <w:szCs w:val="21"/>
        </w:rPr>
        <w:sym w:font="Wingdings" w:char="00A8"/>
      </w:r>
      <w:r>
        <w:rPr>
          <w:rFonts w:hint="eastAsia" w:ascii="宋体" w:hAnsi="宋体" w:eastAsia="宋体" w:cs="Times New Roman"/>
          <w:bCs/>
          <w:szCs w:val="21"/>
        </w:rPr>
        <w:t>否</w:t>
      </w:r>
    </w:p>
    <w:p w14:paraId="191DC648">
      <w:pPr>
        <w:adjustRightInd w:val="0"/>
        <w:snapToGrid w:val="0"/>
        <w:spacing w:before="0" w:beforeLines="0" w:line="400" w:lineRule="exact"/>
        <w:ind w:firstLine="840" w:firstLineChars="400"/>
        <w:outlineLvl w:val="9"/>
        <w:rPr>
          <w:rFonts w:ascii="宋体" w:hAnsi="宋体" w:eastAsia="宋体" w:cs="Times New Roman"/>
          <w:bCs/>
          <w:szCs w:val="21"/>
        </w:rPr>
      </w:pPr>
      <w:r>
        <w:rPr>
          <w:rFonts w:hint="eastAsia" w:ascii="宋体" w:hAnsi="宋体" w:eastAsia="宋体" w:cs="Times New Roman"/>
          <w:bCs/>
          <w:szCs w:val="21"/>
        </w:rPr>
        <w:t>是否邀请专家</w:t>
      </w:r>
      <w:r>
        <w:rPr>
          <w:rFonts w:hint="eastAsia" w:ascii="宋体" w:hAnsi="宋体" w:eastAsia="宋体" w:cs="Times New Roman"/>
          <w:bCs/>
          <w:szCs w:val="21"/>
          <w:lang w:eastAsia="zh-CN"/>
        </w:rPr>
        <w:t>参加验收</w:t>
      </w:r>
      <w:r>
        <w:rPr>
          <w:rFonts w:hint="eastAsia" w:ascii="宋体" w:hAnsi="宋体" w:eastAsia="宋体" w:cs="Times New Roman"/>
          <w:bCs/>
          <w:szCs w:val="21"/>
        </w:rPr>
        <w:t>：</w:t>
      </w:r>
      <w:r>
        <w:rPr>
          <w:rFonts w:hint="eastAsia" w:ascii="宋体" w:hAnsi="宋体" w:eastAsia="宋体" w:cs="宋体"/>
          <w:sz w:val="21"/>
          <w:szCs w:val="21"/>
        </w:rPr>
        <w:sym w:font="Wingdings" w:char="00A8"/>
      </w:r>
      <w:r>
        <w:rPr>
          <w:rFonts w:hint="eastAsia" w:ascii="宋体" w:hAnsi="宋体" w:eastAsia="宋体" w:cs="Times New Roman"/>
          <w:bCs/>
          <w:szCs w:val="21"/>
        </w:rPr>
        <w:t xml:space="preserve">是  </w:t>
      </w:r>
      <w:r>
        <w:rPr>
          <w:rFonts w:hint="eastAsia" w:ascii="宋体" w:hAnsi="宋体" w:eastAsia="宋体" w:cs="宋体"/>
          <w:sz w:val="21"/>
          <w:szCs w:val="21"/>
        </w:rPr>
        <w:sym w:font="Wingdings" w:char="00A8"/>
      </w:r>
      <w:r>
        <w:rPr>
          <w:rFonts w:hint="eastAsia" w:ascii="宋体" w:hAnsi="宋体" w:eastAsia="宋体" w:cs="Times New Roman"/>
          <w:bCs/>
          <w:szCs w:val="21"/>
        </w:rPr>
        <w:t>否</w:t>
      </w:r>
    </w:p>
    <w:p w14:paraId="0C024C4C">
      <w:pPr>
        <w:adjustRightInd w:val="0"/>
        <w:snapToGrid w:val="0"/>
        <w:spacing w:before="0" w:beforeLines="0" w:line="400" w:lineRule="exact"/>
        <w:ind w:firstLine="840" w:firstLineChars="400"/>
        <w:outlineLvl w:val="9"/>
        <w:rPr>
          <w:rFonts w:ascii="宋体" w:hAnsi="宋体" w:eastAsia="宋体" w:cs="Times New Roman"/>
          <w:bCs/>
          <w:szCs w:val="21"/>
        </w:rPr>
      </w:pPr>
      <w:r>
        <w:rPr>
          <w:rFonts w:hint="eastAsia" w:ascii="宋体" w:hAnsi="宋体" w:eastAsia="宋体" w:cs="Times New Roman"/>
          <w:bCs/>
          <w:szCs w:val="21"/>
        </w:rPr>
        <w:t>是否邀请服务对象</w:t>
      </w:r>
      <w:r>
        <w:rPr>
          <w:rFonts w:hint="eastAsia" w:ascii="宋体" w:hAnsi="宋体" w:eastAsia="宋体" w:cs="Times New Roman"/>
          <w:bCs/>
          <w:szCs w:val="21"/>
          <w:lang w:eastAsia="zh-CN"/>
        </w:rPr>
        <w:t>参加验收</w:t>
      </w:r>
      <w:r>
        <w:rPr>
          <w:rFonts w:hint="eastAsia" w:ascii="宋体" w:hAnsi="宋体" w:eastAsia="宋体" w:cs="Times New Roman"/>
          <w:bCs/>
          <w:szCs w:val="21"/>
        </w:rPr>
        <w:t>：</w:t>
      </w:r>
      <w:r>
        <w:rPr>
          <w:rFonts w:hint="eastAsia" w:ascii="宋体" w:hAnsi="宋体" w:eastAsia="宋体" w:cs="宋体"/>
          <w:sz w:val="21"/>
          <w:szCs w:val="21"/>
        </w:rPr>
        <w:sym w:font="Wingdings" w:char="00A8"/>
      </w:r>
      <w:r>
        <w:rPr>
          <w:rFonts w:hint="eastAsia" w:ascii="宋体" w:hAnsi="宋体" w:eastAsia="宋体" w:cs="Times New Roman"/>
          <w:bCs/>
          <w:szCs w:val="21"/>
        </w:rPr>
        <w:t xml:space="preserve">是  </w:t>
      </w:r>
      <w:r>
        <w:rPr>
          <w:rFonts w:hint="eastAsia" w:ascii="宋体" w:hAnsi="宋体" w:eastAsia="宋体" w:cs="宋体"/>
          <w:sz w:val="21"/>
          <w:szCs w:val="21"/>
        </w:rPr>
        <w:sym w:font="Wingdings" w:char="00A8"/>
      </w:r>
      <w:r>
        <w:rPr>
          <w:rFonts w:hint="eastAsia" w:ascii="宋体" w:hAnsi="宋体" w:eastAsia="宋体" w:cs="Times New Roman"/>
          <w:bCs/>
          <w:szCs w:val="21"/>
        </w:rPr>
        <w:t>否</w:t>
      </w:r>
    </w:p>
    <w:p w14:paraId="07D08C7A">
      <w:pPr>
        <w:adjustRightInd w:val="0"/>
        <w:snapToGrid w:val="0"/>
        <w:spacing w:before="0" w:beforeLines="0" w:line="400" w:lineRule="exact"/>
        <w:ind w:firstLine="840" w:firstLineChars="400"/>
        <w:outlineLvl w:val="9"/>
        <w:rPr>
          <w:rFonts w:ascii="宋体" w:hAnsi="宋体" w:eastAsia="宋体" w:cs="Times New Roman"/>
          <w:bCs/>
          <w:szCs w:val="21"/>
        </w:rPr>
      </w:pPr>
      <w:r>
        <w:rPr>
          <w:rFonts w:hint="eastAsia" w:ascii="宋体" w:hAnsi="宋体" w:eastAsia="宋体" w:cs="Times New Roman"/>
          <w:bCs/>
          <w:szCs w:val="21"/>
        </w:rPr>
        <w:t>是否邀请第三方检测机构</w:t>
      </w:r>
      <w:r>
        <w:rPr>
          <w:rFonts w:hint="eastAsia" w:ascii="宋体" w:hAnsi="宋体" w:eastAsia="宋体" w:cs="Times New Roman"/>
          <w:bCs/>
          <w:szCs w:val="21"/>
          <w:lang w:eastAsia="zh-CN"/>
        </w:rPr>
        <w:t>参加验收</w:t>
      </w:r>
      <w:r>
        <w:rPr>
          <w:rFonts w:hint="eastAsia" w:ascii="宋体" w:hAnsi="宋体" w:eastAsia="宋体" w:cs="Times New Roman"/>
          <w:bCs/>
          <w:szCs w:val="21"/>
        </w:rPr>
        <w:t>：</w:t>
      </w:r>
      <w:r>
        <w:rPr>
          <w:rFonts w:hint="eastAsia" w:ascii="宋体" w:hAnsi="宋体" w:eastAsia="宋体" w:cs="宋体"/>
          <w:sz w:val="21"/>
          <w:szCs w:val="21"/>
        </w:rPr>
        <w:sym w:font="Wingdings" w:char="00A8"/>
      </w:r>
      <w:r>
        <w:rPr>
          <w:rFonts w:hint="eastAsia" w:ascii="宋体" w:hAnsi="宋体" w:eastAsia="宋体" w:cs="Times New Roman"/>
          <w:bCs/>
          <w:szCs w:val="21"/>
        </w:rPr>
        <w:t xml:space="preserve">是  </w:t>
      </w:r>
      <w:r>
        <w:rPr>
          <w:rFonts w:hint="eastAsia" w:ascii="宋体" w:hAnsi="宋体" w:eastAsia="宋体" w:cs="宋体"/>
          <w:sz w:val="21"/>
          <w:szCs w:val="21"/>
        </w:rPr>
        <w:sym w:font="Wingdings" w:char="00A8"/>
      </w:r>
      <w:r>
        <w:rPr>
          <w:rFonts w:hint="eastAsia" w:ascii="宋体" w:hAnsi="宋体" w:eastAsia="宋体" w:cs="Times New Roman"/>
          <w:bCs/>
          <w:szCs w:val="21"/>
        </w:rPr>
        <w:t>否</w:t>
      </w:r>
    </w:p>
    <w:p w14:paraId="1A74E95B">
      <w:pPr>
        <w:adjustRightInd w:val="0"/>
        <w:snapToGrid w:val="0"/>
        <w:spacing w:before="0" w:beforeLines="0" w:line="400" w:lineRule="exact"/>
        <w:ind w:firstLine="840" w:firstLineChars="400"/>
        <w:outlineLvl w:val="9"/>
        <w:rPr>
          <w:rFonts w:hint="eastAsia" w:ascii="宋体" w:hAnsi="宋体" w:eastAsia="宋体" w:cs="Times New Roman"/>
          <w:bCs/>
          <w:szCs w:val="21"/>
        </w:rPr>
      </w:pPr>
      <w:r>
        <w:rPr>
          <w:rFonts w:hint="eastAsia" w:ascii="宋体" w:hAnsi="宋体" w:eastAsia="宋体" w:cs="Times New Roman"/>
          <w:bCs/>
          <w:szCs w:val="21"/>
          <w:lang w:eastAsia="zh-CN"/>
        </w:rPr>
        <w:t>是否进行抽查检测：</w:t>
      </w:r>
      <w:r>
        <w:rPr>
          <w:rFonts w:hint="eastAsia" w:ascii="宋体" w:hAnsi="宋体" w:eastAsia="宋体" w:cs="宋体"/>
          <w:sz w:val="21"/>
          <w:szCs w:val="21"/>
        </w:rPr>
        <w:sym w:font="Wingdings" w:char="00A8"/>
      </w:r>
      <w:r>
        <w:rPr>
          <w:rFonts w:hint="eastAsia" w:ascii="宋体" w:hAnsi="宋体" w:eastAsia="宋体" w:cs="Times New Roman"/>
          <w:bCs/>
          <w:szCs w:val="21"/>
        </w:rPr>
        <w:t>是</w:t>
      </w:r>
      <w:r>
        <w:rPr>
          <w:rFonts w:hint="eastAsia" w:ascii="宋体" w:hAnsi="宋体" w:eastAsia="宋体" w:cs="Times New Roman"/>
          <w:bCs/>
          <w:szCs w:val="21"/>
          <w:lang w:eastAsia="zh-CN"/>
        </w:rPr>
        <w:t>，抽查比例：</w:t>
      </w:r>
      <w:r>
        <w:rPr>
          <w:rFonts w:hint="eastAsia" w:ascii="宋体" w:hAnsi="宋体" w:eastAsia="宋体" w:cs="Times New Roman"/>
          <w:bCs/>
          <w:szCs w:val="21"/>
          <w:u w:val="single"/>
        </w:rPr>
        <w:t xml:space="preserve">   </w:t>
      </w:r>
      <w:r>
        <w:rPr>
          <w:rFonts w:hint="eastAsia" w:ascii="宋体" w:hAnsi="宋体" w:eastAsia="宋体" w:cs="Times New Roman"/>
          <w:bCs/>
          <w:szCs w:val="21"/>
          <w:u w:val="single"/>
          <w:lang w:val="en-US" w:eastAsia="zh-CN"/>
        </w:rPr>
        <w:t xml:space="preserve">     </w:t>
      </w:r>
      <w:r>
        <w:rPr>
          <w:rFonts w:hint="eastAsia" w:ascii="宋体" w:hAnsi="宋体" w:eastAsia="宋体" w:cs="Times New Roman"/>
          <w:bCs/>
          <w:szCs w:val="21"/>
        </w:rPr>
        <w:t xml:space="preserve"> </w:t>
      </w:r>
      <w:r>
        <w:rPr>
          <w:rFonts w:hint="eastAsia" w:ascii="宋体" w:hAnsi="宋体" w:eastAsia="宋体" w:cs="宋体"/>
          <w:sz w:val="21"/>
          <w:szCs w:val="21"/>
        </w:rPr>
        <w:sym w:font="Wingdings" w:char="00A8"/>
      </w:r>
      <w:r>
        <w:rPr>
          <w:rFonts w:hint="eastAsia" w:ascii="宋体" w:hAnsi="宋体" w:eastAsia="宋体" w:cs="Times New Roman"/>
          <w:bCs/>
          <w:szCs w:val="21"/>
        </w:rPr>
        <w:t>否</w:t>
      </w:r>
    </w:p>
    <w:p w14:paraId="7FC238D8">
      <w:pPr>
        <w:adjustRightInd w:val="0"/>
        <w:snapToGrid w:val="0"/>
        <w:spacing w:before="0" w:beforeLines="0" w:line="400" w:lineRule="exact"/>
        <w:ind w:firstLine="840" w:firstLineChars="400"/>
        <w:outlineLvl w:val="9"/>
        <w:rPr>
          <w:rFonts w:hint="eastAsia" w:ascii="宋体" w:hAnsi="宋体" w:eastAsia="宋体" w:cs="Times New Roman"/>
          <w:bCs/>
          <w:szCs w:val="21"/>
          <w:u w:val="single"/>
          <w:lang w:eastAsia="zh-CN"/>
        </w:rPr>
      </w:pPr>
      <w:r>
        <w:rPr>
          <w:rFonts w:hint="eastAsia" w:ascii="宋体" w:hAnsi="宋体" w:eastAsia="宋体" w:cs="Times New Roman"/>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cs="Times New Roman"/>
          <w:bCs/>
          <w:szCs w:val="21"/>
        </w:rPr>
        <w:t>是</w:t>
      </w:r>
      <w:r>
        <w:rPr>
          <w:rFonts w:hint="eastAsia" w:ascii="宋体" w:hAnsi="宋体" w:eastAsia="宋体" w:cs="Times New Roman"/>
          <w:bCs/>
          <w:szCs w:val="21"/>
          <w:lang w:eastAsia="zh-CN"/>
        </w:rPr>
        <w:t>，</w:t>
      </w:r>
      <w:r>
        <w:rPr>
          <w:rFonts w:hint="eastAsia" w:ascii="宋体" w:hAnsi="宋体" w:eastAsia="宋体" w:cs="Times New Roman"/>
          <w:bCs/>
          <w:szCs w:val="21"/>
          <w:u w:val="single"/>
          <w:lang w:eastAsia="zh-CN"/>
        </w:rPr>
        <w:t>（应明确对被破坏的检测产品的处理方式）</w:t>
      </w:r>
    </w:p>
    <w:p w14:paraId="4BD7F372">
      <w:pPr>
        <w:adjustRightInd w:val="0"/>
        <w:snapToGrid w:val="0"/>
        <w:spacing w:before="0" w:beforeLines="0" w:line="400" w:lineRule="exact"/>
        <w:ind w:firstLine="840" w:firstLineChars="400"/>
        <w:outlineLvl w:val="9"/>
        <w:rPr>
          <w:rFonts w:hint="eastAsia" w:ascii="宋体" w:hAnsi="宋体" w:eastAsia="宋体" w:cs="Times New Roman"/>
          <w:bCs/>
          <w:szCs w:val="21"/>
          <w:lang w:eastAsia="zh-CN"/>
        </w:rPr>
      </w:pPr>
      <w:r>
        <w:rPr>
          <w:rFonts w:hint="eastAsia" w:ascii="宋体" w:hAnsi="宋体" w:eastAsia="宋体" w:cs="Times New Roman"/>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Times New Roman"/>
          <w:bCs/>
          <w:szCs w:val="21"/>
        </w:rPr>
        <w:t>否</w:t>
      </w:r>
    </w:p>
    <w:p w14:paraId="63EC5BE4">
      <w:pPr>
        <w:adjustRightInd w:val="0"/>
        <w:snapToGrid w:val="0"/>
        <w:spacing w:before="0" w:beforeLines="0" w:line="400" w:lineRule="exact"/>
        <w:ind w:firstLine="840" w:firstLineChars="400"/>
        <w:outlineLvl w:val="9"/>
        <w:rPr>
          <w:rFonts w:hint="eastAsia" w:ascii="宋体" w:hAnsi="宋体" w:eastAsia="宋体" w:cs="Times New Roman"/>
          <w:bCs/>
          <w:szCs w:val="21"/>
          <w:u w:val="single"/>
        </w:rPr>
      </w:pPr>
      <w:r>
        <w:rPr>
          <w:rFonts w:hint="eastAsia" w:ascii="宋体" w:hAnsi="宋体" w:eastAsia="宋体" w:cs="Times New Roman"/>
          <w:bCs/>
          <w:szCs w:val="21"/>
        </w:rPr>
        <w:t>验收组织的其他事项：</w:t>
      </w:r>
      <w:r>
        <w:rPr>
          <w:rFonts w:hint="eastAsia" w:ascii="宋体" w:hAnsi="宋体" w:eastAsia="宋体" w:cs="Times New Roman"/>
          <w:bCs/>
          <w:szCs w:val="21"/>
          <w:u w:val="single"/>
        </w:rPr>
        <w:t xml:space="preserve">                </w:t>
      </w:r>
    </w:p>
    <w:p w14:paraId="305B13BA">
      <w:pPr>
        <w:adjustRightInd w:val="0"/>
        <w:snapToGrid w:val="0"/>
        <w:spacing w:before="0" w:beforeLines="0" w:line="400" w:lineRule="exact"/>
        <w:ind w:firstLine="420" w:firstLineChars="200"/>
        <w:outlineLvl w:val="9"/>
        <w:rPr>
          <w:rFonts w:hint="eastAsia" w:ascii="宋体" w:hAnsi="宋体" w:eastAsia="宋体" w:cs="Times New Roman"/>
          <w:bCs/>
          <w:szCs w:val="21"/>
          <w:u w:val="single"/>
        </w:rPr>
      </w:pPr>
      <w:r>
        <w:rPr>
          <w:rFonts w:hint="eastAsia" w:ascii="宋体" w:hAnsi="宋体" w:eastAsia="宋体" w:cs="Times New Roman"/>
          <w:bCs/>
          <w:szCs w:val="21"/>
        </w:rPr>
        <w:t>（2）履约验收时间：</w:t>
      </w:r>
      <w:r>
        <w:rPr>
          <w:rFonts w:hint="eastAsia" w:ascii="宋体" w:hAnsi="宋体" w:eastAsia="宋体" w:cs="Times New Roman"/>
          <w:bCs/>
          <w:szCs w:val="21"/>
          <w:u w:val="single"/>
        </w:rPr>
        <w:t>（计划于何时验收/供应商提出验收申请之日起   日内组织验收）</w:t>
      </w:r>
      <w:r>
        <w:rPr>
          <w:rFonts w:hint="eastAsia" w:ascii="宋体" w:hAnsi="宋体" w:eastAsia="宋体" w:cs="Times New Roman"/>
          <w:bCs/>
          <w:szCs w:val="21"/>
          <w:u w:val="single"/>
          <w:lang w:val="en-US" w:eastAsia="zh-CN"/>
        </w:rPr>
        <w:t xml:space="preserve"> </w:t>
      </w:r>
    </w:p>
    <w:p w14:paraId="0FFCDC17">
      <w:pPr>
        <w:adjustRightInd w:val="0"/>
        <w:snapToGrid w:val="0"/>
        <w:spacing w:before="0" w:beforeLines="0" w:line="400" w:lineRule="exact"/>
        <w:ind w:firstLine="420" w:firstLineChars="200"/>
        <w:outlineLvl w:val="9"/>
        <w:rPr>
          <w:rFonts w:hint="eastAsia" w:ascii="宋体" w:hAnsi="宋体" w:eastAsia="宋体" w:cs="Times New Roman"/>
          <w:bCs/>
          <w:szCs w:val="21"/>
        </w:rPr>
      </w:pPr>
      <w:r>
        <w:rPr>
          <w:rFonts w:hint="eastAsia" w:ascii="宋体" w:hAnsi="宋体" w:eastAsia="宋体" w:cs="Times New Roman"/>
          <w:bCs/>
          <w:szCs w:val="21"/>
        </w:rPr>
        <w:t>（3）履约验收方式：</w:t>
      </w:r>
      <w:r>
        <w:rPr>
          <w:rFonts w:hint="eastAsia" w:ascii="宋体" w:hAnsi="宋体" w:eastAsia="宋体" w:cs="宋体"/>
          <w:sz w:val="21"/>
          <w:szCs w:val="21"/>
        </w:rPr>
        <w:sym w:font="Wingdings" w:char="00A8"/>
      </w:r>
      <w:r>
        <w:rPr>
          <w:rFonts w:hint="eastAsia" w:ascii="宋体" w:hAnsi="宋体" w:eastAsia="宋体" w:cs="Times New Roman"/>
          <w:bCs/>
          <w:szCs w:val="21"/>
        </w:rPr>
        <w:t xml:space="preserve">一次性验收         </w:t>
      </w:r>
    </w:p>
    <w:p w14:paraId="46E8CDCC">
      <w:pPr>
        <w:adjustRightInd w:val="0"/>
        <w:snapToGrid w:val="0"/>
        <w:spacing w:before="0" w:beforeLines="0" w:line="400" w:lineRule="exact"/>
        <w:ind w:firstLine="0" w:firstLineChars="0"/>
        <w:outlineLvl w:val="9"/>
        <w:rPr>
          <w:rFonts w:hint="eastAsia" w:ascii="宋体" w:hAnsi="宋体" w:eastAsia="宋体" w:cs="Times New Roman"/>
          <w:bCs/>
          <w:szCs w:val="21"/>
          <w:lang w:val="en-US" w:eastAsia="zh-CN"/>
        </w:rPr>
      </w:pPr>
      <w:r>
        <w:rPr>
          <w:rFonts w:hint="eastAsia" w:ascii="宋体" w:hAnsi="宋体" w:eastAsia="宋体" w:cs="Times New Roman"/>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Times New Roman"/>
          <w:bCs/>
          <w:szCs w:val="21"/>
        </w:rPr>
        <w:t>分期/分项验收</w:t>
      </w:r>
      <w:r>
        <w:rPr>
          <w:rFonts w:hint="eastAsia" w:ascii="宋体" w:hAnsi="宋体" w:eastAsia="宋体" w:cs="Times New Roman"/>
          <w:bCs/>
          <w:szCs w:val="21"/>
          <w:lang w:eastAsia="zh-CN"/>
        </w:rPr>
        <w:t>：</w:t>
      </w:r>
      <w:r>
        <w:rPr>
          <w:rFonts w:hint="eastAsia" w:ascii="宋体" w:hAnsi="宋体" w:eastAsia="宋体" w:cs="Times New Roman"/>
          <w:bCs/>
          <w:szCs w:val="21"/>
          <w:u w:val="single"/>
        </w:rPr>
        <w:t xml:space="preserve"> </w:t>
      </w:r>
      <w:r>
        <w:rPr>
          <w:rFonts w:hint="eastAsia" w:ascii="宋体" w:hAnsi="宋体" w:eastAsia="宋体" w:cs="Times New Roman"/>
          <w:bCs/>
          <w:szCs w:val="21"/>
          <w:u w:val="single"/>
          <w:lang w:eastAsia="zh-CN"/>
        </w:rPr>
        <w:t>（应明确分期</w:t>
      </w:r>
      <w:r>
        <w:rPr>
          <w:rFonts w:hint="default" w:ascii="宋体" w:hAnsi="宋体" w:eastAsia="宋体" w:cs="Times New Roman"/>
          <w:bCs/>
          <w:szCs w:val="21"/>
          <w:u w:val="single"/>
          <w:lang w:val="en" w:eastAsia="zh-CN"/>
        </w:rPr>
        <w:t>/</w:t>
      </w:r>
      <w:r>
        <w:rPr>
          <w:rFonts w:hint="eastAsia" w:ascii="宋体" w:hAnsi="宋体" w:eastAsia="宋体" w:cs="Times New Roman"/>
          <w:bCs/>
          <w:szCs w:val="21"/>
          <w:u w:val="single"/>
          <w:lang w:val="en" w:eastAsia="zh-CN"/>
        </w:rPr>
        <w:t>分项验收的工作安排</w:t>
      </w:r>
      <w:r>
        <w:rPr>
          <w:rFonts w:hint="eastAsia" w:ascii="宋体" w:hAnsi="宋体" w:eastAsia="宋体" w:cs="Times New Roman"/>
          <w:bCs/>
          <w:szCs w:val="21"/>
          <w:u w:val="single"/>
          <w:lang w:eastAsia="zh-CN"/>
        </w:rPr>
        <w:t>）</w:t>
      </w:r>
      <w:r>
        <w:rPr>
          <w:rFonts w:hint="eastAsia" w:ascii="宋体" w:hAnsi="宋体" w:eastAsia="宋体" w:cs="Times New Roman"/>
          <w:bCs/>
          <w:szCs w:val="21"/>
          <w:u w:val="single"/>
        </w:rPr>
        <w:t xml:space="preserve"> </w:t>
      </w:r>
      <w:r>
        <w:rPr>
          <w:rFonts w:hint="eastAsia" w:ascii="宋体" w:hAnsi="宋体" w:eastAsia="宋体" w:cs="Times New Roman"/>
          <w:bCs/>
          <w:szCs w:val="21"/>
          <w:u w:val="single"/>
          <w:lang w:val="en-US" w:eastAsia="zh-CN"/>
        </w:rPr>
        <w:t xml:space="preserve"> </w:t>
      </w:r>
    </w:p>
    <w:p w14:paraId="5196B3E7">
      <w:pPr>
        <w:adjustRightInd w:val="0"/>
        <w:snapToGrid w:val="0"/>
        <w:spacing w:before="0" w:beforeLines="0" w:line="400" w:lineRule="exact"/>
        <w:ind w:firstLine="420" w:firstLineChars="200"/>
        <w:outlineLvl w:val="9"/>
        <w:rPr>
          <w:rFonts w:ascii="宋体" w:hAnsi="宋体" w:eastAsia="宋体" w:cs="Times New Roman"/>
          <w:bCs/>
          <w:szCs w:val="21"/>
        </w:rPr>
      </w:pPr>
      <w:r>
        <w:rPr>
          <w:rFonts w:hint="eastAsia" w:ascii="宋体" w:hAnsi="宋体" w:eastAsia="宋体" w:cs="Times New Roman"/>
          <w:bCs/>
          <w:szCs w:val="21"/>
        </w:rPr>
        <w:t>（4）履约验收程序：</w:t>
      </w:r>
      <w:r>
        <w:rPr>
          <w:rFonts w:hint="eastAsia" w:ascii="宋体" w:hAnsi="宋体" w:eastAsia="宋体" w:cs="Times New Roman"/>
          <w:bCs/>
          <w:szCs w:val="21"/>
          <w:u w:val="single"/>
        </w:rPr>
        <w:t xml:space="preserve">                                         </w:t>
      </w:r>
    </w:p>
    <w:p w14:paraId="74924802">
      <w:pPr>
        <w:adjustRightInd w:val="0"/>
        <w:snapToGrid w:val="0"/>
        <w:spacing w:before="0" w:beforeLines="0" w:line="400" w:lineRule="exact"/>
        <w:ind w:firstLine="420" w:firstLineChars="200"/>
        <w:outlineLvl w:val="9"/>
        <w:rPr>
          <w:rFonts w:ascii="宋体" w:hAnsi="宋体" w:eastAsia="宋体" w:cs="Times New Roman"/>
          <w:bCs/>
          <w:szCs w:val="21"/>
          <w:u w:val="single"/>
        </w:rPr>
      </w:pPr>
      <w:r>
        <w:rPr>
          <w:rFonts w:hint="eastAsia" w:ascii="宋体" w:hAnsi="宋体" w:eastAsia="宋体" w:cs="Times New Roman"/>
          <w:bCs/>
          <w:szCs w:val="21"/>
        </w:rPr>
        <w:t>（5）履约验收的内容：</w:t>
      </w:r>
      <w:r>
        <w:rPr>
          <w:rFonts w:hint="eastAsia" w:ascii="宋体" w:hAnsi="宋体" w:eastAsia="宋体" w:cs="Times New Roman"/>
          <w:bCs/>
          <w:szCs w:val="21"/>
          <w:u w:val="single"/>
        </w:rPr>
        <w:t xml:space="preserve"> </w:t>
      </w:r>
      <w:r>
        <w:rPr>
          <w:rFonts w:hint="eastAsia" w:ascii="宋体" w:hAnsi="宋体" w:eastAsia="宋体" w:cs="Times New Roman"/>
          <w:bCs/>
          <w:szCs w:val="21"/>
          <w:u w:val="single"/>
          <w:lang w:eastAsia="zh-CN"/>
        </w:rPr>
        <w:t>（应当包括每一项技术和商务要求的履约情况，特别是落实政府采购扶持中小企业，支持绿色发展和乡村振兴等政策情况）</w:t>
      </w:r>
      <w:r>
        <w:rPr>
          <w:rFonts w:hint="eastAsia" w:ascii="宋体" w:hAnsi="宋体" w:eastAsia="宋体" w:cs="Times New Roman"/>
          <w:bCs/>
          <w:szCs w:val="21"/>
          <w:u w:val="single"/>
        </w:rPr>
        <w:t xml:space="preserve">                                      </w:t>
      </w:r>
    </w:p>
    <w:p w14:paraId="52887F1B">
      <w:pPr>
        <w:adjustRightInd w:val="0"/>
        <w:snapToGrid w:val="0"/>
        <w:spacing w:before="0" w:beforeLines="0" w:line="400" w:lineRule="exact"/>
        <w:ind w:firstLine="420" w:firstLineChars="200"/>
        <w:outlineLvl w:val="9"/>
        <w:rPr>
          <w:rFonts w:hint="eastAsia" w:ascii="宋体" w:hAnsi="宋体" w:eastAsia="宋体" w:cs="Times New Roman"/>
          <w:bCs/>
          <w:szCs w:val="21"/>
          <w:u w:val="single"/>
        </w:rPr>
      </w:pPr>
      <w:r>
        <w:rPr>
          <w:rFonts w:hint="eastAsia" w:ascii="宋体" w:hAnsi="宋体" w:eastAsia="宋体" w:cs="Times New Roman"/>
          <w:bCs/>
          <w:szCs w:val="21"/>
        </w:rPr>
        <w:t>（6）履约验收标准：</w:t>
      </w:r>
      <w:r>
        <w:rPr>
          <w:rFonts w:hint="eastAsia" w:ascii="宋体" w:hAnsi="宋体" w:eastAsia="宋体" w:cs="Times New Roman"/>
          <w:bCs/>
          <w:szCs w:val="21"/>
          <w:u w:val="single"/>
        </w:rPr>
        <w:t xml:space="preserve">                                         </w:t>
      </w:r>
    </w:p>
    <w:p w14:paraId="5AE3BC4C">
      <w:pPr>
        <w:autoSpaceDE w:val="0"/>
        <w:autoSpaceDN w:val="0"/>
        <w:adjustRightInd w:val="0"/>
        <w:spacing w:beforeLines="0" w:line="400" w:lineRule="exact"/>
        <w:ind w:firstLine="420" w:firstLineChars="200"/>
        <w:outlineLvl w:val="9"/>
        <w:rPr>
          <w:rFonts w:hint="eastAsia" w:ascii="宋体" w:hAnsi="宋体" w:eastAsia="宋体" w:cs="宋体"/>
          <w:sz w:val="21"/>
          <w:szCs w:val="21"/>
          <w:lang w:val="en-US" w:eastAsia="zh-CN" w:bidi="ar-SA"/>
        </w:rPr>
      </w:pPr>
      <w:r>
        <w:rPr>
          <w:rFonts w:hint="eastAsia" w:ascii="宋体" w:hAnsi="宋体" w:eastAsia="宋体" w:cs="宋体"/>
          <w:bCs/>
          <w:sz w:val="21"/>
          <w:szCs w:val="21"/>
          <w:u w:val="none"/>
          <w:lang w:val="en-US" w:eastAsia="zh-CN" w:bidi="ar-SA"/>
        </w:rPr>
        <w:t>（7）是否以采购活动中供应商提供的样品作为参考：</w:t>
      </w:r>
      <w:r>
        <w:rPr>
          <w:rFonts w:hint="eastAsia" w:ascii="宋体" w:hAnsi="宋体" w:eastAsia="宋体" w:cs="宋体"/>
          <w:sz w:val="21"/>
          <w:szCs w:val="21"/>
          <w:lang w:val="en-US" w:eastAsia="zh-CN" w:bidi="ar-SA"/>
        </w:rPr>
        <w:sym w:font="Wingdings" w:char="00A8"/>
      </w:r>
      <w:r>
        <w:rPr>
          <w:rFonts w:hint="eastAsia" w:ascii="宋体" w:hAnsi="宋体" w:eastAsia="宋体" w:cs="宋体"/>
          <w:bCs/>
          <w:sz w:val="21"/>
          <w:szCs w:val="21"/>
          <w:lang w:val="en-US" w:eastAsia="zh-CN" w:bidi="ar-SA"/>
        </w:rPr>
        <w:t xml:space="preserve">是  </w:t>
      </w:r>
      <w:r>
        <w:rPr>
          <w:rFonts w:hint="eastAsia" w:ascii="宋体" w:hAnsi="宋体" w:eastAsia="宋体" w:cs="宋体"/>
          <w:sz w:val="21"/>
          <w:szCs w:val="21"/>
          <w:lang w:val="en-US" w:eastAsia="zh-CN" w:bidi="ar-SA"/>
        </w:rPr>
        <w:sym w:font="Wingdings" w:char="00A8"/>
      </w:r>
      <w:r>
        <w:rPr>
          <w:rFonts w:hint="eastAsia" w:ascii="宋体" w:hAnsi="宋体" w:eastAsia="宋体" w:cs="宋体"/>
          <w:bCs/>
          <w:sz w:val="21"/>
          <w:szCs w:val="21"/>
          <w:lang w:val="en-US" w:eastAsia="zh-CN" w:bidi="ar-SA"/>
        </w:rPr>
        <w:t>否</w:t>
      </w:r>
    </w:p>
    <w:p w14:paraId="6E4406D2">
      <w:pPr>
        <w:adjustRightInd w:val="0"/>
        <w:snapToGrid w:val="0"/>
        <w:spacing w:before="0" w:beforeLines="0" w:line="400" w:lineRule="exact"/>
        <w:ind w:firstLine="420" w:firstLineChars="200"/>
        <w:outlineLvl w:val="9"/>
        <w:rPr>
          <w:rFonts w:hint="eastAsia" w:ascii="宋体" w:hAnsi="宋体" w:eastAsia="宋体" w:cs="宋体"/>
          <w:bCs/>
          <w:szCs w:val="21"/>
          <w:u w:val="single"/>
        </w:rPr>
      </w:pPr>
      <w:r>
        <w:rPr>
          <w:rFonts w:hint="eastAsia" w:ascii="宋体" w:hAnsi="宋体" w:eastAsia="宋体" w:cs="宋体"/>
          <w:bCs/>
          <w:szCs w:val="21"/>
        </w:rPr>
        <w:t>（8）履约验收其他事项：</w:t>
      </w:r>
      <w:r>
        <w:rPr>
          <w:rFonts w:hint="eastAsia" w:ascii="宋体" w:hAnsi="宋体" w:eastAsia="宋体" w:cs="宋体"/>
          <w:bCs/>
          <w:szCs w:val="21"/>
          <w:u w:val="single"/>
        </w:rPr>
        <w:t xml:space="preserve">      </w:t>
      </w:r>
      <w:r>
        <w:rPr>
          <w:rFonts w:hint="eastAsia" w:ascii="宋体" w:hAnsi="宋体" w:eastAsia="宋体" w:cs="宋体"/>
          <w:bCs/>
          <w:i w:val="0"/>
          <w:iCs w:val="0"/>
          <w:szCs w:val="21"/>
          <w:u w:val="single"/>
        </w:rPr>
        <w:t>（产权过户登记等）</w:t>
      </w:r>
      <w:r>
        <w:rPr>
          <w:rFonts w:hint="eastAsia" w:ascii="宋体" w:hAnsi="宋体" w:eastAsia="宋体" w:cs="宋体"/>
          <w:bCs/>
          <w:szCs w:val="21"/>
          <w:u w:val="single"/>
        </w:rPr>
        <w:t xml:space="preserve">          </w:t>
      </w:r>
    </w:p>
    <w:p w14:paraId="256260FD">
      <w:pPr>
        <w:numPr>
          <w:ilvl w:val="0"/>
          <w:numId w:val="16"/>
        </w:numPr>
        <w:adjustRightInd w:val="0"/>
        <w:snapToGrid w:val="0"/>
        <w:spacing w:before="0" w:beforeLines="0" w:line="400" w:lineRule="exact"/>
        <w:ind w:firstLine="422" w:firstLineChars="200"/>
        <w:outlineLvl w:val="9"/>
        <w:rPr>
          <w:rFonts w:hint="eastAsia" w:ascii="宋体" w:hAnsi="宋体" w:eastAsia="宋体" w:cs="Times New Roman"/>
          <w:b/>
          <w:szCs w:val="21"/>
        </w:rPr>
      </w:pPr>
      <w:r>
        <w:rPr>
          <w:rFonts w:hint="eastAsia" w:ascii="宋体" w:hAnsi="宋体" w:eastAsia="宋体" w:cs="Times New Roman"/>
          <w:b/>
          <w:szCs w:val="21"/>
        </w:rPr>
        <w:t>组成合同的文件</w:t>
      </w:r>
    </w:p>
    <w:p w14:paraId="2CB74549">
      <w:pPr>
        <w:adjustRightInd w:val="0"/>
        <w:snapToGrid w:val="0"/>
        <w:spacing w:before="0" w:beforeLines="0" w:line="400" w:lineRule="exact"/>
        <w:ind w:firstLine="420" w:firstLineChars="200"/>
        <w:outlineLvl w:val="9"/>
        <w:rPr>
          <w:rFonts w:ascii="宋体" w:hAnsi="宋体" w:eastAsia="宋体" w:cs="Times New Roman"/>
          <w:szCs w:val="21"/>
        </w:rPr>
      </w:pPr>
      <w:r>
        <w:rPr>
          <w:rFonts w:hint="eastAsia" w:ascii="宋体" w:hAnsi="宋体" w:eastAsia="宋体" w:cs="Times New Roman"/>
          <w:szCs w:val="21"/>
        </w:rPr>
        <w:t>本协议书与下列文件一起构成合同文件，如下述文件之间有任何抵触、矛盾或歧义，应按以下顺序解释：</w:t>
      </w:r>
    </w:p>
    <w:p w14:paraId="087B7D77">
      <w:pPr>
        <w:adjustRightInd w:val="0"/>
        <w:snapToGrid w:val="0"/>
        <w:spacing w:before="0" w:beforeLines="0" w:line="400" w:lineRule="exact"/>
        <w:ind w:firstLine="420" w:firstLineChars="200"/>
        <w:outlineLvl w:val="9"/>
        <w:rPr>
          <w:rFonts w:hint="eastAsia" w:ascii="宋体" w:hAnsi="宋体" w:eastAsia="宋体" w:cs="Times New Roman"/>
          <w:color w:val="auto"/>
          <w:szCs w:val="21"/>
          <w:lang w:eastAsia="zh-CN"/>
        </w:rPr>
      </w:pPr>
      <w:r>
        <w:rPr>
          <w:rFonts w:hint="eastAsia" w:ascii="宋体" w:hAnsi="宋体" w:eastAsia="宋体" w:cs="Times New Roman"/>
          <w:color w:val="auto"/>
          <w:szCs w:val="21"/>
        </w:rPr>
        <w:t>（1）</w:t>
      </w:r>
      <w:r>
        <w:rPr>
          <w:rFonts w:hint="eastAsia" w:ascii="宋体" w:hAnsi="宋体" w:eastAsia="宋体" w:cs="Times New Roman"/>
          <w:color w:val="auto"/>
          <w:szCs w:val="21"/>
          <w:lang w:eastAsia="zh-CN"/>
        </w:rPr>
        <w:t>政府采购</w:t>
      </w:r>
      <w:r>
        <w:rPr>
          <w:rFonts w:hint="eastAsia" w:ascii="宋体" w:hAnsi="宋体" w:eastAsia="宋体" w:cs="Times New Roman"/>
          <w:color w:val="auto"/>
          <w:szCs w:val="21"/>
        </w:rPr>
        <w:t>合同协议书及其变更、补充</w:t>
      </w:r>
      <w:r>
        <w:rPr>
          <w:rFonts w:hint="eastAsia" w:ascii="宋体" w:hAnsi="宋体" w:eastAsia="宋体" w:cs="Times New Roman"/>
          <w:color w:val="auto"/>
          <w:szCs w:val="21"/>
          <w:lang w:eastAsia="zh-CN"/>
        </w:rPr>
        <w:t>协议</w:t>
      </w:r>
    </w:p>
    <w:p w14:paraId="7A56A132">
      <w:pPr>
        <w:adjustRightInd w:val="0"/>
        <w:snapToGrid w:val="0"/>
        <w:spacing w:before="0" w:beforeLines="0" w:line="400" w:lineRule="exact"/>
        <w:ind w:firstLine="420" w:firstLineChars="200"/>
        <w:outlineLvl w:val="9"/>
        <w:rPr>
          <w:rFonts w:ascii="宋体" w:hAnsi="宋体" w:eastAsia="宋体" w:cs="Times New Roman"/>
          <w:szCs w:val="21"/>
        </w:rPr>
      </w:pPr>
      <w:r>
        <w:rPr>
          <w:rFonts w:hint="eastAsia" w:ascii="宋体" w:hAnsi="宋体" w:eastAsia="宋体" w:cs="Times New Roman"/>
          <w:szCs w:val="21"/>
        </w:rPr>
        <w:t>（</w:t>
      </w:r>
      <w:r>
        <w:rPr>
          <w:rFonts w:hint="eastAsia" w:ascii="宋体" w:hAnsi="宋体" w:eastAsia="宋体" w:cs="Times New Roman"/>
          <w:szCs w:val="21"/>
          <w:lang w:val="en-US" w:eastAsia="zh-CN"/>
        </w:rPr>
        <w:t>2</w:t>
      </w:r>
      <w:r>
        <w:rPr>
          <w:rFonts w:hint="eastAsia" w:ascii="宋体" w:hAnsi="宋体" w:eastAsia="宋体" w:cs="Times New Roman"/>
          <w:szCs w:val="21"/>
        </w:rPr>
        <w:t>）政府采购合同专用条款</w:t>
      </w:r>
    </w:p>
    <w:p w14:paraId="439169C8">
      <w:pPr>
        <w:adjustRightInd w:val="0"/>
        <w:snapToGrid w:val="0"/>
        <w:spacing w:before="0" w:beforeLines="0" w:line="400" w:lineRule="exact"/>
        <w:ind w:firstLine="420" w:firstLineChars="200"/>
        <w:outlineLvl w:val="9"/>
        <w:rPr>
          <w:rFonts w:ascii="宋体" w:hAnsi="宋体" w:eastAsia="宋体" w:cs="Times New Roman"/>
          <w:szCs w:val="21"/>
        </w:rPr>
      </w:pPr>
      <w:r>
        <w:rPr>
          <w:rFonts w:hint="eastAsia" w:ascii="宋体" w:hAnsi="宋体" w:eastAsia="宋体" w:cs="Times New Roman"/>
          <w:szCs w:val="21"/>
        </w:rPr>
        <w:t>（</w:t>
      </w:r>
      <w:r>
        <w:rPr>
          <w:rFonts w:hint="eastAsia" w:ascii="宋体" w:hAnsi="宋体" w:eastAsia="宋体" w:cs="Times New Roman"/>
          <w:szCs w:val="21"/>
          <w:lang w:val="en-US" w:eastAsia="zh-CN"/>
        </w:rPr>
        <w:t>3</w:t>
      </w:r>
      <w:r>
        <w:rPr>
          <w:rFonts w:hint="eastAsia" w:ascii="宋体" w:hAnsi="宋体" w:eastAsia="宋体" w:cs="Times New Roman"/>
          <w:szCs w:val="21"/>
        </w:rPr>
        <w:t>）政府采购合同通用条款</w:t>
      </w:r>
    </w:p>
    <w:p w14:paraId="5C7EC116">
      <w:pPr>
        <w:adjustRightInd w:val="0"/>
        <w:snapToGrid w:val="0"/>
        <w:spacing w:before="0" w:beforeLines="0" w:line="400" w:lineRule="exact"/>
        <w:ind w:firstLine="420" w:firstLineChars="200"/>
        <w:outlineLvl w:val="9"/>
        <w:rPr>
          <w:rFonts w:ascii="宋体" w:hAnsi="宋体" w:eastAsia="宋体" w:cs="Times New Roman"/>
          <w:color w:val="auto"/>
          <w:szCs w:val="21"/>
        </w:rPr>
      </w:pPr>
      <w:r>
        <w:rPr>
          <w:rFonts w:hint="eastAsia" w:ascii="宋体" w:hAnsi="宋体" w:eastAsia="宋体" w:cs="Times New Roman"/>
          <w:color w:val="auto"/>
          <w:szCs w:val="21"/>
        </w:rPr>
        <w:t>（</w:t>
      </w:r>
      <w:r>
        <w:rPr>
          <w:rFonts w:hint="eastAsia" w:ascii="宋体" w:hAnsi="宋体" w:eastAsia="宋体" w:cs="Times New Roman"/>
          <w:color w:val="auto"/>
          <w:szCs w:val="21"/>
          <w:lang w:val="en-US" w:eastAsia="zh-CN"/>
        </w:rPr>
        <w:t>4</w:t>
      </w:r>
      <w:r>
        <w:rPr>
          <w:rFonts w:hint="eastAsia" w:ascii="宋体" w:hAnsi="宋体" w:eastAsia="宋体" w:cs="Times New Roman"/>
          <w:color w:val="auto"/>
          <w:szCs w:val="21"/>
        </w:rPr>
        <w:t>）中标</w:t>
      </w:r>
      <w:r>
        <w:rPr>
          <w:rFonts w:hint="eastAsia" w:ascii="宋体" w:hAnsi="宋体" w:eastAsia="宋体" w:cs="Times New Roman"/>
          <w:color w:val="auto"/>
          <w:szCs w:val="21"/>
          <w:lang w:eastAsia="zh-CN"/>
        </w:rPr>
        <w:t>（成交）</w:t>
      </w:r>
      <w:r>
        <w:rPr>
          <w:rFonts w:hint="eastAsia" w:ascii="宋体" w:hAnsi="宋体" w:eastAsia="宋体" w:cs="Times New Roman"/>
          <w:color w:val="auto"/>
          <w:szCs w:val="21"/>
        </w:rPr>
        <w:t>通知书</w:t>
      </w:r>
    </w:p>
    <w:p w14:paraId="5B04020D">
      <w:pPr>
        <w:adjustRightInd w:val="0"/>
        <w:snapToGrid w:val="0"/>
        <w:spacing w:before="0" w:beforeLines="0" w:line="400" w:lineRule="exact"/>
        <w:ind w:firstLine="420" w:firstLineChars="200"/>
        <w:outlineLvl w:val="9"/>
        <w:rPr>
          <w:rFonts w:ascii="宋体" w:hAnsi="宋体" w:eastAsia="宋体" w:cs="Times New Roman"/>
          <w:szCs w:val="21"/>
        </w:rPr>
      </w:pPr>
      <w:r>
        <w:rPr>
          <w:rFonts w:hint="eastAsia" w:ascii="宋体" w:hAnsi="宋体" w:eastAsia="宋体" w:cs="Times New Roman"/>
          <w:szCs w:val="21"/>
        </w:rPr>
        <w:t>（</w:t>
      </w:r>
      <w:r>
        <w:rPr>
          <w:rFonts w:hint="eastAsia" w:ascii="宋体" w:hAnsi="宋体" w:eastAsia="宋体" w:cs="Times New Roman"/>
          <w:szCs w:val="21"/>
          <w:lang w:val="en-US" w:eastAsia="zh-CN"/>
        </w:rPr>
        <w:t>5</w:t>
      </w:r>
      <w:r>
        <w:rPr>
          <w:rFonts w:hint="eastAsia" w:ascii="宋体" w:hAnsi="宋体" w:eastAsia="宋体" w:cs="Times New Roman"/>
          <w:szCs w:val="21"/>
        </w:rPr>
        <w:t>）投标（响应）文件</w:t>
      </w:r>
    </w:p>
    <w:p w14:paraId="5CCAB1FE">
      <w:pPr>
        <w:adjustRightInd w:val="0"/>
        <w:snapToGrid w:val="0"/>
        <w:spacing w:before="0" w:beforeLines="0" w:line="400" w:lineRule="exact"/>
        <w:ind w:firstLine="420" w:firstLineChars="200"/>
        <w:outlineLvl w:val="9"/>
        <w:rPr>
          <w:rFonts w:ascii="宋体" w:hAnsi="宋体" w:eastAsia="宋体" w:cs="Times New Roman"/>
          <w:szCs w:val="21"/>
        </w:rPr>
      </w:pPr>
      <w:r>
        <w:rPr>
          <w:rFonts w:hint="eastAsia" w:ascii="宋体" w:hAnsi="宋体" w:eastAsia="宋体" w:cs="Times New Roman"/>
          <w:szCs w:val="21"/>
        </w:rPr>
        <w:t>（6）采购文件</w:t>
      </w:r>
    </w:p>
    <w:p w14:paraId="36D5EDC4">
      <w:pPr>
        <w:adjustRightInd w:val="0"/>
        <w:snapToGrid w:val="0"/>
        <w:spacing w:before="0" w:beforeLines="0" w:line="400" w:lineRule="exact"/>
        <w:ind w:firstLine="420" w:firstLineChars="200"/>
        <w:outlineLvl w:val="9"/>
        <w:rPr>
          <w:rFonts w:ascii="宋体" w:hAnsi="宋体" w:eastAsia="宋体" w:cs="Times New Roman"/>
          <w:szCs w:val="21"/>
        </w:rPr>
      </w:pPr>
      <w:r>
        <w:rPr>
          <w:rFonts w:hint="eastAsia" w:ascii="宋体" w:hAnsi="宋体" w:eastAsia="宋体" w:cs="Times New Roman"/>
          <w:szCs w:val="21"/>
        </w:rPr>
        <w:t>（7）有关技术文件，图纸</w:t>
      </w:r>
    </w:p>
    <w:p w14:paraId="75F42B5E">
      <w:pPr>
        <w:autoSpaceDE w:val="0"/>
        <w:autoSpaceDN w:val="0"/>
        <w:adjustRightInd w:val="0"/>
        <w:spacing w:beforeLines="0" w:line="400" w:lineRule="exact"/>
        <w:ind w:firstLine="420" w:firstLineChars="200"/>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bidi="ar-SA"/>
        </w:rPr>
        <w:t>（8）</w:t>
      </w:r>
      <w:r>
        <w:rPr>
          <w:rFonts w:hint="eastAsia" w:ascii="宋体" w:hAnsi="宋体" w:eastAsia="宋体" w:cs="宋体"/>
          <w:bCs w:val="0"/>
          <w:color w:val="000000"/>
          <w:kern w:val="2"/>
          <w:sz w:val="21"/>
          <w:szCs w:val="21"/>
          <w:highlight w:val="none"/>
          <w:lang w:val="en-US" w:eastAsia="zh-CN" w:bidi="ar-SA"/>
        </w:rPr>
        <w:t>国家法律、行政法规和规章制度规定或合同约定的作为合同组成部分的其他文件</w:t>
      </w:r>
    </w:p>
    <w:p w14:paraId="42497BFE">
      <w:pPr>
        <w:numPr>
          <w:ilvl w:val="0"/>
          <w:numId w:val="16"/>
        </w:numPr>
        <w:adjustRightInd w:val="0"/>
        <w:snapToGrid w:val="0"/>
        <w:spacing w:before="0" w:beforeLines="0" w:line="400" w:lineRule="exact"/>
        <w:ind w:firstLine="422" w:firstLineChars="200"/>
        <w:outlineLvl w:val="9"/>
        <w:rPr>
          <w:rFonts w:hint="eastAsia" w:ascii="宋体" w:hAnsi="宋体" w:eastAsia="宋体" w:cs="Times New Roman"/>
          <w:b/>
          <w:szCs w:val="21"/>
        </w:rPr>
      </w:pPr>
      <w:r>
        <w:rPr>
          <w:rFonts w:hint="eastAsia" w:ascii="宋体" w:hAnsi="宋体" w:eastAsia="宋体" w:cs="Times New Roman"/>
          <w:b/>
          <w:szCs w:val="21"/>
        </w:rPr>
        <w:t>合同生效</w:t>
      </w:r>
    </w:p>
    <w:p w14:paraId="70C58FAE">
      <w:pPr>
        <w:adjustRightInd w:val="0"/>
        <w:snapToGrid w:val="0"/>
        <w:spacing w:before="0" w:beforeLines="0" w:line="400" w:lineRule="exact"/>
        <w:ind w:firstLine="420" w:firstLineChars="200"/>
        <w:outlineLvl w:val="9"/>
        <w:rPr>
          <w:rFonts w:ascii="宋体" w:hAnsi="宋体" w:eastAsia="宋体" w:cs="Times New Roman"/>
          <w:szCs w:val="21"/>
        </w:rPr>
      </w:pPr>
      <w:r>
        <w:rPr>
          <w:rFonts w:hint="eastAsia" w:ascii="宋体" w:hAnsi="宋体" w:eastAsia="宋体" w:cs="Times New Roman"/>
          <w:szCs w:val="21"/>
        </w:rPr>
        <w:t>本合同自</w:t>
      </w:r>
      <w:r>
        <w:rPr>
          <w:rFonts w:hint="eastAsia" w:ascii="宋体" w:hAnsi="宋体" w:eastAsia="宋体" w:cs="Times New Roman"/>
          <w:szCs w:val="21"/>
          <w:u w:val="single"/>
        </w:rPr>
        <w:t xml:space="preserve">                             </w:t>
      </w:r>
      <w:r>
        <w:rPr>
          <w:rFonts w:hint="eastAsia" w:ascii="宋体" w:hAnsi="宋体" w:eastAsia="宋体" w:cs="Times New Roman"/>
          <w:szCs w:val="21"/>
        </w:rPr>
        <w:t>生效。</w:t>
      </w:r>
    </w:p>
    <w:p w14:paraId="3F62EE0F">
      <w:pPr>
        <w:numPr>
          <w:ilvl w:val="0"/>
          <w:numId w:val="16"/>
        </w:numPr>
        <w:adjustRightInd w:val="0"/>
        <w:snapToGrid w:val="0"/>
        <w:spacing w:before="0" w:beforeLines="0" w:line="400" w:lineRule="exact"/>
        <w:ind w:firstLine="422" w:firstLineChars="200"/>
        <w:outlineLvl w:val="9"/>
        <w:rPr>
          <w:rFonts w:hint="eastAsia" w:ascii="宋体" w:hAnsi="宋体" w:eastAsia="宋体" w:cs="Times New Roman"/>
          <w:b/>
          <w:szCs w:val="21"/>
        </w:rPr>
      </w:pPr>
      <w:r>
        <w:rPr>
          <w:rFonts w:hint="eastAsia" w:ascii="宋体" w:hAnsi="宋体" w:eastAsia="宋体" w:cs="Times New Roman"/>
          <w:b/>
          <w:szCs w:val="21"/>
        </w:rPr>
        <w:t>合同份数</w:t>
      </w:r>
    </w:p>
    <w:p w14:paraId="1B9E9189">
      <w:pPr>
        <w:adjustRightInd w:val="0"/>
        <w:snapToGrid w:val="0"/>
        <w:spacing w:before="0" w:beforeLines="0" w:line="400" w:lineRule="exact"/>
        <w:ind w:firstLine="420" w:firstLineChars="200"/>
        <w:outlineLvl w:val="9"/>
        <w:rPr>
          <w:rFonts w:ascii="宋体" w:hAnsi="宋体" w:eastAsia="宋体" w:cs="Times New Roman"/>
          <w:szCs w:val="21"/>
        </w:rPr>
      </w:pPr>
      <w:r>
        <w:rPr>
          <w:rFonts w:hint="eastAsia" w:ascii="宋体" w:hAnsi="宋体" w:eastAsia="宋体" w:cs="Times New Roman"/>
          <w:szCs w:val="21"/>
        </w:rPr>
        <w:t>本合同一式</w:t>
      </w:r>
      <w:r>
        <w:rPr>
          <w:rFonts w:hint="eastAsia" w:ascii="宋体" w:hAnsi="宋体" w:eastAsia="宋体" w:cs="Times New Roman"/>
          <w:szCs w:val="21"/>
          <w:u w:val="single"/>
        </w:rPr>
        <w:t xml:space="preserve">    </w:t>
      </w:r>
      <w:r>
        <w:rPr>
          <w:rFonts w:hint="eastAsia" w:ascii="宋体" w:hAnsi="宋体" w:eastAsia="宋体" w:cs="Times New Roman"/>
          <w:szCs w:val="21"/>
        </w:rPr>
        <w:t>份，</w:t>
      </w:r>
      <w:r>
        <w:rPr>
          <w:rFonts w:hint="eastAsia" w:ascii="宋体" w:hAnsi="宋体" w:eastAsia="宋体" w:cs="Times New Roman"/>
          <w:szCs w:val="21"/>
          <w:lang w:eastAsia="zh-CN"/>
        </w:rPr>
        <w:t>甲方</w:t>
      </w:r>
      <w:r>
        <w:rPr>
          <w:rFonts w:hint="eastAsia" w:ascii="宋体" w:hAnsi="宋体" w:eastAsia="宋体" w:cs="Times New Roman"/>
          <w:szCs w:val="21"/>
        </w:rPr>
        <w:t>执</w:t>
      </w:r>
      <w:r>
        <w:rPr>
          <w:rFonts w:hint="eastAsia" w:ascii="宋体" w:hAnsi="宋体" w:eastAsia="宋体" w:cs="Times New Roman"/>
          <w:szCs w:val="21"/>
          <w:u w:val="single"/>
        </w:rPr>
        <w:t xml:space="preserve"> </w:t>
      </w:r>
      <w:r>
        <w:rPr>
          <w:rFonts w:hint="eastAsia" w:ascii="宋体" w:hAnsi="宋体" w:eastAsia="宋体" w:cs="Times New Roman"/>
          <w:szCs w:val="21"/>
          <w:u w:val="single"/>
          <w:lang w:val="en-US" w:eastAsia="zh-CN"/>
        </w:rPr>
        <w:t xml:space="preserve"> </w:t>
      </w:r>
      <w:r>
        <w:rPr>
          <w:rFonts w:hint="eastAsia" w:ascii="宋体" w:hAnsi="宋体" w:eastAsia="宋体" w:cs="Times New Roman"/>
          <w:szCs w:val="21"/>
          <w:u w:val="single"/>
        </w:rPr>
        <w:t xml:space="preserve">  </w:t>
      </w:r>
      <w:r>
        <w:rPr>
          <w:rFonts w:hint="eastAsia" w:ascii="宋体" w:hAnsi="宋体" w:eastAsia="宋体" w:cs="Times New Roman"/>
          <w:szCs w:val="21"/>
        </w:rPr>
        <w:t>份，</w:t>
      </w:r>
      <w:r>
        <w:rPr>
          <w:rFonts w:hint="eastAsia" w:ascii="宋体" w:hAnsi="宋体" w:eastAsia="宋体" w:cs="Times New Roman"/>
          <w:szCs w:val="21"/>
          <w:lang w:eastAsia="zh-CN"/>
        </w:rPr>
        <w:t>乙方</w:t>
      </w:r>
      <w:r>
        <w:rPr>
          <w:rFonts w:hint="eastAsia" w:ascii="宋体" w:hAnsi="宋体" w:eastAsia="宋体" w:cs="Times New Roman"/>
          <w:szCs w:val="21"/>
        </w:rPr>
        <w:t>执</w:t>
      </w:r>
      <w:r>
        <w:rPr>
          <w:rFonts w:hint="eastAsia" w:ascii="宋体" w:hAnsi="宋体" w:eastAsia="宋体" w:cs="Times New Roman"/>
          <w:szCs w:val="21"/>
          <w:u w:val="single"/>
        </w:rPr>
        <w:t xml:space="preserve">  </w:t>
      </w:r>
      <w:r>
        <w:rPr>
          <w:rFonts w:hint="eastAsia" w:ascii="宋体" w:hAnsi="宋体" w:eastAsia="宋体" w:cs="Times New Roman"/>
          <w:szCs w:val="21"/>
          <w:u w:val="single"/>
          <w:lang w:val="en-US" w:eastAsia="zh-CN"/>
        </w:rPr>
        <w:t xml:space="preserve"> </w:t>
      </w:r>
      <w:r>
        <w:rPr>
          <w:rFonts w:hint="eastAsia" w:ascii="宋体" w:hAnsi="宋体" w:eastAsia="宋体" w:cs="Times New Roman"/>
          <w:szCs w:val="21"/>
          <w:u w:val="single"/>
        </w:rPr>
        <w:t xml:space="preserve"> </w:t>
      </w:r>
      <w:r>
        <w:rPr>
          <w:rFonts w:hint="eastAsia" w:ascii="宋体" w:hAnsi="宋体" w:eastAsia="宋体" w:cs="Times New Roman"/>
          <w:szCs w:val="21"/>
        </w:rPr>
        <w:t>份，均具有同等法律效力。</w:t>
      </w:r>
    </w:p>
    <w:p w14:paraId="4CA265A6">
      <w:pPr>
        <w:adjustRightInd w:val="0"/>
        <w:snapToGrid w:val="0"/>
        <w:spacing w:before="0" w:beforeLines="0" w:line="400" w:lineRule="exact"/>
        <w:ind w:firstLine="420" w:firstLineChars="200"/>
        <w:outlineLvl w:val="9"/>
        <w:rPr>
          <w:rFonts w:ascii="宋体" w:hAnsi="宋体" w:eastAsia="宋体" w:cs="Times New Roman"/>
          <w:szCs w:val="21"/>
        </w:rPr>
      </w:pPr>
      <w:r>
        <w:rPr>
          <w:rFonts w:hint="eastAsia" w:ascii="宋体" w:hAnsi="宋体" w:eastAsia="宋体" w:cs="Times New Roman"/>
          <w:szCs w:val="21"/>
        </w:rPr>
        <w:t>合同订立时间：</w:t>
      </w:r>
      <w:r>
        <w:rPr>
          <w:rFonts w:hint="eastAsia" w:ascii="宋体" w:hAnsi="宋体" w:eastAsia="宋体" w:cs="Times New Roman"/>
          <w:szCs w:val="21"/>
          <w:u w:val="single"/>
        </w:rPr>
        <w:t xml:space="preserve">         </w:t>
      </w:r>
      <w:r>
        <w:rPr>
          <w:rFonts w:hint="eastAsia" w:ascii="宋体" w:hAnsi="宋体" w:eastAsia="宋体" w:cs="Times New Roman"/>
          <w:szCs w:val="21"/>
        </w:rPr>
        <w:t>年</w:t>
      </w:r>
      <w:r>
        <w:rPr>
          <w:rFonts w:hint="eastAsia" w:ascii="宋体" w:hAnsi="宋体" w:eastAsia="宋体" w:cs="Times New Roman"/>
          <w:szCs w:val="21"/>
          <w:u w:val="single"/>
        </w:rPr>
        <w:t xml:space="preserve">      </w:t>
      </w:r>
      <w:r>
        <w:rPr>
          <w:rFonts w:hint="eastAsia" w:ascii="宋体" w:hAnsi="宋体" w:eastAsia="宋体" w:cs="Times New Roman"/>
          <w:szCs w:val="21"/>
        </w:rPr>
        <w:t>月</w:t>
      </w:r>
      <w:r>
        <w:rPr>
          <w:rFonts w:hint="eastAsia" w:ascii="宋体" w:hAnsi="宋体" w:eastAsia="宋体" w:cs="Times New Roman"/>
          <w:szCs w:val="21"/>
          <w:u w:val="single"/>
        </w:rPr>
        <w:t xml:space="preserve">      </w:t>
      </w:r>
      <w:r>
        <w:rPr>
          <w:rFonts w:hint="eastAsia" w:ascii="宋体" w:hAnsi="宋体" w:eastAsia="宋体" w:cs="Times New Roman"/>
          <w:szCs w:val="21"/>
        </w:rPr>
        <w:t>日</w:t>
      </w:r>
    </w:p>
    <w:p w14:paraId="5EC8353C">
      <w:pPr>
        <w:adjustRightInd w:val="0"/>
        <w:snapToGrid w:val="0"/>
        <w:spacing w:before="0" w:beforeLines="0" w:line="400" w:lineRule="exact"/>
        <w:ind w:firstLine="420" w:firstLineChars="200"/>
        <w:outlineLvl w:val="9"/>
        <w:rPr>
          <w:rFonts w:ascii="宋体" w:hAnsi="宋体" w:eastAsia="宋体" w:cs="Times New Roman"/>
          <w:szCs w:val="21"/>
        </w:rPr>
      </w:pPr>
      <w:r>
        <w:rPr>
          <w:rFonts w:hint="eastAsia" w:ascii="宋体" w:hAnsi="宋体" w:eastAsia="宋体" w:cs="Times New Roman"/>
          <w:szCs w:val="21"/>
        </w:rPr>
        <w:t>合同订立地点：</w:t>
      </w:r>
      <w:r>
        <w:rPr>
          <w:rFonts w:hint="eastAsia" w:ascii="宋体" w:hAnsi="宋体" w:eastAsia="宋体" w:cs="Times New Roman"/>
          <w:szCs w:val="21"/>
          <w:u w:val="single"/>
        </w:rPr>
        <w:t xml:space="preserve">                           </w:t>
      </w:r>
    </w:p>
    <w:p w14:paraId="28B88DD5">
      <w:pPr>
        <w:adjustRightInd w:val="0"/>
        <w:snapToGrid w:val="0"/>
        <w:spacing w:before="0" w:beforeLines="0" w:line="400" w:lineRule="exact"/>
        <w:ind w:firstLine="420" w:firstLineChars="200"/>
        <w:outlineLvl w:val="9"/>
        <w:rPr>
          <w:rFonts w:ascii="Times New Roman" w:hAnsi="Times New Roman" w:eastAsia="宋体" w:cs="Times New Roman"/>
          <w:szCs w:val="24"/>
        </w:rPr>
      </w:pPr>
      <w:r>
        <w:rPr>
          <w:rFonts w:hint="eastAsia" w:ascii="宋体" w:hAnsi="宋体" w:eastAsia="宋体" w:cs="Times New Roman"/>
          <w:szCs w:val="21"/>
        </w:rPr>
        <w:t>附件：具体标</w:t>
      </w:r>
      <w:r>
        <w:rPr>
          <w:rFonts w:hint="eastAsia" w:ascii="宋体" w:hAnsi="宋体" w:eastAsia="宋体" w:cs="Times New Roman"/>
          <w:szCs w:val="21"/>
          <w:lang w:eastAsia="zh-CN"/>
        </w:rPr>
        <w:t>的及其</w:t>
      </w:r>
      <w:r>
        <w:rPr>
          <w:rFonts w:hint="eastAsia" w:ascii="宋体" w:hAnsi="宋体" w:eastAsia="宋体" w:cs="Times New Roman"/>
          <w:szCs w:val="21"/>
          <w:highlight w:val="none"/>
          <w:u w:val="none"/>
          <w:lang w:val="en-US" w:eastAsia="zh-CN"/>
        </w:rPr>
        <w:t>技术要求和商务要求</w:t>
      </w:r>
      <w:r>
        <w:rPr>
          <w:rFonts w:hint="eastAsia" w:ascii="宋体" w:hAnsi="宋体" w:eastAsia="宋体" w:cs="Times New Roman"/>
          <w:szCs w:val="21"/>
        </w:rPr>
        <w:t>、联合协议、分包</w:t>
      </w:r>
      <w:r>
        <w:rPr>
          <w:rFonts w:hint="eastAsia" w:ascii="宋体" w:hAnsi="宋体" w:eastAsia="宋体" w:cs="Times New Roman"/>
          <w:szCs w:val="21"/>
          <w:lang w:eastAsia="zh-CN"/>
        </w:rPr>
        <w:t>意向</w:t>
      </w:r>
      <w:r>
        <w:rPr>
          <w:rFonts w:hint="eastAsia" w:ascii="宋体" w:hAnsi="宋体" w:eastAsia="宋体" w:cs="Times New Roman"/>
          <w:szCs w:val="21"/>
        </w:rPr>
        <w:t>协议等。</w:t>
      </w:r>
    </w:p>
    <w:p w14:paraId="46314CC3">
      <w:pPr>
        <w:widowControl w:val="0"/>
        <w:spacing w:beforeLines="0" w:line="400" w:lineRule="exact"/>
        <w:ind w:firstLine="420" w:firstLineChars="200"/>
        <w:jc w:val="both"/>
        <w:outlineLvl w:val="9"/>
        <w:rPr>
          <w:rFonts w:ascii="Times New Roman" w:hAnsi="Times New Roman" w:eastAsia="宋体" w:cs="Times New Roman"/>
          <w:kern w:val="2"/>
          <w:sz w:val="21"/>
          <w:szCs w:val="21"/>
          <w:lang w:val="en-US" w:eastAsia="zh-CN" w:bidi="ar-SA"/>
        </w:rPr>
      </w:pPr>
    </w:p>
    <w:p w14:paraId="5341A6DA">
      <w:pPr>
        <w:keepNext/>
        <w:keepLines/>
        <w:widowControl w:val="0"/>
        <w:spacing w:beforeLines="0" w:line="400" w:lineRule="exact"/>
        <w:jc w:val="both"/>
        <w:outlineLvl w:val="9"/>
        <w:rPr>
          <w:rFonts w:hint="eastAsia" w:ascii="宋体" w:hAnsi="宋体" w:eastAsia="宋体" w:cs="Times New Roman"/>
          <w:b w:val="0"/>
          <w:bCs w:val="0"/>
          <w:kern w:val="2"/>
          <w:sz w:val="21"/>
          <w:szCs w:val="21"/>
          <w:highlight w:val="none"/>
          <w:lang w:val="en-US" w:eastAsia="zh-CN" w:bidi="ar-SA"/>
        </w:rPr>
      </w:pPr>
      <w:r>
        <w:rPr>
          <w:rFonts w:hint="default" w:ascii="Arial" w:hAnsi="Arial" w:eastAsia="宋体" w:cs="Times New Roman"/>
          <w:b/>
          <w:bCs/>
          <w:kern w:val="2"/>
          <w:sz w:val="24"/>
          <w:szCs w:val="32"/>
          <w:lang w:val="en" w:eastAsia="zh-CN" w:bidi="ar-SA"/>
        </w:rPr>
        <w:t xml:space="preserve">   </w:t>
      </w:r>
    </w:p>
    <w:p w14:paraId="5DE88522">
      <w:pPr>
        <w:outlineLvl w:val="9"/>
        <w:rPr>
          <w:rFonts w:hint="eastAsia" w:ascii="Times New Roman" w:hAnsi="Times New Roman" w:eastAsia="宋体" w:cs="Times New Roman"/>
          <w:szCs w:val="24"/>
        </w:rPr>
      </w:pPr>
      <w:r>
        <w:rPr>
          <w:rFonts w:hint="eastAsia" w:ascii="Times New Roman" w:hAnsi="Times New Roman" w:eastAsia="宋体" w:cs="Times New Roman"/>
          <w:szCs w:val="24"/>
        </w:rPr>
        <w:br w:type="page"/>
      </w:r>
    </w:p>
    <w:p w14:paraId="6E6CD7AD">
      <w:pPr>
        <w:widowControl w:val="0"/>
        <w:ind w:firstLine="420" w:firstLineChars="200"/>
        <w:jc w:val="both"/>
        <w:outlineLvl w:val="9"/>
        <w:rPr>
          <w:rFonts w:hint="eastAsia" w:ascii="Times New Roman" w:hAnsi="Times New Roman" w:eastAsia="宋体" w:cs="Times New Roman"/>
          <w:kern w:val="2"/>
          <w:sz w:val="21"/>
          <w:szCs w:val="21"/>
          <w:lang w:val="en-US" w:eastAsia="zh-CN" w:bidi="ar-SA"/>
        </w:rPr>
      </w:pPr>
    </w:p>
    <w:tbl>
      <w:tblPr>
        <w:tblStyle w:val="46"/>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891"/>
        <w:gridCol w:w="2412"/>
        <w:gridCol w:w="1979"/>
        <w:gridCol w:w="2116"/>
      </w:tblGrid>
      <w:tr w14:paraId="7DFA794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7EADCCF5">
            <w:pPr>
              <w:adjustRightInd w:val="0"/>
              <w:snapToGrid w:val="0"/>
              <w:spacing w:line="300" w:lineRule="exact"/>
              <w:jc w:val="center"/>
              <w:outlineLvl w:val="9"/>
              <w:rPr>
                <w:rFonts w:ascii="Times New Roman" w:hAnsi="Times New Roman" w:eastAsia="宋体" w:cs="Times New Roman"/>
                <w:szCs w:val="24"/>
              </w:rPr>
            </w:pPr>
            <w:r>
              <w:rPr>
                <w:rFonts w:ascii="Times New Roman" w:hAnsi="Times New Roman" w:eastAsia="宋体" w:cs="Times New Roman"/>
                <w:szCs w:val="21"/>
              </w:rPr>
              <w:t>甲方</w:t>
            </w:r>
            <w:r>
              <w:rPr>
                <w:rFonts w:hint="eastAsia" w:ascii="Times New Roman" w:hAnsi="Times New Roman" w:eastAsia="宋体" w:cs="Times New Roman"/>
                <w:szCs w:val="21"/>
              </w:rPr>
              <w:t>（采购人</w:t>
            </w:r>
            <w:r>
              <w:rPr>
                <w:rFonts w:hint="eastAsia" w:ascii="宋体" w:hAnsi="宋体" w:eastAsia="宋体" w:cs="Times New Roman"/>
                <w:szCs w:val="21"/>
                <w:lang w:eastAsia="zh-CN"/>
              </w:rPr>
              <w:t>、受采购人委托签订合同的单位</w:t>
            </w:r>
            <w:r>
              <w:rPr>
                <w:rFonts w:hint="eastAsia" w:ascii="宋体" w:hAnsi="宋体" w:eastAsia="宋体" w:cs="Times New Roman"/>
                <w:szCs w:val="21"/>
              </w:rPr>
              <w:t>或</w:t>
            </w:r>
            <w:r>
              <w:rPr>
                <w:rFonts w:hint="eastAsia" w:ascii="Times New Roman" w:hAnsi="Times New Roman" w:eastAsia="宋体" w:cs="Times New Roman"/>
                <w:szCs w:val="21"/>
              </w:rPr>
              <w:t>采购文件约定的合同甲方）</w:t>
            </w:r>
          </w:p>
        </w:tc>
        <w:tc>
          <w:tcPr>
            <w:tcW w:w="2437" w:type="pct"/>
            <w:gridSpan w:val="2"/>
            <w:tcBorders>
              <w:left w:val="single" w:color="auto" w:sz="2" w:space="0"/>
              <w:bottom w:val="single" w:color="auto" w:sz="2" w:space="0"/>
            </w:tcBorders>
            <w:vAlign w:val="center"/>
          </w:tcPr>
          <w:p w14:paraId="60294E2B">
            <w:pPr>
              <w:adjustRightInd w:val="0"/>
              <w:snapToGrid w:val="0"/>
              <w:spacing w:line="300" w:lineRule="exact"/>
              <w:jc w:val="center"/>
              <w:outlineLvl w:val="9"/>
              <w:rPr>
                <w:rFonts w:ascii="Times New Roman" w:hAnsi="Times New Roman" w:eastAsia="宋体" w:cs="Times New Roman"/>
                <w:szCs w:val="24"/>
              </w:rPr>
            </w:pPr>
            <w:r>
              <w:rPr>
                <w:rFonts w:ascii="Times New Roman" w:hAnsi="Times New Roman" w:eastAsia="宋体" w:cs="Times New Roman"/>
                <w:szCs w:val="21"/>
              </w:rPr>
              <w:t>乙方</w:t>
            </w:r>
            <w:r>
              <w:rPr>
                <w:rFonts w:hint="eastAsia" w:ascii="Times New Roman" w:hAnsi="Times New Roman" w:eastAsia="宋体" w:cs="Times New Roman"/>
                <w:szCs w:val="21"/>
              </w:rPr>
              <w:t>（供应商）</w:t>
            </w:r>
          </w:p>
        </w:tc>
      </w:tr>
      <w:tr w14:paraId="0C1C778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21D9B871">
            <w:pPr>
              <w:adjustRightInd w:val="0"/>
              <w:snapToGrid w:val="0"/>
              <w:spacing w:line="300" w:lineRule="exact"/>
              <w:jc w:val="center"/>
              <w:outlineLvl w:val="9"/>
              <w:rPr>
                <w:rFonts w:ascii="Times New Roman" w:hAnsi="Times New Roman" w:eastAsia="宋体" w:cs="Times New Roman"/>
                <w:szCs w:val="21"/>
              </w:rPr>
            </w:pPr>
            <w:r>
              <w:rPr>
                <w:rFonts w:ascii="Times New Roman" w:hAnsi="Times New Roman" w:eastAsia="宋体" w:cs="Times New Roman"/>
                <w:szCs w:val="21"/>
              </w:rPr>
              <w:t>单位名称</w:t>
            </w:r>
            <w:r>
              <w:rPr>
                <w:rFonts w:hint="eastAsia" w:ascii="Times New Roman" w:hAnsi="Times New Roman" w:eastAsia="宋体" w:cs="Times New Roman"/>
                <w:szCs w:val="21"/>
              </w:rPr>
              <w:t>（公章</w:t>
            </w:r>
            <w:r>
              <w:rPr>
                <w:rFonts w:hint="eastAsia" w:ascii="Times New Roman" w:hAnsi="Times New Roman" w:eastAsia="宋体" w:cs="Times New Roman"/>
                <w:szCs w:val="21"/>
                <w:lang w:eastAsia="zh-CN"/>
              </w:rPr>
              <w:t>或合同章</w:t>
            </w:r>
            <w:r>
              <w:rPr>
                <w:rFonts w:hint="eastAsia" w:ascii="Times New Roman" w:hAnsi="Times New Roman" w:eastAsia="宋体" w:cs="Times New Roman"/>
                <w:szCs w:val="21"/>
              </w:rPr>
              <w:t>）</w:t>
            </w:r>
          </w:p>
        </w:tc>
        <w:tc>
          <w:tcPr>
            <w:tcW w:w="1436" w:type="pct"/>
            <w:tcBorders>
              <w:top w:val="single" w:color="auto" w:sz="2" w:space="0"/>
              <w:left w:val="single" w:color="auto" w:sz="2" w:space="0"/>
              <w:bottom w:val="single" w:color="auto" w:sz="2" w:space="0"/>
              <w:right w:val="single" w:color="auto" w:sz="2" w:space="0"/>
            </w:tcBorders>
            <w:vAlign w:val="center"/>
          </w:tcPr>
          <w:p w14:paraId="555BF1C1">
            <w:pPr>
              <w:adjustRightInd w:val="0"/>
              <w:snapToGrid w:val="0"/>
              <w:spacing w:line="300" w:lineRule="exact"/>
              <w:jc w:val="center"/>
              <w:outlineLvl w:val="9"/>
              <w:rPr>
                <w:rFonts w:ascii="Times New Roman" w:hAnsi="Times New Roman" w:eastAsia="宋体" w:cs="Times New Roman"/>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3E01C01">
            <w:pPr>
              <w:adjustRightInd w:val="0"/>
              <w:snapToGrid w:val="0"/>
              <w:spacing w:line="300" w:lineRule="exact"/>
              <w:jc w:val="center"/>
              <w:outlineLvl w:val="9"/>
              <w:rPr>
                <w:rFonts w:ascii="Times New Roman" w:hAnsi="Times New Roman" w:eastAsia="宋体" w:cs="Times New Roman"/>
                <w:szCs w:val="21"/>
              </w:rPr>
            </w:pPr>
            <w:r>
              <w:rPr>
                <w:rFonts w:ascii="Times New Roman" w:hAnsi="Times New Roman" w:eastAsia="宋体" w:cs="Times New Roman"/>
                <w:szCs w:val="21"/>
              </w:rPr>
              <w:t>单位名称</w:t>
            </w:r>
            <w:r>
              <w:rPr>
                <w:rFonts w:hint="eastAsia" w:ascii="Times New Roman" w:hAnsi="Times New Roman" w:eastAsia="宋体" w:cs="Times New Roman"/>
                <w:szCs w:val="21"/>
              </w:rPr>
              <w:t>（公章</w:t>
            </w:r>
            <w:r>
              <w:rPr>
                <w:rFonts w:hint="eastAsia" w:ascii="Times New Roman" w:hAnsi="Times New Roman" w:eastAsia="宋体" w:cs="Times New Roman"/>
                <w:szCs w:val="21"/>
                <w:lang w:eastAsia="zh-CN"/>
              </w:rPr>
              <w:t>或合同章</w:t>
            </w:r>
            <w:r>
              <w:rPr>
                <w:rFonts w:hint="eastAsia" w:ascii="Times New Roman" w:hAnsi="Times New Roman" w:eastAsia="宋体" w:cs="Times New Roman"/>
                <w:szCs w:val="21"/>
              </w:rPr>
              <w:t>）</w:t>
            </w:r>
          </w:p>
        </w:tc>
        <w:tc>
          <w:tcPr>
            <w:tcW w:w="1259" w:type="pct"/>
            <w:tcBorders>
              <w:top w:val="single" w:color="auto" w:sz="2" w:space="0"/>
              <w:left w:val="single" w:color="auto" w:sz="2" w:space="0"/>
              <w:bottom w:val="single" w:color="auto" w:sz="2" w:space="0"/>
            </w:tcBorders>
            <w:vAlign w:val="center"/>
          </w:tcPr>
          <w:p w14:paraId="0BBA2492">
            <w:pPr>
              <w:adjustRightInd w:val="0"/>
              <w:snapToGrid w:val="0"/>
              <w:spacing w:line="300" w:lineRule="exact"/>
              <w:jc w:val="center"/>
              <w:outlineLvl w:val="9"/>
              <w:rPr>
                <w:rFonts w:ascii="Times New Roman" w:hAnsi="Times New Roman" w:eastAsia="宋体" w:cs="Times New Roman"/>
                <w:spacing w:val="20"/>
                <w:szCs w:val="21"/>
              </w:rPr>
            </w:pPr>
          </w:p>
        </w:tc>
      </w:tr>
      <w:tr w14:paraId="27C9144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1F4DC135">
            <w:pPr>
              <w:adjustRightInd w:val="0"/>
              <w:snapToGrid w:val="0"/>
              <w:spacing w:line="300" w:lineRule="exact"/>
              <w:jc w:val="center"/>
              <w:outlineLvl w:val="9"/>
              <w:rPr>
                <w:rFonts w:ascii="Times New Roman" w:hAnsi="Times New Roman" w:eastAsia="宋体" w:cs="Times New Roman"/>
                <w:szCs w:val="21"/>
              </w:rPr>
            </w:pPr>
            <w:r>
              <w:rPr>
                <w:rFonts w:ascii="Times New Roman" w:hAnsi="Times New Roman" w:eastAsia="宋体" w:cs="Times New Roman"/>
                <w:szCs w:val="21"/>
              </w:rPr>
              <w:t>法定代表人</w:t>
            </w:r>
          </w:p>
          <w:p w14:paraId="3FA24352">
            <w:pPr>
              <w:adjustRightInd w:val="0"/>
              <w:snapToGrid w:val="0"/>
              <w:spacing w:line="300" w:lineRule="exact"/>
              <w:ind w:firstLine="100" w:firstLineChars="48"/>
              <w:jc w:val="center"/>
              <w:outlineLvl w:val="9"/>
              <w:rPr>
                <w:rFonts w:ascii="Times New Roman" w:hAnsi="Times New Roman" w:eastAsia="宋体" w:cs="Times New Roman"/>
                <w:szCs w:val="21"/>
              </w:rPr>
            </w:pPr>
            <w:r>
              <w:rPr>
                <w:rFonts w:hint="eastAsia" w:ascii="Times New Roman" w:hAnsi="Times New Roman" w:eastAsia="宋体" w:cs="Times New Roman"/>
                <w:szCs w:val="21"/>
              </w:rPr>
              <w:t>或其</w:t>
            </w:r>
            <w:r>
              <w:rPr>
                <w:rFonts w:ascii="Times New Roman" w:hAnsi="Times New Roman" w:eastAsia="宋体" w:cs="Times New Roman"/>
                <w:szCs w:val="21"/>
              </w:rPr>
              <w:t>委托代理人</w:t>
            </w:r>
            <w:r>
              <w:rPr>
                <w:rFonts w:hint="eastAsia" w:ascii="Times New Roman" w:hAnsi="Times New Roman" w:eastAsia="宋体" w:cs="Times New Roman"/>
                <w:szCs w:val="21"/>
              </w:rPr>
              <w:t>（签章）</w:t>
            </w:r>
          </w:p>
        </w:tc>
        <w:tc>
          <w:tcPr>
            <w:tcW w:w="1436" w:type="pct"/>
            <w:vMerge w:val="restart"/>
            <w:tcBorders>
              <w:top w:val="single" w:color="auto" w:sz="2" w:space="0"/>
              <w:left w:val="single" w:color="auto" w:sz="2" w:space="0"/>
              <w:right w:val="single" w:color="auto" w:sz="2" w:space="0"/>
            </w:tcBorders>
            <w:vAlign w:val="center"/>
          </w:tcPr>
          <w:p w14:paraId="02F9F866">
            <w:pPr>
              <w:adjustRightInd w:val="0"/>
              <w:snapToGrid w:val="0"/>
              <w:spacing w:line="300" w:lineRule="exact"/>
              <w:jc w:val="center"/>
              <w:outlineLvl w:val="9"/>
              <w:rPr>
                <w:rFonts w:ascii="Times New Roman" w:hAnsi="Times New Roman" w:eastAsia="宋体" w:cs="Times New Roman"/>
                <w:szCs w:val="21"/>
              </w:rPr>
            </w:pPr>
          </w:p>
        </w:tc>
        <w:tc>
          <w:tcPr>
            <w:tcW w:w="1178" w:type="pct"/>
            <w:tcBorders>
              <w:top w:val="single" w:color="auto" w:sz="2" w:space="0"/>
              <w:left w:val="single" w:color="auto" w:sz="2" w:space="0"/>
              <w:right w:val="single" w:color="auto" w:sz="2" w:space="0"/>
            </w:tcBorders>
            <w:vAlign w:val="center"/>
          </w:tcPr>
          <w:p w14:paraId="722F3CC6">
            <w:pPr>
              <w:adjustRightInd w:val="0"/>
              <w:snapToGrid w:val="0"/>
              <w:spacing w:line="300" w:lineRule="exact"/>
              <w:jc w:val="center"/>
              <w:outlineLvl w:val="9"/>
              <w:rPr>
                <w:rFonts w:ascii="Times New Roman" w:hAnsi="Times New Roman" w:eastAsia="宋体" w:cs="Times New Roman"/>
                <w:szCs w:val="21"/>
              </w:rPr>
            </w:pPr>
            <w:r>
              <w:rPr>
                <w:rFonts w:ascii="Times New Roman" w:hAnsi="Times New Roman" w:eastAsia="宋体" w:cs="Times New Roman"/>
                <w:szCs w:val="21"/>
              </w:rPr>
              <w:t>法定代表人</w:t>
            </w:r>
          </w:p>
          <w:p w14:paraId="71C50FBF">
            <w:pPr>
              <w:adjustRightInd w:val="0"/>
              <w:snapToGrid w:val="0"/>
              <w:spacing w:line="300" w:lineRule="exact"/>
              <w:jc w:val="center"/>
              <w:outlineLvl w:val="9"/>
              <w:rPr>
                <w:rFonts w:ascii="Times New Roman" w:hAnsi="Times New Roman" w:eastAsia="宋体" w:cs="Times New Roman"/>
                <w:szCs w:val="21"/>
              </w:rPr>
            </w:pPr>
            <w:r>
              <w:rPr>
                <w:rFonts w:hint="eastAsia" w:ascii="Times New Roman" w:hAnsi="Times New Roman" w:eastAsia="宋体" w:cs="Times New Roman"/>
                <w:szCs w:val="21"/>
              </w:rPr>
              <w:t>或其</w:t>
            </w:r>
            <w:r>
              <w:rPr>
                <w:rFonts w:ascii="Times New Roman" w:hAnsi="Times New Roman" w:eastAsia="宋体" w:cs="Times New Roman"/>
                <w:szCs w:val="21"/>
              </w:rPr>
              <w:t>委托代理人</w:t>
            </w:r>
            <w:r>
              <w:rPr>
                <w:rFonts w:hint="eastAsia" w:ascii="Times New Roman" w:hAnsi="Times New Roman" w:eastAsia="宋体" w:cs="Times New Roman"/>
                <w:szCs w:val="21"/>
              </w:rPr>
              <w:t>（签章）</w:t>
            </w:r>
          </w:p>
        </w:tc>
        <w:tc>
          <w:tcPr>
            <w:tcW w:w="1259" w:type="pct"/>
            <w:tcBorders>
              <w:top w:val="single" w:color="auto" w:sz="2" w:space="0"/>
              <w:left w:val="single" w:color="auto" w:sz="2" w:space="0"/>
              <w:bottom w:val="single" w:color="auto" w:sz="2" w:space="0"/>
            </w:tcBorders>
            <w:vAlign w:val="center"/>
          </w:tcPr>
          <w:p w14:paraId="4F2C8921">
            <w:pPr>
              <w:adjustRightInd w:val="0"/>
              <w:snapToGrid w:val="0"/>
              <w:spacing w:line="300" w:lineRule="exact"/>
              <w:jc w:val="center"/>
              <w:outlineLvl w:val="9"/>
              <w:rPr>
                <w:rFonts w:ascii="Times New Roman" w:hAnsi="Times New Roman" w:eastAsia="宋体" w:cs="Times New Roman"/>
                <w:szCs w:val="21"/>
              </w:rPr>
            </w:pPr>
          </w:p>
        </w:tc>
      </w:tr>
      <w:tr w14:paraId="69CE0A6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6707F93F">
            <w:pPr>
              <w:adjustRightInd w:val="0"/>
              <w:snapToGrid w:val="0"/>
              <w:spacing w:line="300" w:lineRule="exact"/>
              <w:jc w:val="center"/>
              <w:outlineLvl w:val="9"/>
              <w:rPr>
                <w:rFonts w:ascii="Times New Roman" w:hAnsi="Times New Roman" w:eastAsia="宋体" w:cs="Times New Roman"/>
                <w:szCs w:val="21"/>
              </w:rPr>
            </w:pPr>
          </w:p>
        </w:tc>
        <w:tc>
          <w:tcPr>
            <w:tcW w:w="1436" w:type="pct"/>
            <w:vMerge w:val="continue"/>
            <w:tcBorders>
              <w:left w:val="single" w:color="auto" w:sz="2" w:space="0"/>
              <w:bottom w:val="single" w:color="auto" w:sz="2" w:space="0"/>
              <w:right w:val="single" w:color="auto" w:sz="2" w:space="0"/>
            </w:tcBorders>
            <w:vAlign w:val="center"/>
          </w:tcPr>
          <w:p w14:paraId="0D489A91">
            <w:pPr>
              <w:adjustRightInd w:val="0"/>
              <w:snapToGrid w:val="0"/>
              <w:spacing w:line="300" w:lineRule="exact"/>
              <w:jc w:val="center"/>
              <w:outlineLvl w:val="9"/>
              <w:rPr>
                <w:rFonts w:ascii="Times New Roman" w:hAnsi="Times New Roman" w:eastAsia="宋体" w:cs="Times New Roman"/>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4A77C70">
            <w:pPr>
              <w:adjustRightInd w:val="0"/>
              <w:snapToGrid w:val="0"/>
              <w:spacing w:line="300" w:lineRule="exact"/>
              <w:jc w:val="center"/>
              <w:outlineLvl w:val="9"/>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拥有者性别</w:t>
            </w:r>
          </w:p>
        </w:tc>
        <w:tc>
          <w:tcPr>
            <w:tcW w:w="1259" w:type="pct"/>
            <w:tcBorders>
              <w:top w:val="single" w:color="auto" w:sz="2" w:space="0"/>
              <w:left w:val="single" w:color="auto" w:sz="2" w:space="0"/>
              <w:bottom w:val="single" w:color="auto" w:sz="2" w:space="0"/>
            </w:tcBorders>
            <w:vAlign w:val="center"/>
          </w:tcPr>
          <w:p w14:paraId="307FF290">
            <w:pPr>
              <w:adjustRightInd w:val="0"/>
              <w:snapToGrid w:val="0"/>
              <w:spacing w:line="300" w:lineRule="exact"/>
              <w:jc w:val="center"/>
              <w:outlineLvl w:val="9"/>
              <w:rPr>
                <w:rFonts w:ascii="Times New Roman" w:hAnsi="Times New Roman" w:eastAsia="宋体" w:cs="Times New Roman"/>
                <w:spacing w:val="20"/>
                <w:szCs w:val="21"/>
              </w:rPr>
            </w:pPr>
          </w:p>
        </w:tc>
      </w:tr>
      <w:tr w14:paraId="396987C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F5E2C79">
            <w:pPr>
              <w:adjustRightInd w:val="0"/>
              <w:snapToGrid w:val="0"/>
              <w:spacing w:line="300" w:lineRule="exact"/>
              <w:jc w:val="center"/>
              <w:outlineLvl w:val="9"/>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住</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5F2FF1AA">
            <w:pPr>
              <w:adjustRightInd w:val="0"/>
              <w:snapToGrid w:val="0"/>
              <w:spacing w:line="300" w:lineRule="exact"/>
              <w:jc w:val="center"/>
              <w:outlineLvl w:val="9"/>
              <w:rPr>
                <w:rFonts w:ascii="Times New Roman" w:hAnsi="Times New Roman" w:eastAsia="宋体" w:cs="Times New Roman"/>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94F42ED">
            <w:pPr>
              <w:adjustRightInd w:val="0"/>
              <w:snapToGrid w:val="0"/>
              <w:spacing w:line="300" w:lineRule="exact"/>
              <w:jc w:val="center"/>
              <w:outlineLvl w:val="9"/>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住</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lang w:eastAsia="zh-CN"/>
              </w:rPr>
              <w:t>所</w:t>
            </w:r>
          </w:p>
        </w:tc>
        <w:tc>
          <w:tcPr>
            <w:tcW w:w="1259" w:type="pct"/>
            <w:tcBorders>
              <w:top w:val="single" w:color="auto" w:sz="2" w:space="0"/>
              <w:left w:val="single" w:color="auto" w:sz="2" w:space="0"/>
              <w:bottom w:val="single" w:color="auto" w:sz="2" w:space="0"/>
            </w:tcBorders>
            <w:vAlign w:val="center"/>
          </w:tcPr>
          <w:p w14:paraId="3507C1BF">
            <w:pPr>
              <w:adjustRightInd w:val="0"/>
              <w:snapToGrid w:val="0"/>
              <w:spacing w:line="300" w:lineRule="exact"/>
              <w:jc w:val="center"/>
              <w:outlineLvl w:val="9"/>
              <w:rPr>
                <w:rFonts w:ascii="Times New Roman" w:hAnsi="Times New Roman" w:eastAsia="宋体" w:cs="Times New Roman"/>
                <w:spacing w:val="20"/>
                <w:szCs w:val="21"/>
              </w:rPr>
            </w:pPr>
          </w:p>
        </w:tc>
      </w:tr>
      <w:tr w14:paraId="1B31594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1772947">
            <w:pPr>
              <w:adjustRightInd w:val="0"/>
              <w:snapToGrid w:val="0"/>
              <w:spacing w:line="300" w:lineRule="exact"/>
              <w:jc w:val="center"/>
              <w:outlineLvl w:val="9"/>
              <w:rPr>
                <w:rFonts w:ascii="Times New Roman" w:hAnsi="Times New Roman" w:eastAsia="宋体" w:cs="Times New Roman"/>
                <w:szCs w:val="21"/>
              </w:rPr>
            </w:pPr>
            <w:r>
              <w:rPr>
                <w:rFonts w:ascii="Times New Roman" w:hAnsi="Times New Roman" w:eastAsia="宋体" w:cs="Times New Roman"/>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3F228CC2">
            <w:pPr>
              <w:adjustRightInd w:val="0"/>
              <w:snapToGrid w:val="0"/>
              <w:spacing w:line="300" w:lineRule="exact"/>
              <w:jc w:val="center"/>
              <w:outlineLvl w:val="9"/>
              <w:rPr>
                <w:rFonts w:ascii="Times New Roman" w:hAnsi="Times New Roman" w:eastAsia="宋体" w:cs="Times New Roman"/>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F4643AE">
            <w:pPr>
              <w:adjustRightInd w:val="0"/>
              <w:snapToGrid w:val="0"/>
              <w:spacing w:line="300" w:lineRule="exact"/>
              <w:jc w:val="center"/>
              <w:outlineLvl w:val="9"/>
              <w:rPr>
                <w:rFonts w:ascii="Times New Roman" w:hAnsi="Times New Roman" w:eastAsia="宋体" w:cs="Times New Roman"/>
                <w:szCs w:val="21"/>
              </w:rPr>
            </w:pPr>
            <w:r>
              <w:rPr>
                <w:rFonts w:ascii="Times New Roman" w:hAnsi="Times New Roman" w:eastAsia="宋体" w:cs="Times New Roman"/>
                <w:szCs w:val="21"/>
              </w:rPr>
              <w:t>联 系 人</w:t>
            </w:r>
          </w:p>
        </w:tc>
        <w:tc>
          <w:tcPr>
            <w:tcW w:w="1259" w:type="pct"/>
            <w:tcBorders>
              <w:top w:val="single" w:color="auto" w:sz="2" w:space="0"/>
              <w:left w:val="single" w:color="auto" w:sz="2" w:space="0"/>
              <w:bottom w:val="single" w:color="auto" w:sz="2" w:space="0"/>
            </w:tcBorders>
            <w:vAlign w:val="center"/>
          </w:tcPr>
          <w:p w14:paraId="5FAAF469">
            <w:pPr>
              <w:adjustRightInd w:val="0"/>
              <w:snapToGrid w:val="0"/>
              <w:spacing w:line="300" w:lineRule="exact"/>
              <w:jc w:val="center"/>
              <w:outlineLvl w:val="9"/>
              <w:rPr>
                <w:rFonts w:ascii="Times New Roman" w:hAnsi="Times New Roman" w:eastAsia="宋体" w:cs="Times New Roman"/>
                <w:spacing w:val="20"/>
                <w:szCs w:val="21"/>
              </w:rPr>
            </w:pPr>
          </w:p>
        </w:tc>
      </w:tr>
      <w:tr w14:paraId="1CD9CA6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3AE757D">
            <w:pPr>
              <w:adjustRightInd w:val="0"/>
              <w:snapToGrid w:val="0"/>
              <w:spacing w:line="300" w:lineRule="exact"/>
              <w:jc w:val="center"/>
              <w:outlineLvl w:val="9"/>
              <w:rPr>
                <w:rFonts w:ascii="Times New Roman" w:hAnsi="Times New Roman" w:eastAsia="宋体" w:cs="Times New Roman"/>
                <w:szCs w:val="21"/>
              </w:rPr>
            </w:pPr>
            <w:r>
              <w:rPr>
                <w:rFonts w:ascii="Times New Roman" w:hAnsi="Times New Roman" w:eastAsia="宋体" w:cs="Times New Roman"/>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3F5C716E">
            <w:pPr>
              <w:adjustRightInd w:val="0"/>
              <w:snapToGrid w:val="0"/>
              <w:spacing w:line="300" w:lineRule="exact"/>
              <w:jc w:val="center"/>
              <w:outlineLvl w:val="9"/>
              <w:rPr>
                <w:rFonts w:ascii="Times New Roman" w:hAnsi="Times New Roman" w:eastAsia="宋体" w:cs="Times New Roman"/>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F406E95">
            <w:pPr>
              <w:adjustRightInd w:val="0"/>
              <w:snapToGrid w:val="0"/>
              <w:spacing w:line="300" w:lineRule="exact"/>
              <w:jc w:val="center"/>
              <w:outlineLvl w:val="9"/>
              <w:rPr>
                <w:rFonts w:ascii="Times New Roman" w:hAnsi="Times New Roman" w:eastAsia="宋体" w:cs="Times New Roman"/>
                <w:szCs w:val="21"/>
              </w:rPr>
            </w:pPr>
            <w:r>
              <w:rPr>
                <w:rFonts w:ascii="Times New Roman" w:hAnsi="Times New Roman" w:eastAsia="宋体" w:cs="Times New Roman"/>
                <w:szCs w:val="21"/>
              </w:rPr>
              <w:t>联系电话</w:t>
            </w:r>
          </w:p>
        </w:tc>
        <w:tc>
          <w:tcPr>
            <w:tcW w:w="1259" w:type="pct"/>
            <w:tcBorders>
              <w:top w:val="single" w:color="auto" w:sz="2" w:space="0"/>
              <w:left w:val="single" w:color="auto" w:sz="2" w:space="0"/>
              <w:bottom w:val="single" w:color="auto" w:sz="2" w:space="0"/>
            </w:tcBorders>
            <w:vAlign w:val="center"/>
          </w:tcPr>
          <w:p w14:paraId="7C77309A">
            <w:pPr>
              <w:adjustRightInd w:val="0"/>
              <w:snapToGrid w:val="0"/>
              <w:spacing w:line="300" w:lineRule="exact"/>
              <w:jc w:val="center"/>
              <w:outlineLvl w:val="9"/>
              <w:rPr>
                <w:rFonts w:ascii="Times New Roman" w:hAnsi="Times New Roman" w:eastAsia="宋体" w:cs="Times New Roman"/>
                <w:spacing w:val="20"/>
                <w:szCs w:val="21"/>
              </w:rPr>
            </w:pPr>
          </w:p>
        </w:tc>
      </w:tr>
      <w:tr w14:paraId="06AE63F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9CED627">
            <w:pPr>
              <w:adjustRightInd w:val="0"/>
              <w:snapToGrid w:val="0"/>
              <w:spacing w:line="300" w:lineRule="exact"/>
              <w:jc w:val="center"/>
              <w:outlineLvl w:val="9"/>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0870EE28">
            <w:pPr>
              <w:adjustRightInd w:val="0"/>
              <w:snapToGrid w:val="0"/>
              <w:spacing w:line="300" w:lineRule="exact"/>
              <w:jc w:val="center"/>
              <w:outlineLvl w:val="9"/>
              <w:rPr>
                <w:rFonts w:ascii="Times New Roman" w:hAnsi="Times New Roman" w:eastAsia="宋体" w:cs="Times New Roman"/>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2FAA2F8">
            <w:pPr>
              <w:adjustRightInd w:val="0"/>
              <w:snapToGrid w:val="0"/>
              <w:spacing w:line="300" w:lineRule="exact"/>
              <w:jc w:val="center"/>
              <w:outlineLvl w:val="9"/>
              <w:rPr>
                <w:rFonts w:ascii="Times New Roman" w:hAnsi="Times New Roman" w:eastAsia="宋体" w:cs="Times New Roman"/>
                <w:szCs w:val="21"/>
              </w:rPr>
            </w:pPr>
            <w:r>
              <w:rPr>
                <w:rFonts w:hint="eastAsia" w:ascii="Times New Roman" w:hAnsi="Times New Roman" w:eastAsia="宋体" w:cs="Times New Roman"/>
                <w:szCs w:val="21"/>
                <w:lang w:eastAsia="zh-CN"/>
              </w:rPr>
              <w:t>通信地址</w:t>
            </w:r>
          </w:p>
        </w:tc>
        <w:tc>
          <w:tcPr>
            <w:tcW w:w="1259" w:type="pct"/>
            <w:tcBorders>
              <w:top w:val="single" w:color="auto" w:sz="2" w:space="0"/>
              <w:left w:val="single" w:color="auto" w:sz="2" w:space="0"/>
              <w:bottom w:val="single" w:color="auto" w:sz="2" w:space="0"/>
            </w:tcBorders>
            <w:vAlign w:val="center"/>
          </w:tcPr>
          <w:p w14:paraId="10260CAA">
            <w:pPr>
              <w:adjustRightInd w:val="0"/>
              <w:snapToGrid w:val="0"/>
              <w:spacing w:line="300" w:lineRule="exact"/>
              <w:jc w:val="center"/>
              <w:outlineLvl w:val="9"/>
              <w:rPr>
                <w:rFonts w:ascii="Times New Roman" w:hAnsi="Times New Roman" w:eastAsia="宋体" w:cs="Times New Roman"/>
                <w:spacing w:val="20"/>
                <w:szCs w:val="21"/>
              </w:rPr>
            </w:pPr>
          </w:p>
        </w:tc>
      </w:tr>
      <w:tr w14:paraId="3583E09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3B23FC3">
            <w:pPr>
              <w:adjustRightInd w:val="0"/>
              <w:snapToGrid w:val="0"/>
              <w:spacing w:line="300" w:lineRule="exact"/>
              <w:jc w:val="center"/>
              <w:outlineLvl w:val="9"/>
              <w:rPr>
                <w:rFonts w:ascii="Times New Roman" w:hAnsi="Times New Roman" w:eastAsia="宋体" w:cs="Times New Roman"/>
                <w:szCs w:val="21"/>
              </w:rPr>
            </w:pPr>
            <w:r>
              <w:rPr>
                <w:rFonts w:ascii="Times New Roman" w:hAnsi="Times New Roman" w:eastAsia="宋体" w:cs="Times New Roman"/>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5928D64C">
            <w:pPr>
              <w:adjustRightInd w:val="0"/>
              <w:snapToGrid w:val="0"/>
              <w:spacing w:line="300" w:lineRule="exact"/>
              <w:jc w:val="center"/>
              <w:outlineLvl w:val="9"/>
              <w:rPr>
                <w:rFonts w:ascii="Times New Roman" w:hAnsi="Times New Roman" w:eastAsia="宋体" w:cs="Times New Roman"/>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17BD685">
            <w:pPr>
              <w:adjustRightInd w:val="0"/>
              <w:snapToGrid w:val="0"/>
              <w:spacing w:line="300" w:lineRule="exact"/>
              <w:jc w:val="center"/>
              <w:outlineLvl w:val="9"/>
              <w:rPr>
                <w:rFonts w:ascii="Times New Roman" w:hAnsi="Times New Roman" w:eastAsia="宋体" w:cs="Times New Roman"/>
                <w:szCs w:val="21"/>
              </w:rPr>
            </w:pPr>
            <w:r>
              <w:rPr>
                <w:rFonts w:ascii="Times New Roman" w:hAnsi="Times New Roman" w:eastAsia="宋体" w:cs="Times New Roman"/>
                <w:szCs w:val="21"/>
              </w:rPr>
              <w:t>邮政编码</w:t>
            </w:r>
          </w:p>
        </w:tc>
        <w:tc>
          <w:tcPr>
            <w:tcW w:w="1259" w:type="pct"/>
            <w:tcBorders>
              <w:top w:val="single" w:color="auto" w:sz="2" w:space="0"/>
              <w:left w:val="single" w:color="auto" w:sz="2" w:space="0"/>
              <w:bottom w:val="single" w:color="auto" w:sz="2" w:space="0"/>
            </w:tcBorders>
            <w:vAlign w:val="center"/>
          </w:tcPr>
          <w:p w14:paraId="6154B007">
            <w:pPr>
              <w:adjustRightInd w:val="0"/>
              <w:snapToGrid w:val="0"/>
              <w:spacing w:line="300" w:lineRule="exact"/>
              <w:jc w:val="center"/>
              <w:outlineLvl w:val="9"/>
              <w:rPr>
                <w:rFonts w:ascii="Times New Roman" w:hAnsi="Times New Roman" w:eastAsia="宋体" w:cs="Times New Roman"/>
                <w:spacing w:val="20"/>
                <w:szCs w:val="21"/>
              </w:rPr>
            </w:pPr>
          </w:p>
        </w:tc>
      </w:tr>
      <w:tr w14:paraId="2B9F483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DE2649B">
            <w:pPr>
              <w:adjustRightInd w:val="0"/>
              <w:snapToGrid w:val="0"/>
              <w:spacing w:line="300" w:lineRule="exact"/>
              <w:jc w:val="center"/>
              <w:outlineLvl w:val="9"/>
              <w:rPr>
                <w:rFonts w:ascii="Times New Roman" w:hAnsi="Times New Roman" w:eastAsia="宋体" w:cs="Times New Roman"/>
                <w:szCs w:val="21"/>
              </w:rPr>
            </w:pPr>
            <w:r>
              <w:rPr>
                <w:rFonts w:hint="eastAsia" w:ascii="Times New Roman" w:hAnsi="Times New Roman" w:eastAsia="宋体" w:cs="Times New Roman"/>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4D428340">
            <w:pPr>
              <w:adjustRightInd w:val="0"/>
              <w:snapToGrid w:val="0"/>
              <w:spacing w:line="300" w:lineRule="exact"/>
              <w:jc w:val="center"/>
              <w:outlineLvl w:val="9"/>
              <w:rPr>
                <w:rFonts w:ascii="Times New Roman" w:hAnsi="Times New Roman" w:eastAsia="宋体" w:cs="Times New Roman"/>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F9869F5">
            <w:pPr>
              <w:adjustRightInd w:val="0"/>
              <w:snapToGrid w:val="0"/>
              <w:spacing w:line="300" w:lineRule="exact"/>
              <w:jc w:val="center"/>
              <w:outlineLvl w:val="9"/>
              <w:rPr>
                <w:rFonts w:ascii="Times New Roman" w:hAnsi="Times New Roman" w:eastAsia="宋体" w:cs="Times New Roman"/>
                <w:szCs w:val="21"/>
              </w:rPr>
            </w:pPr>
            <w:r>
              <w:rPr>
                <w:rFonts w:hint="eastAsia" w:ascii="Times New Roman" w:hAnsi="Times New Roman" w:eastAsia="宋体" w:cs="Times New Roman"/>
                <w:szCs w:val="21"/>
              </w:rPr>
              <w:t>电子邮箱</w:t>
            </w:r>
          </w:p>
        </w:tc>
        <w:tc>
          <w:tcPr>
            <w:tcW w:w="1259" w:type="pct"/>
            <w:tcBorders>
              <w:top w:val="single" w:color="auto" w:sz="2" w:space="0"/>
              <w:left w:val="single" w:color="auto" w:sz="2" w:space="0"/>
              <w:bottom w:val="single" w:color="auto" w:sz="2" w:space="0"/>
            </w:tcBorders>
            <w:vAlign w:val="center"/>
          </w:tcPr>
          <w:p w14:paraId="324743F3">
            <w:pPr>
              <w:adjustRightInd w:val="0"/>
              <w:snapToGrid w:val="0"/>
              <w:spacing w:line="300" w:lineRule="exact"/>
              <w:jc w:val="center"/>
              <w:outlineLvl w:val="9"/>
              <w:rPr>
                <w:rFonts w:ascii="Times New Roman" w:hAnsi="Times New Roman" w:eastAsia="宋体" w:cs="Times New Roman"/>
                <w:spacing w:val="20"/>
                <w:szCs w:val="21"/>
              </w:rPr>
            </w:pPr>
          </w:p>
        </w:tc>
      </w:tr>
      <w:tr w14:paraId="4FD8EEF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B8EB52C">
            <w:pPr>
              <w:adjustRightInd w:val="0"/>
              <w:snapToGrid w:val="0"/>
              <w:spacing w:line="300" w:lineRule="exact"/>
              <w:jc w:val="center"/>
              <w:outlineLvl w:val="9"/>
              <w:rPr>
                <w:rFonts w:ascii="Times New Roman" w:hAnsi="Times New Roman" w:eastAsia="宋体" w:cs="Times New Roman"/>
                <w:szCs w:val="21"/>
              </w:rPr>
            </w:pPr>
            <w:r>
              <w:rPr>
                <w:rFonts w:hint="eastAsia" w:ascii="Times New Roman" w:hAnsi="Times New Roman" w:eastAsia="宋体" w:cs="Times New Roman"/>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1284E8E5">
            <w:pPr>
              <w:adjustRightInd w:val="0"/>
              <w:snapToGrid w:val="0"/>
              <w:spacing w:line="300" w:lineRule="exact"/>
              <w:jc w:val="center"/>
              <w:outlineLvl w:val="9"/>
              <w:rPr>
                <w:rFonts w:ascii="Times New Roman" w:hAnsi="Times New Roman" w:eastAsia="宋体" w:cs="Times New Roman"/>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E83152E">
            <w:pPr>
              <w:adjustRightInd w:val="0"/>
              <w:snapToGrid w:val="0"/>
              <w:spacing w:line="300" w:lineRule="exact"/>
              <w:jc w:val="center"/>
              <w:outlineLvl w:val="9"/>
              <w:rPr>
                <w:rFonts w:ascii="Times New Roman" w:hAnsi="Times New Roman" w:eastAsia="宋体" w:cs="Times New Roman"/>
                <w:szCs w:val="21"/>
              </w:rPr>
            </w:pPr>
            <w:r>
              <w:rPr>
                <w:rFonts w:hint="eastAsia" w:ascii="Times New Roman" w:hAnsi="Times New Roman" w:eastAsia="宋体" w:cs="Times New Roman"/>
                <w:szCs w:val="21"/>
              </w:rPr>
              <w:t>统一社会信用代码</w:t>
            </w:r>
          </w:p>
        </w:tc>
        <w:tc>
          <w:tcPr>
            <w:tcW w:w="1259" w:type="pct"/>
            <w:tcBorders>
              <w:top w:val="single" w:color="auto" w:sz="2" w:space="0"/>
              <w:left w:val="single" w:color="auto" w:sz="2" w:space="0"/>
              <w:bottom w:val="single" w:color="auto" w:sz="2" w:space="0"/>
            </w:tcBorders>
            <w:vAlign w:val="center"/>
          </w:tcPr>
          <w:p w14:paraId="7AE466FB">
            <w:pPr>
              <w:adjustRightInd w:val="0"/>
              <w:snapToGrid w:val="0"/>
              <w:spacing w:line="300" w:lineRule="exact"/>
              <w:jc w:val="center"/>
              <w:outlineLvl w:val="9"/>
              <w:rPr>
                <w:rFonts w:ascii="Times New Roman" w:hAnsi="Times New Roman" w:eastAsia="宋体" w:cs="Times New Roman"/>
                <w:spacing w:val="20"/>
                <w:szCs w:val="21"/>
              </w:rPr>
            </w:pPr>
          </w:p>
        </w:tc>
      </w:tr>
      <w:tr w14:paraId="4D6839E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1BA3782">
            <w:pPr>
              <w:adjustRightInd w:val="0"/>
              <w:snapToGrid w:val="0"/>
              <w:spacing w:line="300" w:lineRule="exact"/>
              <w:jc w:val="center"/>
              <w:outlineLvl w:val="9"/>
              <w:rPr>
                <w:rFonts w:ascii="Times New Roman" w:hAnsi="Times New Roman" w:eastAsia="宋体" w:cs="Times New Roman"/>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437AAA3B">
            <w:pPr>
              <w:adjustRightInd w:val="0"/>
              <w:snapToGrid w:val="0"/>
              <w:spacing w:line="300" w:lineRule="exact"/>
              <w:jc w:val="center"/>
              <w:outlineLvl w:val="9"/>
              <w:rPr>
                <w:rFonts w:ascii="Times New Roman" w:hAnsi="Times New Roman" w:eastAsia="宋体" w:cs="Times New Roman"/>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AD9F324">
            <w:pPr>
              <w:adjustRightInd w:val="0"/>
              <w:snapToGrid w:val="0"/>
              <w:spacing w:line="300" w:lineRule="exact"/>
              <w:jc w:val="center"/>
              <w:outlineLvl w:val="9"/>
              <w:rPr>
                <w:rFonts w:ascii="Times New Roman" w:hAnsi="Times New Roman" w:eastAsia="宋体" w:cs="Times New Roman"/>
                <w:szCs w:val="21"/>
              </w:rPr>
            </w:pPr>
            <w:r>
              <w:rPr>
                <w:rFonts w:ascii="Times New Roman" w:hAnsi="Times New Roman" w:eastAsia="宋体" w:cs="Times New Roman"/>
                <w:szCs w:val="21"/>
              </w:rPr>
              <w:t>开户名称</w:t>
            </w:r>
          </w:p>
        </w:tc>
        <w:tc>
          <w:tcPr>
            <w:tcW w:w="1259" w:type="pct"/>
            <w:tcBorders>
              <w:top w:val="single" w:color="auto" w:sz="2" w:space="0"/>
              <w:left w:val="single" w:color="auto" w:sz="2" w:space="0"/>
              <w:bottom w:val="single" w:color="auto" w:sz="2" w:space="0"/>
            </w:tcBorders>
            <w:vAlign w:val="center"/>
          </w:tcPr>
          <w:p w14:paraId="37E68BC9">
            <w:pPr>
              <w:adjustRightInd w:val="0"/>
              <w:snapToGrid w:val="0"/>
              <w:spacing w:line="300" w:lineRule="exact"/>
              <w:jc w:val="center"/>
              <w:outlineLvl w:val="9"/>
              <w:rPr>
                <w:rFonts w:ascii="Times New Roman" w:hAnsi="Times New Roman" w:eastAsia="宋体" w:cs="Times New Roman"/>
                <w:spacing w:val="20"/>
                <w:szCs w:val="21"/>
              </w:rPr>
            </w:pPr>
          </w:p>
        </w:tc>
      </w:tr>
      <w:tr w14:paraId="34960FC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483" w:hRule="atLeast"/>
        </w:trPr>
        <w:tc>
          <w:tcPr>
            <w:tcW w:w="1126" w:type="pct"/>
            <w:tcBorders>
              <w:top w:val="single" w:color="auto" w:sz="2" w:space="0"/>
              <w:bottom w:val="single" w:color="auto" w:sz="2" w:space="0"/>
              <w:right w:val="single" w:color="auto" w:sz="2" w:space="0"/>
            </w:tcBorders>
            <w:vAlign w:val="center"/>
          </w:tcPr>
          <w:p w14:paraId="1BE9E62C">
            <w:pPr>
              <w:adjustRightInd w:val="0"/>
              <w:snapToGrid w:val="0"/>
              <w:spacing w:line="300" w:lineRule="exact"/>
              <w:jc w:val="center"/>
              <w:outlineLvl w:val="9"/>
              <w:rPr>
                <w:rFonts w:ascii="Times New Roman" w:hAnsi="Times New Roman" w:eastAsia="宋体" w:cs="Times New Roman"/>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46A74069">
            <w:pPr>
              <w:adjustRightInd w:val="0"/>
              <w:snapToGrid w:val="0"/>
              <w:spacing w:line="300" w:lineRule="exact"/>
              <w:jc w:val="center"/>
              <w:outlineLvl w:val="9"/>
              <w:rPr>
                <w:rFonts w:ascii="Times New Roman" w:hAnsi="Times New Roman" w:eastAsia="宋体" w:cs="Times New Roman"/>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DF9FE31">
            <w:pPr>
              <w:adjustRightInd w:val="0"/>
              <w:snapToGrid w:val="0"/>
              <w:spacing w:line="300" w:lineRule="exact"/>
              <w:jc w:val="center"/>
              <w:outlineLvl w:val="9"/>
              <w:rPr>
                <w:rFonts w:ascii="Times New Roman" w:hAnsi="Times New Roman" w:eastAsia="宋体" w:cs="Times New Roman"/>
                <w:szCs w:val="21"/>
              </w:rPr>
            </w:pPr>
            <w:r>
              <w:rPr>
                <w:rFonts w:ascii="Times New Roman" w:hAnsi="Times New Roman" w:eastAsia="宋体" w:cs="Times New Roman"/>
                <w:szCs w:val="21"/>
              </w:rPr>
              <w:t>开户银行</w:t>
            </w:r>
          </w:p>
        </w:tc>
        <w:tc>
          <w:tcPr>
            <w:tcW w:w="1259" w:type="pct"/>
            <w:tcBorders>
              <w:top w:val="single" w:color="auto" w:sz="2" w:space="0"/>
              <w:left w:val="single" w:color="auto" w:sz="2" w:space="0"/>
              <w:bottom w:val="single" w:color="auto" w:sz="2" w:space="0"/>
            </w:tcBorders>
            <w:vAlign w:val="center"/>
          </w:tcPr>
          <w:p w14:paraId="3A48347A">
            <w:pPr>
              <w:adjustRightInd w:val="0"/>
              <w:snapToGrid w:val="0"/>
              <w:spacing w:line="300" w:lineRule="exact"/>
              <w:jc w:val="center"/>
              <w:outlineLvl w:val="9"/>
              <w:rPr>
                <w:rFonts w:ascii="Times New Roman" w:hAnsi="Times New Roman" w:eastAsia="宋体" w:cs="Times New Roman"/>
                <w:spacing w:val="20"/>
                <w:szCs w:val="21"/>
              </w:rPr>
            </w:pPr>
          </w:p>
        </w:tc>
      </w:tr>
      <w:tr w14:paraId="6B7A741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7A5A3BE">
            <w:pPr>
              <w:adjustRightInd w:val="0"/>
              <w:snapToGrid w:val="0"/>
              <w:spacing w:line="300" w:lineRule="exact"/>
              <w:jc w:val="center"/>
              <w:outlineLvl w:val="9"/>
              <w:rPr>
                <w:rFonts w:ascii="Times New Roman" w:hAnsi="Times New Roman" w:eastAsia="宋体" w:cs="Times New Roman"/>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084F9B2E">
            <w:pPr>
              <w:adjustRightInd w:val="0"/>
              <w:snapToGrid w:val="0"/>
              <w:spacing w:line="300" w:lineRule="exact"/>
              <w:jc w:val="center"/>
              <w:outlineLvl w:val="9"/>
              <w:rPr>
                <w:rFonts w:ascii="Times New Roman" w:hAnsi="Times New Roman" w:eastAsia="宋体" w:cs="Times New Roman"/>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82152DD">
            <w:pPr>
              <w:adjustRightInd w:val="0"/>
              <w:snapToGrid w:val="0"/>
              <w:spacing w:line="300" w:lineRule="exact"/>
              <w:jc w:val="center"/>
              <w:outlineLvl w:val="9"/>
              <w:rPr>
                <w:rFonts w:ascii="Times New Roman" w:hAnsi="Times New Roman" w:eastAsia="宋体" w:cs="Times New Roman"/>
                <w:szCs w:val="21"/>
              </w:rPr>
            </w:pPr>
            <w:r>
              <w:rPr>
                <w:rFonts w:ascii="Times New Roman" w:hAnsi="Times New Roman" w:eastAsia="宋体" w:cs="Times New Roman"/>
                <w:szCs w:val="21"/>
              </w:rPr>
              <w:t>银行账号</w:t>
            </w:r>
          </w:p>
        </w:tc>
        <w:tc>
          <w:tcPr>
            <w:tcW w:w="1259" w:type="pct"/>
            <w:tcBorders>
              <w:top w:val="single" w:color="auto" w:sz="2" w:space="0"/>
              <w:left w:val="single" w:color="auto" w:sz="2" w:space="0"/>
              <w:bottom w:val="single" w:color="auto" w:sz="2" w:space="0"/>
            </w:tcBorders>
            <w:vAlign w:val="center"/>
          </w:tcPr>
          <w:p w14:paraId="09484066">
            <w:pPr>
              <w:adjustRightInd w:val="0"/>
              <w:snapToGrid w:val="0"/>
              <w:spacing w:line="300" w:lineRule="exact"/>
              <w:jc w:val="center"/>
              <w:outlineLvl w:val="9"/>
              <w:rPr>
                <w:rFonts w:ascii="Times New Roman" w:hAnsi="Times New Roman" w:eastAsia="宋体" w:cs="Times New Roman"/>
                <w:spacing w:val="20"/>
                <w:szCs w:val="21"/>
              </w:rPr>
            </w:pPr>
          </w:p>
        </w:tc>
      </w:tr>
      <w:tr w14:paraId="08B1F16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521845AF">
            <w:pPr>
              <w:widowControl w:val="0"/>
              <w:adjustRightInd w:val="0"/>
              <w:snapToGrid w:val="0"/>
              <w:spacing w:before="156" w:beforeLines="50" w:after="0" w:line="360" w:lineRule="auto"/>
              <w:ind w:left="0" w:leftChars="0"/>
              <w:jc w:val="left"/>
              <w:outlineLvl w:val="9"/>
              <w:rPr>
                <w:rFonts w:ascii="Times New Roman" w:hAnsi="Times New Roman" w:eastAsia="宋体" w:cs="Times New Roman"/>
                <w:spacing w:val="20"/>
                <w:kern w:val="2"/>
                <w:sz w:val="21"/>
                <w:szCs w:val="21"/>
                <w:lang w:val="en-US" w:eastAsia="zh-CN" w:bidi="ar-SA"/>
              </w:rPr>
            </w:pPr>
            <w:r>
              <w:rPr>
                <w:rFonts w:hint="eastAsia" w:ascii="宋体" w:hAnsi="宋体" w:eastAsia="宋体" w:cs="Times New Roman"/>
                <w:kern w:val="2"/>
                <w:sz w:val="21"/>
                <w:szCs w:val="21"/>
                <w:lang w:val="en-US" w:eastAsia="zh-CN" w:bidi="ar-SA"/>
              </w:rPr>
              <w:t>注：涉及联合体或其他合同主体的信息应按上表格式加列。</w:t>
            </w:r>
          </w:p>
        </w:tc>
      </w:tr>
    </w:tbl>
    <w:p w14:paraId="5855C36C">
      <w:pPr>
        <w:keepNext/>
        <w:keepLines/>
        <w:widowControl w:val="0"/>
        <w:adjustRightInd w:val="0"/>
        <w:snapToGrid w:val="0"/>
        <w:spacing w:before="156" w:beforeLines="50" w:line="360" w:lineRule="auto"/>
        <w:jc w:val="center"/>
        <w:outlineLvl w:val="9"/>
        <w:rPr>
          <w:rFonts w:ascii="黑体" w:hAnsi="黑体" w:eastAsia="黑体" w:cs="Times New Roman"/>
          <w:b/>
          <w:bCs/>
          <w:kern w:val="2"/>
          <w:sz w:val="28"/>
          <w:szCs w:val="28"/>
          <w:lang w:val="en-US" w:eastAsia="zh-CN" w:bidi="ar-SA"/>
        </w:rPr>
      </w:pPr>
      <w:r>
        <w:rPr>
          <w:rFonts w:ascii="宋体" w:hAnsi="宋体" w:eastAsia="宋体" w:cs="Times New Roman"/>
          <w:b/>
          <w:bCs/>
          <w:kern w:val="2"/>
          <w:sz w:val="21"/>
          <w:szCs w:val="21"/>
          <w:u w:val="single"/>
          <w:lang w:val="en-US" w:eastAsia="zh-CN" w:bidi="ar-SA"/>
        </w:rPr>
        <w:br w:type="page"/>
      </w:r>
      <w:bookmarkStart w:id="132" w:name="_Toc27624"/>
      <w:r>
        <w:rPr>
          <w:rFonts w:hint="eastAsia" w:ascii="黑体" w:hAnsi="黑体" w:eastAsia="黑体" w:cs="Times New Roman"/>
          <w:b w:val="0"/>
          <w:bCs w:val="0"/>
          <w:kern w:val="2"/>
          <w:sz w:val="28"/>
          <w:szCs w:val="28"/>
          <w:lang w:val="en-US" w:eastAsia="zh-CN" w:bidi="ar-SA"/>
        </w:rPr>
        <w:t>第二节 政府采购合同通用条款</w:t>
      </w:r>
      <w:bookmarkEnd w:id="132"/>
    </w:p>
    <w:p w14:paraId="2F87282E">
      <w:pPr>
        <w:tabs>
          <w:tab w:val="left" w:pos="8820"/>
          <w:tab w:val="left" w:pos="9345"/>
          <w:tab w:val="left" w:pos="9765"/>
        </w:tabs>
        <w:adjustRightInd w:val="0"/>
        <w:snapToGrid w:val="0"/>
        <w:spacing w:before="0" w:line="400" w:lineRule="exact"/>
        <w:jc w:val="left"/>
        <w:outlineLvl w:val="9"/>
        <w:rPr>
          <w:rFonts w:ascii="宋体" w:hAnsi="宋体" w:eastAsia="宋体" w:cs="Times New Roman"/>
          <w:b/>
          <w:bCs/>
          <w:sz w:val="24"/>
          <w:szCs w:val="24"/>
        </w:rPr>
      </w:pPr>
      <w:r>
        <w:rPr>
          <w:rFonts w:hint="eastAsia" w:ascii="宋体" w:hAnsi="宋体" w:eastAsia="宋体" w:cs="Times New Roman"/>
          <w:b/>
          <w:sz w:val="24"/>
          <w:szCs w:val="24"/>
        </w:rPr>
        <w:t>1.</w:t>
      </w:r>
      <w:r>
        <w:rPr>
          <w:rFonts w:hint="eastAsia" w:ascii="宋体" w:hAnsi="宋体" w:eastAsia="宋体" w:cs="Times New Roman"/>
          <w:b/>
          <w:sz w:val="24"/>
          <w:szCs w:val="24"/>
          <w:lang w:val="en-US" w:eastAsia="zh-CN"/>
        </w:rPr>
        <w:t xml:space="preserve"> </w:t>
      </w:r>
      <w:r>
        <w:rPr>
          <w:rFonts w:hint="eastAsia" w:ascii="宋体" w:hAnsi="宋体" w:eastAsia="宋体" w:cs="Times New Roman"/>
          <w:b/>
          <w:bCs/>
          <w:sz w:val="24"/>
          <w:szCs w:val="24"/>
        </w:rPr>
        <w:t>定义</w:t>
      </w:r>
    </w:p>
    <w:p w14:paraId="6094FF18">
      <w:pPr>
        <w:autoSpaceDE w:val="0"/>
        <w:autoSpaceDN w:val="0"/>
        <w:adjustRightInd w:val="0"/>
        <w:snapToGrid w:val="0"/>
        <w:spacing w:before="0" w:line="400" w:lineRule="exact"/>
        <w:ind w:firstLine="420" w:firstLineChars="200"/>
        <w:jc w:val="left"/>
        <w:outlineLvl w:val="9"/>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1.1合同当事人</w:t>
      </w:r>
    </w:p>
    <w:p w14:paraId="6348D5A1">
      <w:pPr>
        <w:autoSpaceDE w:val="0"/>
        <w:autoSpaceDN w:val="0"/>
        <w:adjustRightInd w:val="0"/>
        <w:snapToGrid w:val="0"/>
        <w:spacing w:before="0" w:line="400" w:lineRule="exact"/>
        <w:ind w:firstLine="420" w:firstLineChars="200"/>
        <w:jc w:val="left"/>
        <w:outlineLvl w:val="9"/>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（1）采购人（以下称甲方）是指使用财政性资金，通过政府采购方式向供应商购买货物</w:t>
      </w:r>
      <w:r>
        <w:rPr>
          <w:rFonts w:hint="eastAsia" w:ascii="宋体" w:hAnsi="宋体" w:eastAsia="宋体" w:cs="Times New Roman"/>
          <w:color w:val="auto"/>
          <w:szCs w:val="21"/>
          <w:highlight w:val="none"/>
          <w:lang w:val="en-US" w:eastAsia="zh-CN"/>
        </w:rPr>
        <w:t>及其相关服务的</w:t>
      </w:r>
      <w:r>
        <w:rPr>
          <w:rFonts w:hint="eastAsia" w:ascii="宋体" w:hAnsi="宋体" w:eastAsia="宋体" w:cs="Times New Roman"/>
          <w:color w:val="auto"/>
          <w:szCs w:val="21"/>
          <w:highlight w:val="none"/>
        </w:rPr>
        <w:t>国家机关、事业单位、团体组织。</w:t>
      </w:r>
    </w:p>
    <w:p w14:paraId="511A8292">
      <w:pPr>
        <w:autoSpaceDE w:val="0"/>
        <w:autoSpaceDN w:val="0"/>
        <w:adjustRightInd w:val="0"/>
        <w:snapToGrid w:val="0"/>
        <w:spacing w:before="0" w:line="400" w:lineRule="exact"/>
        <w:ind w:firstLine="420" w:firstLineChars="200"/>
        <w:jc w:val="left"/>
        <w:outlineLvl w:val="9"/>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（2）供应商（以下称</w:t>
      </w:r>
      <w:r>
        <w:rPr>
          <w:rFonts w:hint="eastAsia" w:ascii="宋体" w:hAnsi="宋体" w:eastAsia="宋体" w:cs="Times New Roman"/>
          <w:color w:val="auto"/>
          <w:szCs w:val="21"/>
          <w:highlight w:val="none"/>
          <w:lang w:eastAsia="zh-CN"/>
        </w:rPr>
        <w:t>乙</w:t>
      </w:r>
      <w:r>
        <w:rPr>
          <w:rFonts w:hint="eastAsia" w:ascii="宋体" w:hAnsi="宋体" w:eastAsia="宋体" w:cs="Times New Roman"/>
          <w:color w:val="auto"/>
          <w:szCs w:val="21"/>
          <w:highlight w:val="none"/>
        </w:rPr>
        <w:t>方）是指参加政府采购活动并且中标（成交），向采购人提供</w:t>
      </w:r>
      <w:r>
        <w:rPr>
          <w:rFonts w:hint="eastAsia" w:ascii="宋体" w:hAnsi="宋体" w:eastAsia="宋体" w:cs="Times New Roman"/>
          <w:color w:val="auto"/>
          <w:szCs w:val="21"/>
          <w:highlight w:val="none"/>
          <w:lang w:val="en-US" w:eastAsia="zh-CN"/>
        </w:rPr>
        <w:t>合同约定的货物及其相关服务的法人、非法人组织或者自然人</w:t>
      </w:r>
      <w:r>
        <w:rPr>
          <w:rFonts w:hint="eastAsia" w:ascii="宋体" w:hAnsi="宋体" w:eastAsia="宋体" w:cs="Times New Roman"/>
          <w:color w:val="auto"/>
          <w:szCs w:val="21"/>
          <w:highlight w:val="none"/>
        </w:rPr>
        <w:t>。</w:t>
      </w:r>
    </w:p>
    <w:p w14:paraId="7CCC7AF5">
      <w:pPr>
        <w:autoSpaceDE w:val="0"/>
        <w:autoSpaceDN w:val="0"/>
        <w:adjustRightInd w:val="0"/>
        <w:snapToGrid w:val="0"/>
        <w:spacing w:before="0" w:line="400" w:lineRule="exact"/>
        <w:ind w:firstLine="420" w:firstLineChars="200"/>
        <w:jc w:val="left"/>
        <w:outlineLvl w:val="9"/>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（3）其他合同主体是指除采购人和供应商以外，</w:t>
      </w:r>
      <w:r>
        <w:rPr>
          <w:rFonts w:hint="eastAsia" w:ascii="宋体" w:hAnsi="宋体" w:eastAsia="宋体" w:cs="宋体"/>
          <w:bCs/>
          <w:color w:val="000000"/>
          <w:szCs w:val="21"/>
        </w:rPr>
        <w:t>依法参与合同缔结或履行，享有权利、承担义务的合同当事人</w:t>
      </w:r>
      <w:r>
        <w:rPr>
          <w:rFonts w:hint="eastAsia" w:ascii="宋体" w:hAnsi="宋体" w:eastAsia="宋体" w:cs="Times New Roman"/>
          <w:color w:val="auto"/>
          <w:szCs w:val="21"/>
          <w:highlight w:val="none"/>
        </w:rPr>
        <w:t>。</w:t>
      </w:r>
    </w:p>
    <w:p w14:paraId="348A6994">
      <w:pPr>
        <w:tabs>
          <w:tab w:val="left" w:pos="570"/>
          <w:tab w:val="left" w:pos="9240"/>
          <w:tab w:val="left" w:pos="9555"/>
        </w:tabs>
        <w:adjustRightInd w:val="0"/>
        <w:snapToGrid w:val="0"/>
        <w:spacing w:before="0" w:line="400" w:lineRule="exact"/>
        <w:ind w:firstLine="420" w:firstLineChars="200"/>
        <w:jc w:val="left"/>
        <w:outlineLvl w:val="9"/>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1.2本合同下列术语应解释为：</w:t>
      </w:r>
    </w:p>
    <w:p w14:paraId="6F4E34FF">
      <w:pPr>
        <w:adjustRightInd w:val="0"/>
        <w:snapToGrid w:val="0"/>
        <w:spacing w:before="0" w:beforeLines="0" w:line="400" w:lineRule="exact"/>
        <w:ind w:firstLine="420" w:firstLineChars="200"/>
        <w:jc w:val="left"/>
        <w:outlineLvl w:val="9"/>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（1）“合同”系指</w:t>
      </w:r>
      <w:r>
        <w:rPr>
          <w:rFonts w:hint="eastAsia" w:ascii="宋体" w:hAnsi="宋体" w:eastAsia="宋体" w:cs="宋体"/>
          <w:bCs/>
          <w:color w:val="000000"/>
          <w:szCs w:val="21"/>
        </w:rPr>
        <w:t>合同当事人意思表示达成一致的任何协议，包括签署的</w:t>
      </w:r>
      <w:r>
        <w:rPr>
          <w:rFonts w:hint="eastAsia" w:ascii="宋体" w:hAnsi="宋体" w:eastAsia="宋体" w:cs="Times New Roman"/>
          <w:color w:val="auto"/>
          <w:szCs w:val="21"/>
          <w:lang w:eastAsia="zh-CN"/>
        </w:rPr>
        <w:t>政府采购</w:t>
      </w:r>
      <w:r>
        <w:rPr>
          <w:rFonts w:hint="eastAsia" w:ascii="宋体" w:hAnsi="宋体" w:eastAsia="宋体" w:cs="Times New Roman"/>
          <w:color w:val="auto"/>
          <w:szCs w:val="21"/>
        </w:rPr>
        <w:t>合同协议书及其变更、补充</w:t>
      </w:r>
      <w:r>
        <w:rPr>
          <w:rFonts w:hint="eastAsia" w:ascii="宋体" w:hAnsi="宋体" w:eastAsia="宋体" w:cs="Times New Roman"/>
          <w:color w:val="auto"/>
          <w:szCs w:val="21"/>
          <w:lang w:eastAsia="zh-CN"/>
        </w:rPr>
        <w:t>协议，</w:t>
      </w:r>
      <w:r>
        <w:rPr>
          <w:rFonts w:hint="eastAsia" w:ascii="宋体" w:hAnsi="宋体" w:eastAsia="宋体" w:cs="Times New Roman"/>
          <w:szCs w:val="21"/>
        </w:rPr>
        <w:t>政府采购合同专用条款</w:t>
      </w:r>
      <w:r>
        <w:rPr>
          <w:rFonts w:hint="eastAsia" w:ascii="宋体" w:hAnsi="宋体" w:eastAsia="宋体" w:cs="Times New Roman"/>
          <w:szCs w:val="21"/>
          <w:lang w:eastAsia="zh-CN"/>
        </w:rPr>
        <w:t>，</w:t>
      </w:r>
      <w:r>
        <w:rPr>
          <w:rFonts w:hint="eastAsia" w:ascii="宋体" w:hAnsi="宋体" w:eastAsia="宋体" w:cs="Times New Roman"/>
          <w:szCs w:val="21"/>
        </w:rPr>
        <w:t>政府采购合同通用条款</w:t>
      </w:r>
      <w:r>
        <w:rPr>
          <w:rFonts w:hint="eastAsia" w:ascii="宋体" w:hAnsi="宋体" w:eastAsia="宋体" w:cs="Times New Roman"/>
          <w:szCs w:val="21"/>
          <w:lang w:eastAsia="zh-CN"/>
        </w:rPr>
        <w:t>，</w:t>
      </w:r>
      <w:r>
        <w:rPr>
          <w:rFonts w:hint="eastAsia" w:ascii="宋体" w:hAnsi="宋体" w:eastAsia="宋体" w:cs="Times New Roman"/>
          <w:color w:val="auto"/>
          <w:szCs w:val="21"/>
        </w:rPr>
        <w:t>中标</w:t>
      </w:r>
      <w:r>
        <w:rPr>
          <w:rFonts w:hint="eastAsia" w:ascii="宋体" w:hAnsi="宋体" w:eastAsia="宋体" w:cs="Times New Roman"/>
          <w:color w:val="auto"/>
          <w:szCs w:val="21"/>
          <w:lang w:eastAsia="zh-CN"/>
        </w:rPr>
        <w:t>（成交）</w:t>
      </w:r>
      <w:r>
        <w:rPr>
          <w:rFonts w:hint="eastAsia" w:ascii="宋体" w:hAnsi="宋体" w:eastAsia="宋体" w:cs="Times New Roman"/>
          <w:color w:val="auto"/>
          <w:szCs w:val="21"/>
        </w:rPr>
        <w:t>通知书</w:t>
      </w:r>
      <w:r>
        <w:rPr>
          <w:rFonts w:hint="eastAsia" w:ascii="宋体" w:hAnsi="宋体" w:eastAsia="宋体" w:cs="Times New Roman"/>
          <w:color w:val="auto"/>
          <w:szCs w:val="21"/>
          <w:lang w:eastAsia="zh-CN"/>
        </w:rPr>
        <w:t>，</w:t>
      </w:r>
      <w:r>
        <w:rPr>
          <w:rFonts w:hint="eastAsia" w:ascii="宋体" w:hAnsi="宋体" w:eastAsia="宋体" w:cs="Times New Roman"/>
          <w:szCs w:val="21"/>
        </w:rPr>
        <w:t>投标（响应）文件</w:t>
      </w:r>
      <w:r>
        <w:rPr>
          <w:rFonts w:hint="eastAsia" w:ascii="宋体" w:hAnsi="宋体" w:eastAsia="宋体" w:cs="Times New Roman"/>
          <w:szCs w:val="21"/>
          <w:lang w:eastAsia="zh-CN"/>
        </w:rPr>
        <w:t>，</w:t>
      </w:r>
      <w:r>
        <w:rPr>
          <w:rFonts w:hint="eastAsia" w:ascii="宋体" w:hAnsi="宋体" w:eastAsia="宋体" w:cs="Times New Roman"/>
          <w:szCs w:val="21"/>
        </w:rPr>
        <w:t>采购文件</w:t>
      </w:r>
      <w:r>
        <w:rPr>
          <w:rFonts w:hint="eastAsia" w:ascii="宋体" w:hAnsi="宋体" w:eastAsia="宋体" w:cs="Times New Roman"/>
          <w:szCs w:val="21"/>
          <w:lang w:eastAsia="zh-CN"/>
        </w:rPr>
        <w:t>，</w:t>
      </w:r>
      <w:r>
        <w:rPr>
          <w:rFonts w:hint="eastAsia" w:ascii="宋体" w:hAnsi="宋体" w:eastAsia="宋体" w:cs="Times New Roman"/>
          <w:szCs w:val="21"/>
        </w:rPr>
        <w:t>有关技术文件</w:t>
      </w:r>
      <w:r>
        <w:rPr>
          <w:rFonts w:hint="eastAsia" w:ascii="宋体" w:hAnsi="宋体" w:eastAsia="宋体" w:cs="Times New Roman"/>
          <w:szCs w:val="21"/>
          <w:lang w:eastAsia="zh-CN"/>
        </w:rPr>
        <w:t>和</w:t>
      </w:r>
      <w:r>
        <w:rPr>
          <w:rFonts w:hint="eastAsia" w:ascii="宋体" w:hAnsi="宋体" w:eastAsia="宋体" w:cs="Times New Roman"/>
          <w:szCs w:val="21"/>
        </w:rPr>
        <w:t>图纸</w:t>
      </w:r>
      <w:r>
        <w:rPr>
          <w:rFonts w:hint="eastAsia" w:ascii="宋体" w:hAnsi="宋体" w:eastAsia="宋体" w:cs="Times New Roman"/>
          <w:szCs w:val="21"/>
          <w:lang w:eastAsia="zh-CN"/>
        </w:rPr>
        <w:t>，以及</w:t>
      </w:r>
      <w:r>
        <w:rPr>
          <w:rFonts w:hint="eastAsia" w:ascii="宋体" w:hAnsi="宋体" w:eastAsia="宋体" w:cs="宋体"/>
          <w:bCs w:val="0"/>
          <w:color w:val="000000"/>
          <w:kern w:val="2"/>
          <w:sz w:val="21"/>
          <w:szCs w:val="21"/>
          <w:highlight w:val="none"/>
          <w:lang w:eastAsia="zh-CN"/>
        </w:rPr>
        <w:t>国家法律、行政法规和规章制度规定或合同约定的作为合同组成部分的其他文件</w:t>
      </w:r>
      <w:r>
        <w:rPr>
          <w:rFonts w:hint="eastAsia" w:ascii="宋体" w:hAnsi="宋体" w:eastAsia="宋体" w:cs="Times New Roman"/>
          <w:color w:val="auto"/>
          <w:szCs w:val="21"/>
          <w:highlight w:val="none"/>
        </w:rPr>
        <w:t>。</w:t>
      </w:r>
    </w:p>
    <w:p w14:paraId="65938CF8">
      <w:pPr>
        <w:tabs>
          <w:tab w:val="left" w:pos="570"/>
          <w:tab w:val="left" w:pos="9240"/>
          <w:tab w:val="left" w:pos="9555"/>
        </w:tabs>
        <w:adjustRightInd w:val="0"/>
        <w:snapToGrid w:val="0"/>
        <w:spacing w:before="0" w:line="400" w:lineRule="exact"/>
        <w:ind w:firstLine="420" w:firstLineChars="200"/>
        <w:jc w:val="left"/>
        <w:outlineLvl w:val="9"/>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）“合同价</w:t>
      </w:r>
      <w:r>
        <w:rPr>
          <w:rFonts w:hint="eastAsia" w:ascii="宋体" w:hAnsi="宋体" w:eastAsia="宋体" w:cs="Times New Roman"/>
          <w:color w:val="auto"/>
          <w:szCs w:val="21"/>
          <w:highlight w:val="none"/>
          <w:lang w:val="en-US" w:eastAsia="zh-CN"/>
        </w:rPr>
        <w:t>款</w:t>
      </w:r>
      <w:r>
        <w:rPr>
          <w:rFonts w:hint="eastAsia" w:ascii="宋体" w:hAnsi="宋体" w:eastAsia="宋体" w:cs="Times New Roman"/>
          <w:color w:val="auto"/>
          <w:szCs w:val="21"/>
          <w:highlight w:val="none"/>
        </w:rPr>
        <w:t>”系指根据本合同规定乙方在全面履行合同义务后甲方应支付给乙方的价款。</w:t>
      </w:r>
    </w:p>
    <w:p w14:paraId="0E29E07E">
      <w:pPr>
        <w:tabs>
          <w:tab w:val="left" w:pos="570"/>
          <w:tab w:val="left" w:pos="9240"/>
          <w:tab w:val="left" w:pos="9555"/>
        </w:tabs>
        <w:adjustRightInd w:val="0"/>
        <w:snapToGrid w:val="0"/>
        <w:spacing w:before="0" w:line="400" w:lineRule="exact"/>
        <w:ind w:firstLine="420" w:firstLineChars="200"/>
        <w:jc w:val="left"/>
        <w:outlineLvl w:val="9"/>
        <w:rPr>
          <w:rFonts w:hint="eastAsia" w:ascii="宋体" w:hAnsi="宋体" w:eastAsia="宋体" w:cs="Times New Roman"/>
          <w:color w:val="000000"/>
          <w:szCs w:val="21"/>
          <w:highlight w:val="none"/>
          <w:lang w:eastAsia="zh-CN"/>
        </w:rPr>
      </w:pP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）“货物”系指乙方根据本合同规定须向甲方提供的各种形态和种类的物品，包括原材料、设备、产品（</w:t>
      </w:r>
      <w:r>
        <w:rPr>
          <w:rFonts w:hint="eastAsia" w:ascii="宋体" w:hAnsi="宋体" w:eastAsia="宋体" w:cs="Times New Roman"/>
          <w:color w:val="000000"/>
          <w:szCs w:val="21"/>
          <w:highlight w:val="none"/>
        </w:rPr>
        <w:t>包括软件）及相关的其备品备件、工具、手册及</w:t>
      </w:r>
      <w:r>
        <w:rPr>
          <w:rFonts w:hint="default" w:ascii="宋体" w:hAnsi="宋体" w:eastAsia="宋体" w:cs="Times New Roman"/>
          <w:color w:val="000000"/>
          <w:szCs w:val="21"/>
          <w:highlight w:val="none"/>
          <w:lang w:val="en"/>
        </w:rPr>
        <w:t>其他</w:t>
      </w:r>
      <w:r>
        <w:rPr>
          <w:rFonts w:hint="eastAsia" w:ascii="宋体" w:hAnsi="宋体" w:eastAsia="宋体" w:cs="Times New Roman"/>
          <w:color w:val="000000"/>
          <w:szCs w:val="21"/>
          <w:highlight w:val="none"/>
        </w:rPr>
        <w:t>技术资料和材料</w:t>
      </w:r>
      <w:r>
        <w:rPr>
          <w:rFonts w:hint="eastAsia" w:ascii="宋体" w:hAnsi="宋体" w:eastAsia="宋体" w:cs="Times New Roman"/>
          <w:color w:val="000000"/>
          <w:szCs w:val="21"/>
          <w:highlight w:val="none"/>
          <w:lang w:eastAsia="zh-CN"/>
        </w:rPr>
        <w:t>等</w:t>
      </w:r>
      <w:r>
        <w:rPr>
          <w:rFonts w:hint="eastAsia" w:ascii="宋体" w:hAnsi="宋体" w:eastAsia="宋体" w:cs="Times New Roman"/>
          <w:color w:val="000000"/>
          <w:szCs w:val="21"/>
          <w:highlight w:val="none"/>
        </w:rPr>
        <w:t>。</w:t>
      </w:r>
    </w:p>
    <w:p w14:paraId="0CFA7209">
      <w:pPr>
        <w:adjustRightInd w:val="0"/>
        <w:snapToGrid w:val="0"/>
        <w:spacing w:before="0" w:line="400" w:lineRule="exact"/>
        <w:ind w:firstLine="420" w:firstLineChars="200"/>
        <w:jc w:val="left"/>
        <w:outlineLvl w:val="9"/>
        <w:rPr>
          <w:rFonts w:hint="eastAsia" w:ascii="宋体" w:hAnsi="宋体" w:eastAsia="宋体" w:cs="Times New Roman"/>
          <w:color w:val="000000"/>
          <w:szCs w:val="21"/>
          <w:highlight w:val="yellow"/>
          <w:lang w:eastAsia="zh-CN"/>
        </w:rPr>
      </w:pPr>
      <w:r>
        <w:rPr>
          <w:rFonts w:hint="eastAsia" w:ascii="宋体" w:hAnsi="宋体" w:eastAsia="宋体" w:cs="Times New Roman"/>
          <w:color w:val="000000"/>
          <w:szCs w:val="21"/>
          <w:highlight w:val="none"/>
        </w:rPr>
        <w:t>（</w:t>
      </w:r>
      <w:r>
        <w:rPr>
          <w:rFonts w:hint="eastAsia" w:ascii="宋体" w:hAnsi="宋体" w:eastAsia="宋体" w:cs="Times New Roman"/>
          <w:color w:val="000000"/>
          <w:szCs w:val="21"/>
          <w:highlight w:val="none"/>
          <w:lang w:val="en-US" w:eastAsia="zh-CN"/>
        </w:rPr>
        <w:t>4</w:t>
      </w:r>
      <w:r>
        <w:rPr>
          <w:rFonts w:hint="eastAsia" w:ascii="宋体" w:hAnsi="宋体" w:eastAsia="宋体" w:cs="Times New Roman"/>
          <w:color w:val="000000"/>
          <w:szCs w:val="21"/>
          <w:highlight w:val="none"/>
        </w:rPr>
        <w:t>）“</w:t>
      </w:r>
      <w:r>
        <w:rPr>
          <w:rFonts w:hint="eastAsia" w:ascii="宋体" w:hAnsi="宋体" w:eastAsia="宋体" w:cs="Times New Roman"/>
          <w:color w:val="auto"/>
          <w:szCs w:val="21"/>
          <w:highlight w:val="none"/>
          <w:lang w:val="en-US" w:eastAsia="zh-CN"/>
        </w:rPr>
        <w:t>相关</w:t>
      </w:r>
      <w:r>
        <w:rPr>
          <w:rFonts w:hint="eastAsia" w:ascii="宋体" w:hAnsi="宋体" w:eastAsia="宋体" w:cs="Times New Roman"/>
          <w:color w:val="000000"/>
          <w:szCs w:val="21"/>
          <w:highlight w:val="none"/>
        </w:rPr>
        <w:t>服务”系指根据合同规定，乙方应提供的</w:t>
      </w:r>
      <w:r>
        <w:rPr>
          <w:rFonts w:hint="eastAsia" w:ascii="宋体" w:hAnsi="宋体" w:eastAsia="宋体" w:cs="Times New Roman"/>
          <w:color w:val="000000"/>
          <w:szCs w:val="21"/>
          <w:highlight w:val="none"/>
          <w:lang w:val="en-US" w:eastAsia="zh-CN"/>
        </w:rPr>
        <w:t>与货物有关的</w:t>
      </w:r>
      <w:r>
        <w:rPr>
          <w:rFonts w:hint="eastAsia" w:ascii="宋体" w:hAnsi="宋体" w:eastAsia="宋体" w:cs="Times New Roman"/>
          <w:color w:val="000000"/>
          <w:szCs w:val="21"/>
          <w:highlight w:val="none"/>
        </w:rPr>
        <w:t>技术、管理和</w:t>
      </w:r>
      <w:r>
        <w:rPr>
          <w:rFonts w:hint="default" w:ascii="宋体" w:hAnsi="宋体" w:eastAsia="宋体" w:cs="Times New Roman"/>
          <w:color w:val="000000"/>
          <w:szCs w:val="21"/>
          <w:highlight w:val="none"/>
          <w:lang w:val="en"/>
        </w:rPr>
        <w:t>其他</w:t>
      </w:r>
      <w:r>
        <w:rPr>
          <w:rFonts w:hint="eastAsia" w:ascii="宋体" w:hAnsi="宋体" w:eastAsia="宋体" w:cs="Times New Roman"/>
          <w:color w:val="000000"/>
          <w:szCs w:val="21"/>
          <w:highlight w:val="none"/>
        </w:rPr>
        <w:t>服务，包括但不限于：管理和质量保证、运输、保险、检验、现场准备、安装、集成、调试、培训、维修、</w:t>
      </w:r>
      <w:r>
        <w:rPr>
          <w:rFonts w:hint="eastAsia" w:ascii="宋体" w:hAnsi="宋体" w:eastAsia="宋体" w:cs="Times New Roman"/>
          <w:color w:val="000000"/>
          <w:szCs w:val="21"/>
          <w:highlight w:val="none"/>
          <w:lang w:eastAsia="zh-CN"/>
        </w:rPr>
        <w:t>废弃处置、</w:t>
      </w:r>
      <w:r>
        <w:rPr>
          <w:rFonts w:hint="eastAsia" w:ascii="宋体" w:hAnsi="宋体" w:eastAsia="宋体" w:cs="Times New Roman"/>
          <w:color w:val="000000"/>
          <w:szCs w:val="21"/>
          <w:highlight w:val="none"/>
        </w:rPr>
        <w:t>技术支持等以及合同中规定乙方应承担的</w:t>
      </w:r>
      <w:r>
        <w:rPr>
          <w:rFonts w:hint="default" w:ascii="宋体" w:hAnsi="宋体" w:eastAsia="宋体" w:cs="Times New Roman"/>
          <w:color w:val="000000"/>
          <w:szCs w:val="21"/>
          <w:highlight w:val="none"/>
          <w:lang w:val="en"/>
        </w:rPr>
        <w:t>其他</w:t>
      </w:r>
      <w:r>
        <w:rPr>
          <w:rFonts w:hint="eastAsia" w:ascii="宋体" w:hAnsi="宋体" w:eastAsia="宋体" w:cs="Times New Roman"/>
          <w:color w:val="000000"/>
          <w:szCs w:val="21"/>
          <w:highlight w:val="none"/>
        </w:rPr>
        <w:t>义务。</w:t>
      </w:r>
    </w:p>
    <w:p w14:paraId="7BF51469">
      <w:pPr>
        <w:adjustRightInd w:val="0"/>
        <w:snapToGrid w:val="0"/>
        <w:spacing w:before="0" w:line="400" w:lineRule="exact"/>
        <w:ind w:firstLine="420" w:firstLineChars="200"/>
        <w:jc w:val="left"/>
        <w:outlineLvl w:val="9"/>
        <w:rPr>
          <w:rFonts w:hint="eastAsia" w:ascii="宋体" w:hAnsi="宋体" w:eastAsia="宋体" w:cs="Times New Roman"/>
          <w:color w:val="000000"/>
          <w:szCs w:val="21"/>
          <w:highlight w:val="yellow"/>
          <w:lang w:eastAsia="zh-CN"/>
        </w:rPr>
      </w:pPr>
      <w:r>
        <w:rPr>
          <w:rFonts w:hint="eastAsia" w:ascii="宋体" w:hAnsi="宋体" w:eastAsia="宋体" w:cs="Times New Roman"/>
          <w:color w:val="000000"/>
          <w:szCs w:val="21"/>
          <w:highlight w:val="none"/>
        </w:rPr>
        <w:t>（</w:t>
      </w:r>
      <w:r>
        <w:rPr>
          <w:rFonts w:hint="eastAsia" w:ascii="宋体" w:hAnsi="宋体" w:eastAsia="宋体" w:cs="Times New Roman"/>
          <w:color w:val="000000"/>
          <w:szCs w:val="21"/>
          <w:highlight w:val="none"/>
          <w:lang w:val="en-US" w:eastAsia="zh-CN"/>
        </w:rPr>
        <w:t>5</w:t>
      </w:r>
      <w:r>
        <w:rPr>
          <w:rFonts w:hint="eastAsia" w:ascii="宋体" w:hAnsi="宋体" w:eastAsia="宋体" w:cs="Times New Roman"/>
          <w:color w:val="000000"/>
          <w:szCs w:val="21"/>
          <w:highlight w:val="none"/>
        </w:rPr>
        <w:t>）“分包”系指中标</w:t>
      </w:r>
      <w:r>
        <w:rPr>
          <w:rFonts w:hint="eastAsia" w:ascii="宋体" w:hAnsi="宋体" w:eastAsia="宋体" w:cs="Times New Roman"/>
          <w:color w:val="000000"/>
          <w:szCs w:val="21"/>
          <w:highlight w:val="none"/>
          <w:lang w:eastAsia="zh-CN"/>
        </w:rPr>
        <w:t>（</w:t>
      </w:r>
      <w:r>
        <w:rPr>
          <w:rFonts w:hint="eastAsia" w:ascii="宋体" w:hAnsi="宋体" w:eastAsia="宋体" w:cs="Times New Roman"/>
          <w:color w:val="000000"/>
          <w:szCs w:val="21"/>
          <w:highlight w:val="none"/>
        </w:rPr>
        <w:t>成交</w:t>
      </w:r>
      <w:r>
        <w:rPr>
          <w:rFonts w:hint="eastAsia" w:ascii="宋体" w:hAnsi="宋体" w:eastAsia="宋体" w:cs="Times New Roman"/>
          <w:color w:val="000000"/>
          <w:szCs w:val="21"/>
          <w:highlight w:val="none"/>
          <w:lang w:eastAsia="zh-CN"/>
        </w:rPr>
        <w:t>）</w:t>
      </w:r>
      <w:r>
        <w:rPr>
          <w:rFonts w:hint="eastAsia" w:ascii="宋体" w:hAnsi="宋体" w:eastAsia="宋体" w:cs="Times New Roman"/>
          <w:color w:val="000000"/>
          <w:szCs w:val="21"/>
          <w:highlight w:val="none"/>
        </w:rPr>
        <w:t>供应商按采购文件、投标（响应）文件的规定，根据分包意向协议，将中标</w:t>
      </w:r>
      <w:r>
        <w:rPr>
          <w:rFonts w:hint="eastAsia" w:ascii="宋体" w:hAnsi="宋体" w:eastAsia="宋体" w:cs="Times New Roman"/>
          <w:color w:val="000000"/>
          <w:szCs w:val="21"/>
          <w:highlight w:val="none"/>
          <w:lang w:eastAsia="zh-CN"/>
        </w:rPr>
        <w:t>（</w:t>
      </w:r>
      <w:r>
        <w:rPr>
          <w:rFonts w:hint="eastAsia" w:ascii="宋体" w:hAnsi="宋体" w:eastAsia="宋体" w:cs="Times New Roman"/>
          <w:color w:val="000000"/>
          <w:szCs w:val="21"/>
          <w:highlight w:val="none"/>
        </w:rPr>
        <w:t>成交</w:t>
      </w:r>
      <w:r>
        <w:rPr>
          <w:rFonts w:hint="eastAsia" w:ascii="宋体" w:hAnsi="宋体" w:eastAsia="宋体" w:cs="Times New Roman"/>
          <w:color w:val="000000"/>
          <w:szCs w:val="21"/>
          <w:highlight w:val="none"/>
          <w:lang w:eastAsia="zh-CN"/>
        </w:rPr>
        <w:t>）</w:t>
      </w:r>
      <w:r>
        <w:rPr>
          <w:rFonts w:hint="eastAsia" w:ascii="宋体" w:hAnsi="宋体" w:eastAsia="宋体" w:cs="Times New Roman"/>
          <w:color w:val="000000"/>
          <w:szCs w:val="21"/>
          <w:highlight w:val="none"/>
        </w:rPr>
        <w:t>项目中的部分履约内容，分给具有相应资质条件的供应商履行合同的行为。</w:t>
      </w:r>
    </w:p>
    <w:p w14:paraId="7C9D24C5">
      <w:pPr>
        <w:tabs>
          <w:tab w:val="left" w:pos="570"/>
          <w:tab w:val="left" w:pos="9240"/>
          <w:tab w:val="left" w:pos="9555"/>
        </w:tabs>
        <w:adjustRightInd w:val="0"/>
        <w:snapToGrid w:val="0"/>
        <w:spacing w:before="0" w:line="400" w:lineRule="exact"/>
        <w:ind w:firstLine="420" w:firstLineChars="200"/>
        <w:jc w:val="left"/>
        <w:outlineLvl w:val="9"/>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w:t>
      </w:r>
      <w:r>
        <w:rPr>
          <w:rFonts w:hint="eastAsia" w:ascii="宋体" w:hAnsi="宋体" w:eastAsia="宋体" w:cs="Times New Roman"/>
          <w:color w:val="000000"/>
          <w:szCs w:val="21"/>
          <w:highlight w:val="none"/>
          <w:lang w:val="en-US" w:eastAsia="zh-CN"/>
        </w:rPr>
        <w:t>6</w:t>
      </w:r>
      <w:r>
        <w:rPr>
          <w:rFonts w:hint="eastAsia" w:ascii="宋体" w:hAnsi="宋体" w:eastAsia="宋体" w:cs="Times New Roman"/>
          <w:color w:val="000000"/>
          <w:szCs w:val="21"/>
          <w:highlight w:val="none"/>
        </w:rPr>
        <w:t>）</w:t>
      </w:r>
      <w:r>
        <w:rPr>
          <w:rFonts w:hint="eastAsia" w:ascii="宋体" w:hAnsi="宋体" w:eastAsia="宋体" w:cs="Times New Roman"/>
          <w:szCs w:val="21"/>
        </w:rPr>
        <w:t>“联合体”系指</w:t>
      </w:r>
      <w:r>
        <w:rPr>
          <w:rFonts w:hint="eastAsia" w:ascii="宋体" w:hAnsi="宋体" w:eastAsia="宋体" w:cs="Times New Roman"/>
          <w:szCs w:val="21"/>
          <w:lang w:eastAsia="zh-CN"/>
        </w:rPr>
        <w:t>由</w:t>
      </w:r>
      <w:r>
        <w:rPr>
          <w:rFonts w:hint="eastAsia" w:ascii="宋体" w:hAnsi="宋体" w:eastAsia="宋体" w:cs="Times New Roman"/>
          <w:szCs w:val="21"/>
        </w:rPr>
        <w:t>两个以上的自然人、法人或者</w:t>
      </w:r>
      <w:r>
        <w:rPr>
          <w:rFonts w:hint="eastAsia" w:ascii="宋体" w:hAnsi="宋体" w:eastAsia="宋体" w:cs="Times New Roman"/>
          <w:szCs w:val="21"/>
          <w:lang w:val="en-US" w:eastAsia="zh-CN"/>
        </w:rPr>
        <w:t>非法人</w:t>
      </w:r>
      <w:r>
        <w:rPr>
          <w:rFonts w:hint="eastAsia" w:ascii="宋体" w:hAnsi="宋体" w:eastAsia="宋体" w:cs="Times New Roman"/>
          <w:szCs w:val="21"/>
        </w:rPr>
        <w:t>组织组成，</w:t>
      </w:r>
      <w:r>
        <w:rPr>
          <w:rFonts w:hint="eastAsia" w:ascii="宋体" w:hAnsi="宋体" w:eastAsia="宋体" w:cs="Times New Roman"/>
          <w:szCs w:val="21"/>
          <w:lang w:eastAsia="zh-CN"/>
        </w:rPr>
        <w:t>以一个供应商的身份共同参加政府采购的主体</w:t>
      </w:r>
      <w:r>
        <w:rPr>
          <w:rFonts w:hint="eastAsia" w:ascii="宋体" w:hAnsi="宋体" w:eastAsia="宋体" w:cs="Times New Roman"/>
          <w:color w:val="000000"/>
          <w:szCs w:val="21"/>
          <w:highlight w:val="none"/>
          <w:lang w:eastAsia="zh-CN"/>
        </w:rPr>
        <w:t>。</w:t>
      </w:r>
      <w:r>
        <w:rPr>
          <w:rFonts w:hint="eastAsia" w:ascii="宋体" w:hAnsi="宋体" w:eastAsia="宋体" w:cs="Times New Roman"/>
          <w:color w:val="000000"/>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eastAsia="宋体" w:cs="Times New Roman"/>
          <w:color w:val="000000"/>
          <w:szCs w:val="21"/>
          <w:highlight w:val="none"/>
          <w:lang w:eastAsia="zh-CN"/>
        </w:rPr>
        <w:t>甲方</w:t>
      </w:r>
      <w:r>
        <w:rPr>
          <w:rFonts w:hint="eastAsia" w:ascii="宋体" w:hAnsi="宋体" w:eastAsia="宋体" w:cs="Times New Roman"/>
          <w:color w:val="000000"/>
          <w:szCs w:val="21"/>
          <w:highlight w:val="none"/>
        </w:rPr>
        <w:t>承担连带责任。联合体具体要求见【</w:t>
      </w:r>
      <w:r>
        <w:rPr>
          <w:rFonts w:hint="eastAsia" w:ascii="宋体" w:hAnsi="宋体" w:eastAsia="宋体" w:cs="Times New Roman"/>
          <w:b/>
          <w:bCs/>
          <w:color w:val="000000"/>
          <w:szCs w:val="21"/>
          <w:highlight w:val="none"/>
        </w:rPr>
        <w:t>政府采购合同专用条款</w:t>
      </w:r>
      <w:r>
        <w:rPr>
          <w:rFonts w:hint="eastAsia" w:ascii="宋体" w:hAnsi="宋体" w:eastAsia="宋体" w:cs="Times New Roman"/>
          <w:color w:val="000000"/>
          <w:szCs w:val="21"/>
          <w:highlight w:val="none"/>
        </w:rPr>
        <w:t>】。</w:t>
      </w:r>
    </w:p>
    <w:p w14:paraId="392B95BF">
      <w:pPr>
        <w:tabs>
          <w:tab w:val="left" w:pos="570"/>
          <w:tab w:val="left" w:pos="9240"/>
          <w:tab w:val="left" w:pos="9555"/>
        </w:tabs>
        <w:adjustRightInd w:val="0"/>
        <w:snapToGrid w:val="0"/>
        <w:spacing w:before="0" w:line="400" w:lineRule="exact"/>
        <w:ind w:firstLine="420" w:firstLineChars="200"/>
        <w:jc w:val="left"/>
        <w:outlineLvl w:val="9"/>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w:t>
      </w:r>
      <w:r>
        <w:rPr>
          <w:rFonts w:hint="eastAsia" w:ascii="宋体" w:hAnsi="宋体" w:eastAsia="宋体" w:cs="Times New Roman"/>
          <w:color w:val="000000"/>
          <w:szCs w:val="21"/>
          <w:highlight w:val="none"/>
          <w:lang w:val="en-US" w:eastAsia="zh-CN"/>
        </w:rPr>
        <w:t>7</w:t>
      </w:r>
      <w:r>
        <w:rPr>
          <w:rFonts w:hint="eastAsia" w:ascii="宋体" w:hAnsi="宋体" w:eastAsia="宋体" w:cs="Times New Roman"/>
          <w:color w:val="000000"/>
          <w:szCs w:val="21"/>
          <w:highlight w:val="none"/>
        </w:rPr>
        <w:t>）其他术语解释，见【</w:t>
      </w:r>
      <w:r>
        <w:rPr>
          <w:rFonts w:hint="eastAsia" w:ascii="宋体" w:hAnsi="宋体" w:eastAsia="宋体" w:cs="Times New Roman"/>
          <w:b/>
          <w:bCs/>
          <w:color w:val="000000"/>
          <w:szCs w:val="21"/>
          <w:highlight w:val="none"/>
        </w:rPr>
        <w:t>政府采购合同专用条款</w:t>
      </w:r>
      <w:r>
        <w:rPr>
          <w:rFonts w:hint="eastAsia" w:ascii="宋体" w:hAnsi="宋体" w:eastAsia="宋体" w:cs="Times New Roman"/>
          <w:color w:val="000000"/>
          <w:szCs w:val="21"/>
          <w:highlight w:val="none"/>
        </w:rPr>
        <w:t>】。</w:t>
      </w:r>
    </w:p>
    <w:p w14:paraId="722308D1">
      <w:pPr>
        <w:numPr>
          <w:ilvl w:val="0"/>
          <w:numId w:val="19"/>
        </w:numPr>
        <w:autoSpaceDE w:val="0"/>
        <w:autoSpaceDN w:val="0"/>
        <w:adjustRightInd w:val="0"/>
        <w:snapToGrid w:val="0"/>
        <w:spacing w:before="0" w:line="400" w:lineRule="exact"/>
        <w:jc w:val="left"/>
        <w:outlineLvl w:val="9"/>
        <w:rPr>
          <w:rFonts w:ascii="宋体" w:hAnsi="宋体" w:eastAsia="宋体" w:cs="Times New Roman"/>
          <w:b/>
          <w:bCs/>
          <w:color w:val="000000"/>
          <w:sz w:val="24"/>
          <w:szCs w:val="24"/>
          <w:highlight w:val="none"/>
        </w:rPr>
      </w:pPr>
      <w:r>
        <w:rPr>
          <w:rFonts w:hint="eastAsia" w:ascii="宋体" w:hAnsi="宋体" w:eastAsia="宋体" w:cs="Times New Roman"/>
          <w:b/>
          <w:color w:val="000000"/>
          <w:sz w:val="24"/>
          <w:szCs w:val="24"/>
          <w:highlight w:val="none"/>
        </w:rPr>
        <w:t>合同标的及金额</w:t>
      </w:r>
    </w:p>
    <w:p w14:paraId="2202836A">
      <w:pPr>
        <w:autoSpaceDE w:val="0"/>
        <w:autoSpaceDN w:val="0"/>
        <w:adjustRightInd w:val="0"/>
        <w:snapToGrid w:val="0"/>
        <w:spacing w:before="0" w:line="400" w:lineRule="exact"/>
        <w:ind w:firstLine="420" w:firstLineChars="200"/>
        <w:jc w:val="left"/>
        <w:outlineLvl w:val="9"/>
        <w:rPr>
          <w:rFonts w:ascii="宋体" w:hAnsi="宋体" w:eastAsia="宋体" w:cs="Times New Roman"/>
          <w:b/>
          <w:bCs/>
          <w:i/>
          <w:iCs/>
          <w:color w:val="000000"/>
          <w:szCs w:val="21"/>
          <w:highlight w:val="none"/>
        </w:rPr>
      </w:pPr>
      <w:r>
        <w:rPr>
          <w:rFonts w:hint="eastAsia" w:ascii="宋体" w:hAnsi="宋体" w:eastAsia="宋体" w:cs="Times New Roman"/>
          <w:color w:val="000000"/>
          <w:szCs w:val="21"/>
          <w:highlight w:val="none"/>
          <w:lang w:eastAsia="zh-CN"/>
        </w:rPr>
        <w:t>2</w:t>
      </w:r>
      <w:r>
        <w:rPr>
          <w:rFonts w:hint="eastAsia" w:ascii="宋体" w:hAnsi="宋体" w:eastAsia="宋体" w:cs="Times New Roman"/>
          <w:color w:val="000000"/>
          <w:szCs w:val="21"/>
          <w:highlight w:val="none"/>
        </w:rPr>
        <w:t>.1 合同标的及金额应与中标（成交）结果一致。乙方为履行本合同而发生的所有费用均应包含在合同</w:t>
      </w:r>
      <w:r>
        <w:rPr>
          <w:rFonts w:hint="eastAsia" w:ascii="宋体" w:hAnsi="宋体" w:eastAsia="宋体" w:cs="Times New Roman"/>
          <w:color w:val="000000"/>
          <w:szCs w:val="21"/>
          <w:highlight w:val="none"/>
          <w:lang w:eastAsia="zh-CN"/>
        </w:rPr>
        <w:t>价款</w:t>
      </w:r>
      <w:r>
        <w:rPr>
          <w:rFonts w:hint="eastAsia" w:ascii="宋体" w:hAnsi="宋体" w:eastAsia="宋体" w:cs="Times New Roman"/>
          <w:color w:val="000000"/>
          <w:szCs w:val="21"/>
          <w:highlight w:val="none"/>
        </w:rPr>
        <w:t>中，甲方不再另行支付</w:t>
      </w:r>
      <w:r>
        <w:rPr>
          <w:rFonts w:hint="default" w:ascii="宋体" w:hAnsi="宋体" w:eastAsia="宋体" w:cs="Times New Roman"/>
          <w:color w:val="000000"/>
          <w:szCs w:val="21"/>
          <w:highlight w:val="none"/>
          <w:lang w:val="en"/>
        </w:rPr>
        <w:t>其他</w:t>
      </w:r>
      <w:r>
        <w:rPr>
          <w:rFonts w:hint="eastAsia" w:ascii="宋体" w:hAnsi="宋体" w:eastAsia="宋体" w:cs="Times New Roman"/>
          <w:color w:val="000000"/>
          <w:szCs w:val="21"/>
          <w:highlight w:val="none"/>
        </w:rPr>
        <w:t>任何费用。</w:t>
      </w:r>
    </w:p>
    <w:p w14:paraId="70AE3D5F">
      <w:pPr>
        <w:adjustRightInd w:val="0"/>
        <w:snapToGrid w:val="0"/>
        <w:spacing w:before="0" w:line="400" w:lineRule="exact"/>
        <w:jc w:val="left"/>
        <w:outlineLvl w:val="9"/>
        <w:rPr>
          <w:rFonts w:ascii="宋体" w:hAnsi="宋体" w:eastAsia="宋体" w:cs="Times New Roman"/>
          <w:b/>
          <w:color w:val="000000"/>
          <w:sz w:val="24"/>
          <w:szCs w:val="24"/>
          <w:highlight w:val="none"/>
        </w:rPr>
      </w:pPr>
      <w:r>
        <w:rPr>
          <w:rFonts w:hint="eastAsia" w:ascii="宋体" w:hAnsi="宋体" w:eastAsia="宋体" w:cs="Times New Roman"/>
          <w:b/>
          <w:color w:val="000000"/>
          <w:sz w:val="24"/>
          <w:szCs w:val="24"/>
          <w:highlight w:val="none"/>
          <w:lang w:eastAsia="zh-CN"/>
        </w:rPr>
        <w:t>3</w:t>
      </w:r>
      <w:r>
        <w:rPr>
          <w:rFonts w:hint="eastAsia" w:ascii="宋体" w:hAnsi="宋体" w:eastAsia="宋体" w:cs="Times New Roman"/>
          <w:b/>
          <w:color w:val="000000"/>
          <w:sz w:val="24"/>
          <w:szCs w:val="24"/>
          <w:highlight w:val="none"/>
          <w:lang w:val="en-US" w:eastAsia="zh-CN"/>
        </w:rPr>
        <w:t xml:space="preserve">. </w:t>
      </w:r>
      <w:r>
        <w:rPr>
          <w:rFonts w:hint="eastAsia" w:ascii="宋体" w:hAnsi="宋体" w:eastAsia="宋体" w:cs="Times New Roman"/>
          <w:b/>
          <w:color w:val="000000"/>
          <w:sz w:val="24"/>
          <w:szCs w:val="24"/>
          <w:highlight w:val="none"/>
        </w:rPr>
        <w:t>履行合同的时间、地点和方式</w:t>
      </w:r>
    </w:p>
    <w:p w14:paraId="2DEB7978">
      <w:pPr>
        <w:autoSpaceDE w:val="0"/>
        <w:autoSpaceDN w:val="0"/>
        <w:adjustRightInd w:val="0"/>
        <w:snapToGrid w:val="0"/>
        <w:spacing w:before="0" w:line="400" w:lineRule="exact"/>
        <w:ind w:firstLine="420" w:firstLineChars="200"/>
        <w:jc w:val="left"/>
        <w:outlineLvl w:val="9"/>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eastAsia="zh-CN"/>
        </w:rPr>
        <w:t>3</w:t>
      </w:r>
      <w:r>
        <w:rPr>
          <w:rFonts w:hint="eastAsia" w:ascii="宋体" w:hAnsi="宋体" w:eastAsia="宋体" w:cs="Times New Roman"/>
          <w:color w:val="000000"/>
          <w:szCs w:val="21"/>
          <w:highlight w:val="none"/>
        </w:rPr>
        <w:t xml:space="preserve">.1 </w:t>
      </w:r>
      <w:r>
        <w:rPr>
          <w:rFonts w:hint="eastAsia" w:ascii="宋体" w:hAnsi="宋体" w:eastAsia="宋体" w:cs="宋体"/>
          <w:szCs w:val="21"/>
        </w:rPr>
        <w:t>乙方应当在约定的时间、地点</w:t>
      </w:r>
      <w:r>
        <w:rPr>
          <w:rFonts w:hint="eastAsia" w:ascii="宋体" w:hAnsi="宋体" w:eastAsia="宋体" w:cs="宋体"/>
          <w:szCs w:val="21"/>
          <w:lang w:eastAsia="zh-CN"/>
        </w:rPr>
        <w:t>，按照约定</w:t>
      </w:r>
      <w:r>
        <w:rPr>
          <w:rFonts w:hint="eastAsia" w:ascii="宋体" w:hAnsi="宋体" w:eastAsia="宋体" w:cs="宋体"/>
          <w:szCs w:val="21"/>
        </w:rPr>
        <w:t>方式履行合同。</w:t>
      </w:r>
    </w:p>
    <w:p w14:paraId="351867F8">
      <w:pPr>
        <w:autoSpaceDE w:val="0"/>
        <w:autoSpaceDN w:val="0"/>
        <w:adjustRightInd w:val="0"/>
        <w:snapToGrid w:val="0"/>
        <w:spacing w:before="0" w:line="400" w:lineRule="exact"/>
        <w:jc w:val="left"/>
        <w:outlineLvl w:val="9"/>
        <w:rPr>
          <w:rFonts w:ascii="宋体" w:hAnsi="宋体" w:eastAsia="宋体" w:cs="Times New Roman"/>
          <w:b/>
          <w:bCs/>
          <w:color w:val="000000"/>
          <w:sz w:val="24"/>
          <w:szCs w:val="24"/>
          <w:highlight w:val="none"/>
        </w:rPr>
      </w:pPr>
      <w:r>
        <w:rPr>
          <w:rFonts w:hint="eastAsia" w:ascii="宋体" w:hAnsi="宋体" w:eastAsia="宋体" w:cs="Times New Roman"/>
          <w:b/>
          <w:bCs/>
          <w:color w:val="000000"/>
          <w:sz w:val="24"/>
          <w:szCs w:val="24"/>
          <w:highlight w:val="none"/>
          <w:lang w:eastAsia="zh-CN"/>
        </w:rPr>
        <w:t>4</w:t>
      </w:r>
      <w:r>
        <w:rPr>
          <w:rFonts w:hint="eastAsia" w:ascii="宋体" w:hAnsi="宋体" w:eastAsia="宋体" w:cs="Times New Roman"/>
          <w:b/>
          <w:bCs/>
          <w:color w:val="000000"/>
          <w:sz w:val="24"/>
          <w:szCs w:val="24"/>
          <w:highlight w:val="none"/>
          <w:lang w:val="en-US" w:eastAsia="zh-CN"/>
        </w:rPr>
        <w:t xml:space="preserve">. </w:t>
      </w:r>
      <w:r>
        <w:rPr>
          <w:rFonts w:hint="eastAsia" w:ascii="宋体" w:hAnsi="宋体" w:eastAsia="宋体" w:cs="Times New Roman"/>
          <w:b/>
          <w:bCs/>
          <w:color w:val="000000"/>
          <w:sz w:val="24"/>
          <w:szCs w:val="24"/>
          <w:highlight w:val="none"/>
        </w:rPr>
        <w:t>甲方的权利和义务</w:t>
      </w:r>
    </w:p>
    <w:p w14:paraId="3C8E897C">
      <w:pPr>
        <w:autoSpaceDE w:val="0"/>
        <w:autoSpaceDN w:val="0"/>
        <w:adjustRightInd w:val="0"/>
        <w:snapToGrid w:val="0"/>
        <w:spacing w:before="0" w:line="400" w:lineRule="exact"/>
        <w:ind w:firstLine="420" w:firstLineChars="200"/>
        <w:jc w:val="left"/>
        <w:outlineLvl w:val="9"/>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eastAsia="zh-CN"/>
        </w:rPr>
        <w:t>4</w:t>
      </w:r>
      <w:r>
        <w:rPr>
          <w:rFonts w:hint="eastAsia" w:ascii="宋体" w:hAnsi="宋体" w:eastAsia="宋体" w:cs="Times New Roman"/>
          <w:color w:val="000000"/>
          <w:szCs w:val="21"/>
          <w:highlight w:val="none"/>
        </w:rPr>
        <w:t>.1</w:t>
      </w:r>
      <w:r>
        <w:rPr>
          <w:rFonts w:ascii="宋体" w:hAnsi="宋体" w:eastAsia="宋体" w:cs="Times New Roman"/>
          <w:color w:val="000000"/>
          <w:szCs w:val="21"/>
          <w:highlight w:val="none"/>
        </w:rPr>
        <w:t xml:space="preserve"> 签署合同后，甲方</w:t>
      </w:r>
      <w:r>
        <w:rPr>
          <w:rFonts w:hint="eastAsia" w:ascii="宋体" w:hAnsi="宋体" w:eastAsia="宋体" w:cs="Times New Roman"/>
          <w:color w:val="000000"/>
          <w:szCs w:val="21"/>
          <w:highlight w:val="none"/>
          <w:lang w:eastAsia="zh-CN"/>
        </w:rPr>
        <w:t>应</w:t>
      </w:r>
      <w:r>
        <w:rPr>
          <w:rFonts w:ascii="宋体" w:hAnsi="宋体" w:eastAsia="宋体" w:cs="Times New Roman"/>
          <w:color w:val="000000"/>
          <w:szCs w:val="21"/>
          <w:highlight w:val="none"/>
        </w:rPr>
        <w:t>确定</w:t>
      </w:r>
      <w:r>
        <w:rPr>
          <w:rFonts w:hint="eastAsia" w:ascii="宋体" w:hAnsi="宋体" w:eastAsia="宋体" w:cs="Times New Roman"/>
          <w:color w:val="000000"/>
          <w:szCs w:val="21"/>
          <w:highlight w:val="none"/>
          <w:lang w:val="en-US" w:eastAsia="zh-CN"/>
        </w:rPr>
        <w:t>项目负责人（或项目联系人）</w:t>
      </w:r>
      <w:r>
        <w:rPr>
          <w:rFonts w:ascii="宋体" w:hAnsi="宋体" w:eastAsia="宋体" w:cs="Times New Roman"/>
          <w:color w:val="000000"/>
          <w:szCs w:val="21"/>
          <w:highlight w:val="none"/>
        </w:rPr>
        <w:t>，负责与本合同有关的事务。</w:t>
      </w:r>
      <w:r>
        <w:rPr>
          <w:rFonts w:hint="eastAsia" w:ascii="宋体" w:hAnsi="宋体" w:eastAsia="宋体" w:cs="Times New Roman"/>
          <w:color w:val="000000"/>
          <w:szCs w:val="21"/>
          <w:highlight w:val="none"/>
        </w:rPr>
        <w:t>甲方有权对乙方的履约行为进行检查，并</w:t>
      </w:r>
      <w:r>
        <w:rPr>
          <w:rFonts w:ascii="宋体" w:hAnsi="宋体" w:eastAsia="宋体" w:cs="Times New Roman"/>
          <w:color w:val="000000"/>
          <w:szCs w:val="21"/>
          <w:highlight w:val="none"/>
        </w:rPr>
        <w:t>及时确认乙方提交的事项</w:t>
      </w:r>
      <w:r>
        <w:rPr>
          <w:rFonts w:hint="eastAsia" w:ascii="宋体" w:hAnsi="宋体" w:eastAsia="宋体" w:cs="Times New Roman"/>
          <w:color w:val="000000"/>
          <w:szCs w:val="21"/>
          <w:highlight w:val="none"/>
        </w:rPr>
        <w:t>。甲方应当</w:t>
      </w:r>
      <w:r>
        <w:rPr>
          <w:rFonts w:ascii="宋体" w:hAnsi="宋体" w:eastAsia="宋体" w:cs="Times New Roman"/>
          <w:color w:val="000000"/>
          <w:szCs w:val="21"/>
          <w:highlight w:val="none"/>
        </w:rPr>
        <w:t>配合乙方完成</w:t>
      </w:r>
      <w:r>
        <w:rPr>
          <w:rFonts w:hint="eastAsia" w:ascii="宋体" w:hAnsi="宋体" w:eastAsia="宋体" w:cs="Times New Roman"/>
          <w:color w:val="000000"/>
          <w:szCs w:val="21"/>
          <w:highlight w:val="none"/>
        </w:rPr>
        <w:t>相关项目</w:t>
      </w:r>
      <w:r>
        <w:rPr>
          <w:rFonts w:ascii="宋体" w:hAnsi="宋体" w:eastAsia="宋体" w:cs="Times New Roman"/>
          <w:color w:val="000000"/>
          <w:szCs w:val="21"/>
          <w:highlight w:val="none"/>
        </w:rPr>
        <w:t>实施工作。</w:t>
      </w:r>
    </w:p>
    <w:p w14:paraId="7D9A4C74">
      <w:pPr>
        <w:autoSpaceDE w:val="0"/>
        <w:autoSpaceDN w:val="0"/>
        <w:adjustRightInd w:val="0"/>
        <w:snapToGrid w:val="0"/>
        <w:spacing w:before="0" w:line="400" w:lineRule="exact"/>
        <w:ind w:firstLine="420" w:firstLineChars="200"/>
        <w:jc w:val="left"/>
        <w:outlineLvl w:val="9"/>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eastAsia="zh-CN"/>
        </w:rPr>
        <w:t>4</w:t>
      </w:r>
      <w:r>
        <w:rPr>
          <w:rFonts w:hint="eastAsia" w:ascii="宋体" w:hAnsi="宋体" w:eastAsia="宋体" w:cs="Times New Roman"/>
          <w:color w:val="000000"/>
          <w:szCs w:val="21"/>
          <w:highlight w:val="none"/>
        </w:rPr>
        <w:t xml:space="preserve">.2 </w:t>
      </w:r>
      <w:r>
        <w:rPr>
          <w:rFonts w:ascii="宋体" w:hAnsi="宋体" w:eastAsia="宋体" w:cs="Times New Roman"/>
          <w:color w:val="000000"/>
          <w:szCs w:val="21"/>
          <w:highlight w:val="none"/>
        </w:rPr>
        <w:t>甲方有权要求乙方按时提交各阶段有关</w:t>
      </w:r>
      <w:r>
        <w:rPr>
          <w:rFonts w:hint="eastAsia" w:ascii="宋体" w:hAnsi="宋体" w:eastAsia="宋体" w:cs="Times New Roman"/>
          <w:color w:val="000000"/>
          <w:szCs w:val="21"/>
          <w:highlight w:val="none"/>
        </w:rPr>
        <w:t>安排计划</w:t>
      </w:r>
      <w:r>
        <w:rPr>
          <w:rFonts w:ascii="宋体" w:hAnsi="宋体" w:eastAsia="宋体" w:cs="Times New Roman"/>
          <w:color w:val="000000"/>
          <w:szCs w:val="21"/>
          <w:highlight w:val="none"/>
        </w:rPr>
        <w:t>，并有权</w:t>
      </w:r>
      <w:r>
        <w:rPr>
          <w:rFonts w:hint="eastAsia" w:ascii="宋体" w:hAnsi="宋体" w:eastAsia="宋体" w:cs="Times New Roman"/>
          <w:color w:val="000000"/>
          <w:szCs w:val="21"/>
          <w:highlight w:val="none"/>
        </w:rPr>
        <w:t>定期核对乙方提供货物数量、规格、质量等内容。甲方</w:t>
      </w:r>
      <w:r>
        <w:rPr>
          <w:rFonts w:ascii="宋体" w:hAnsi="宋体" w:eastAsia="宋体" w:cs="Times New Roman"/>
          <w:color w:val="000000"/>
          <w:szCs w:val="21"/>
          <w:highlight w:val="none"/>
        </w:rPr>
        <w:t>有权督促乙方工作并要求乙方</w:t>
      </w:r>
      <w:r>
        <w:rPr>
          <w:rFonts w:hint="eastAsia" w:ascii="宋体" w:hAnsi="宋体" w:eastAsia="宋体" w:cs="Times New Roman"/>
          <w:color w:val="000000"/>
          <w:szCs w:val="21"/>
          <w:highlight w:val="none"/>
        </w:rPr>
        <w:t>更</w:t>
      </w:r>
      <w:r>
        <w:rPr>
          <w:rFonts w:ascii="宋体" w:hAnsi="宋体" w:eastAsia="宋体" w:cs="Times New Roman"/>
          <w:color w:val="000000"/>
          <w:szCs w:val="21"/>
          <w:highlight w:val="none"/>
        </w:rPr>
        <w:t>换不符合要求的</w:t>
      </w:r>
      <w:r>
        <w:rPr>
          <w:rFonts w:hint="eastAsia" w:ascii="宋体" w:hAnsi="宋体" w:eastAsia="宋体" w:cs="Times New Roman"/>
          <w:color w:val="000000"/>
          <w:szCs w:val="21"/>
          <w:highlight w:val="none"/>
        </w:rPr>
        <w:t>货物</w:t>
      </w:r>
      <w:r>
        <w:rPr>
          <w:rFonts w:ascii="宋体" w:hAnsi="宋体" w:eastAsia="宋体" w:cs="Times New Roman"/>
          <w:color w:val="000000"/>
          <w:szCs w:val="21"/>
          <w:highlight w:val="none"/>
        </w:rPr>
        <w:t>。</w:t>
      </w:r>
    </w:p>
    <w:p w14:paraId="141389CC">
      <w:pPr>
        <w:autoSpaceDE w:val="0"/>
        <w:autoSpaceDN w:val="0"/>
        <w:adjustRightInd w:val="0"/>
        <w:snapToGrid w:val="0"/>
        <w:spacing w:before="0" w:line="400" w:lineRule="exact"/>
        <w:ind w:firstLine="420" w:firstLineChars="200"/>
        <w:jc w:val="left"/>
        <w:outlineLvl w:val="9"/>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lang w:eastAsia="zh-CN"/>
        </w:rPr>
        <w:t>4</w:t>
      </w:r>
      <w:r>
        <w:rPr>
          <w:rFonts w:hint="eastAsia" w:ascii="宋体" w:hAnsi="宋体" w:eastAsia="宋体" w:cs="Times New Roman"/>
          <w:color w:val="000000"/>
          <w:szCs w:val="21"/>
          <w:highlight w:val="none"/>
        </w:rPr>
        <w:t>.</w:t>
      </w:r>
      <w:r>
        <w:rPr>
          <w:rFonts w:ascii="宋体" w:hAnsi="宋体" w:eastAsia="宋体" w:cs="Times New Roman"/>
          <w:color w:val="000000"/>
          <w:szCs w:val="21"/>
          <w:highlight w:val="none"/>
        </w:rPr>
        <w:t>3</w:t>
      </w:r>
      <w:r>
        <w:rPr>
          <w:rFonts w:hint="eastAsia" w:ascii="宋体" w:hAnsi="宋体" w:eastAsia="宋体" w:cs="Times New Roman"/>
          <w:color w:val="000000"/>
          <w:szCs w:val="21"/>
          <w:highlight w:val="none"/>
        </w:rPr>
        <w:t xml:space="preserve"> </w:t>
      </w:r>
      <w:r>
        <w:rPr>
          <w:rFonts w:ascii="宋体" w:hAnsi="宋体" w:eastAsia="宋体" w:cs="Times New Roman"/>
          <w:color w:val="000000"/>
          <w:szCs w:val="21"/>
          <w:highlight w:val="none"/>
        </w:rPr>
        <w:t>甲方</w:t>
      </w:r>
      <w:r>
        <w:rPr>
          <w:rFonts w:hint="eastAsia" w:ascii="宋体" w:hAnsi="宋体" w:eastAsia="宋体" w:cs="Times New Roman"/>
          <w:color w:val="000000"/>
          <w:szCs w:val="21"/>
          <w:highlight w:val="none"/>
        </w:rPr>
        <w:t>有权要求乙方对缺陷部分予以修复，并按合同约定享有货物保修及其他合同约定的权利。</w:t>
      </w:r>
    </w:p>
    <w:p w14:paraId="6B520DC3">
      <w:pPr>
        <w:snapToGrid w:val="0"/>
        <w:spacing w:line="400" w:lineRule="exact"/>
        <w:ind w:firstLine="420" w:firstLineChars="200"/>
        <w:outlineLvl w:val="9"/>
        <w:rPr>
          <w:rFonts w:hint="eastAsia" w:ascii="Times New Roman" w:hAnsi="Times New Roman" w:eastAsia="华文楷体" w:cs="Times New Roman"/>
          <w:szCs w:val="24"/>
          <w:lang w:val="en-US" w:eastAsia="zh-CN"/>
        </w:rPr>
      </w:pPr>
      <w:r>
        <w:rPr>
          <w:rFonts w:hint="default" w:ascii="宋体" w:hAnsi="宋体" w:eastAsia="宋体" w:cs="Times New Roman"/>
          <w:color w:val="000000"/>
          <w:szCs w:val="21"/>
          <w:highlight w:val="none"/>
          <w:lang w:val="en-US" w:eastAsia="zh-CN"/>
        </w:rPr>
        <w:t>4.4 甲方应当按照合同约定及时对交付的货物进行验收</w:t>
      </w:r>
      <w:r>
        <w:rPr>
          <w:rFonts w:hint="eastAsia" w:ascii="宋体" w:hAnsi="宋体" w:eastAsia="宋体" w:cs="Times New Roman"/>
          <w:color w:val="000000"/>
          <w:szCs w:val="21"/>
          <w:highlight w:val="none"/>
          <w:lang w:val="en-US" w:eastAsia="zh-CN"/>
        </w:rPr>
        <w:t>，</w:t>
      </w:r>
      <w:r>
        <w:rPr>
          <w:rFonts w:hint="eastAsia" w:ascii="宋体" w:hAnsi="宋体" w:eastAsia="宋体" w:cs="宋体"/>
          <w:b w:val="0"/>
          <w:bCs w:val="0"/>
          <w:szCs w:val="21"/>
          <w:highlight w:val="none"/>
          <w:lang w:eastAsia="zh-CN"/>
        </w:rPr>
        <w:t>未</w:t>
      </w:r>
      <w:r>
        <w:rPr>
          <w:rFonts w:hint="eastAsia" w:ascii="宋体" w:hAnsi="宋体" w:eastAsia="宋体" w:cs="Times New Roman"/>
          <w:color w:val="000000"/>
          <w:szCs w:val="21"/>
          <w:highlight w:val="none"/>
          <w:lang w:val="en-US" w:eastAsia="zh-CN"/>
        </w:rPr>
        <w:t>在</w:t>
      </w:r>
      <w:r>
        <w:rPr>
          <w:rFonts w:hint="eastAsia" w:ascii="宋体" w:hAnsi="宋体" w:eastAsia="宋体" w:cs="宋体"/>
          <w:b/>
          <w:bCs/>
          <w:szCs w:val="21"/>
          <w:highlight w:val="none"/>
        </w:rPr>
        <w:t>【政府采购合同专用条款】</w:t>
      </w:r>
      <w:r>
        <w:rPr>
          <w:rFonts w:hint="eastAsia" w:ascii="宋体" w:hAnsi="宋体" w:eastAsia="宋体" w:cs="宋体"/>
          <w:b w:val="0"/>
          <w:bCs w:val="0"/>
          <w:szCs w:val="21"/>
          <w:highlight w:val="none"/>
          <w:lang w:eastAsia="zh-CN"/>
        </w:rPr>
        <w:t>约定的期限内对乙方履约提出任何异议或者向乙方作出任何说明的，</w:t>
      </w:r>
      <w:r>
        <w:rPr>
          <w:rFonts w:hint="eastAsia" w:ascii="宋体" w:hAnsi="宋体" w:eastAsia="宋体" w:cs="Times New Roman"/>
          <w:color w:val="000000"/>
          <w:szCs w:val="21"/>
          <w:highlight w:val="none"/>
          <w:lang w:val="en-US" w:eastAsia="zh-CN"/>
        </w:rPr>
        <w:t>视为验收通过。</w:t>
      </w:r>
    </w:p>
    <w:p w14:paraId="274E89AF">
      <w:pPr>
        <w:autoSpaceDE w:val="0"/>
        <w:autoSpaceDN w:val="0"/>
        <w:adjustRightInd w:val="0"/>
        <w:snapToGrid w:val="0"/>
        <w:spacing w:line="400" w:lineRule="exact"/>
        <w:ind w:firstLine="420" w:firstLineChars="200"/>
        <w:jc w:val="left"/>
        <w:outlineLvl w:val="9"/>
        <w:rPr>
          <w:rFonts w:hint="eastAsia" w:ascii="宋体" w:hAnsi="宋体" w:eastAsia="宋体" w:cs="Times New Roman"/>
          <w:color w:val="000000"/>
          <w:szCs w:val="21"/>
          <w:highlight w:val="none"/>
        </w:rPr>
      </w:pPr>
      <w:r>
        <w:rPr>
          <w:rFonts w:hint="default" w:ascii="宋体" w:hAnsi="宋体" w:eastAsia="宋体" w:cs="Times New Roman"/>
          <w:color w:val="000000"/>
          <w:szCs w:val="21"/>
          <w:highlight w:val="none"/>
          <w:lang w:eastAsia="zh-CN"/>
        </w:rPr>
        <w:t>4</w:t>
      </w:r>
      <w:r>
        <w:rPr>
          <w:rFonts w:hint="eastAsia" w:ascii="宋体" w:hAnsi="宋体" w:eastAsia="宋体" w:cs="Times New Roman"/>
          <w:color w:val="000000"/>
          <w:szCs w:val="21"/>
          <w:highlight w:val="none"/>
        </w:rPr>
        <w:t>.</w:t>
      </w:r>
      <w:r>
        <w:rPr>
          <w:rFonts w:hint="default" w:ascii="宋体" w:hAnsi="宋体" w:eastAsia="宋体" w:cs="Times New Roman"/>
          <w:color w:val="000000"/>
          <w:szCs w:val="21"/>
          <w:highlight w:val="none"/>
          <w:lang w:val="en-US" w:eastAsia="zh-CN"/>
        </w:rPr>
        <w:t>5</w:t>
      </w:r>
      <w:r>
        <w:rPr>
          <w:rFonts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rPr>
        <w:t>甲方应当根据合同约定</w:t>
      </w:r>
      <w:r>
        <w:rPr>
          <w:rFonts w:hint="eastAsia" w:ascii="宋体" w:hAnsi="宋体" w:eastAsia="宋体" w:cs="Times New Roman"/>
          <w:color w:val="000000"/>
          <w:szCs w:val="21"/>
          <w:highlight w:val="none"/>
          <w:lang w:eastAsia="zh-CN"/>
        </w:rPr>
        <w:t>及</w:t>
      </w:r>
      <w:r>
        <w:rPr>
          <w:rFonts w:hint="eastAsia" w:ascii="宋体" w:hAnsi="宋体" w:eastAsia="宋体" w:cs="Times New Roman"/>
          <w:color w:val="000000"/>
          <w:szCs w:val="21"/>
          <w:highlight w:val="none"/>
        </w:rPr>
        <w:t>时向乙方支付</w:t>
      </w:r>
      <w:r>
        <w:rPr>
          <w:rFonts w:hint="eastAsia" w:ascii="宋体" w:hAnsi="宋体" w:eastAsia="宋体" w:cs="Times New Roman"/>
          <w:color w:val="000000"/>
          <w:szCs w:val="21"/>
          <w:highlight w:val="none"/>
          <w:lang w:eastAsia="zh-CN"/>
        </w:rPr>
        <w:t>合同价款</w:t>
      </w:r>
      <w:r>
        <w:rPr>
          <w:rFonts w:hint="default" w:ascii="宋体" w:hAnsi="宋体" w:eastAsia="宋体" w:cs="Times New Roman"/>
          <w:color w:val="000000"/>
          <w:szCs w:val="21"/>
          <w:highlight w:val="none"/>
          <w:lang w:eastAsia="zh-CN"/>
        </w:rPr>
        <w:t>，不得以内部人员变更、履行内部付款流程等为由，拒绝或迟延支付。</w:t>
      </w:r>
    </w:p>
    <w:p w14:paraId="26C5E74D">
      <w:pPr>
        <w:autoSpaceDE w:val="0"/>
        <w:autoSpaceDN w:val="0"/>
        <w:adjustRightInd w:val="0"/>
        <w:snapToGrid w:val="0"/>
        <w:spacing w:before="0" w:line="400" w:lineRule="exact"/>
        <w:ind w:firstLine="420" w:firstLineChars="200"/>
        <w:jc w:val="left"/>
        <w:outlineLvl w:val="9"/>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eastAsia="zh-CN"/>
        </w:rPr>
        <w:t>4</w:t>
      </w:r>
      <w:r>
        <w:rPr>
          <w:rFonts w:hint="eastAsia" w:ascii="宋体" w:hAnsi="宋体" w:eastAsia="宋体" w:cs="Times New Roman"/>
          <w:color w:val="000000"/>
          <w:szCs w:val="21"/>
          <w:highlight w:val="none"/>
        </w:rPr>
        <w:t>.</w:t>
      </w:r>
      <w:r>
        <w:rPr>
          <w:rFonts w:hint="eastAsia" w:ascii="宋体" w:hAnsi="宋体" w:eastAsia="宋体" w:cs="Times New Roman"/>
          <w:color w:val="000000"/>
          <w:szCs w:val="21"/>
          <w:highlight w:val="none"/>
          <w:lang w:val="en-US" w:eastAsia="zh-CN"/>
        </w:rPr>
        <w:t>6</w:t>
      </w:r>
      <w:r>
        <w:rPr>
          <w:rFonts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rPr>
        <w:t>国家法律法规规定</w:t>
      </w:r>
      <w:r>
        <w:rPr>
          <w:rFonts w:hint="eastAsia" w:ascii="宋体" w:hAnsi="宋体" w:eastAsia="宋体" w:cs="Times New Roman"/>
          <w:color w:val="000000"/>
          <w:szCs w:val="21"/>
          <w:highlight w:val="none"/>
          <w:lang w:eastAsia="zh-CN"/>
        </w:rPr>
        <w:t>及</w:t>
      </w:r>
      <w:r>
        <w:rPr>
          <w:rFonts w:hint="eastAsia" w:ascii="宋体" w:hAnsi="宋体" w:eastAsia="宋体" w:cs="宋体"/>
          <w:b/>
          <w:bCs/>
          <w:szCs w:val="21"/>
          <w:highlight w:val="none"/>
        </w:rPr>
        <w:t>【政府采购合同专用条款】</w:t>
      </w:r>
      <w:r>
        <w:rPr>
          <w:rFonts w:hint="eastAsia" w:ascii="宋体" w:hAnsi="宋体" w:eastAsia="宋体" w:cs="Times New Roman"/>
          <w:color w:val="000000"/>
          <w:szCs w:val="21"/>
          <w:highlight w:val="none"/>
          <w:lang w:eastAsia="zh-CN"/>
        </w:rPr>
        <w:t>约定应</w:t>
      </w:r>
      <w:r>
        <w:rPr>
          <w:rFonts w:hint="eastAsia" w:ascii="宋体" w:hAnsi="宋体" w:eastAsia="宋体" w:cs="Times New Roman"/>
          <w:color w:val="000000"/>
          <w:szCs w:val="21"/>
          <w:highlight w:val="none"/>
        </w:rPr>
        <w:t>由甲方承担的其他义务和责任。</w:t>
      </w:r>
    </w:p>
    <w:p w14:paraId="5B5A89BD">
      <w:pPr>
        <w:autoSpaceDE w:val="0"/>
        <w:autoSpaceDN w:val="0"/>
        <w:adjustRightInd w:val="0"/>
        <w:snapToGrid w:val="0"/>
        <w:spacing w:before="0" w:line="400" w:lineRule="exact"/>
        <w:jc w:val="left"/>
        <w:outlineLvl w:val="9"/>
        <w:rPr>
          <w:rFonts w:ascii="宋体" w:hAnsi="宋体" w:eastAsia="宋体" w:cs="Times New Roman"/>
          <w:b/>
          <w:bCs/>
          <w:color w:val="000000"/>
          <w:sz w:val="24"/>
          <w:szCs w:val="24"/>
          <w:highlight w:val="none"/>
        </w:rPr>
      </w:pPr>
      <w:r>
        <w:rPr>
          <w:rFonts w:hint="eastAsia" w:ascii="宋体" w:hAnsi="宋体" w:eastAsia="宋体" w:cs="Times New Roman"/>
          <w:b/>
          <w:bCs/>
          <w:color w:val="000000"/>
          <w:sz w:val="24"/>
          <w:szCs w:val="24"/>
          <w:highlight w:val="none"/>
          <w:lang w:eastAsia="zh-CN"/>
        </w:rPr>
        <w:t>5</w:t>
      </w:r>
      <w:r>
        <w:rPr>
          <w:rFonts w:hint="eastAsia" w:ascii="宋体" w:hAnsi="宋体" w:eastAsia="宋体" w:cs="Times New Roman"/>
          <w:b/>
          <w:bCs/>
          <w:color w:val="000000"/>
          <w:sz w:val="24"/>
          <w:szCs w:val="24"/>
          <w:highlight w:val="none"/>
          <w:lang w:val="en-US" w:eastAsia="zh-CN"/>
        </w:rPr>
        <w:t xml:space="preserve">. </w:t>
      </w:r>
      <w:r>
        <w:rPr>
          <w:rFonts w:hint="eastAsia" w:ascii="宋体" w:hAnsi="宋体" w:eastAsia="宋体" w:cs="Times New Roman"/>
          <w:b/>
          <w:bCs/>
          <w:color w:val="000000"/>
          <w:sz w:val="24"/>
          <w:szCs w:val="24"/>
          <w:highlight w:val="none"/>
        </w:rPr>
        <w:t>乙方的权利和义务</w:t>
      </w:r>
    </w:p>
    <w:p w14:paraId="49DCA5AA">
      <w:pPr>
        <w:autoSpaceDE w:val="0"/>
        <w:autoSpaceDN w:val="0"/>
        <w:adjustRightInd w:val="0"/>
        <w:snapToGrid w:val="0"/>
        <w:spacing w:before="0" w:line="400" w:lineRule="exact"/>
        <w:ind w:firstLine="420" w:firstLineChars="200"/>
        <w:jc w:val="left"/>
        <w:outlineLvl w:val="9"/>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eastAsia="zh-CN"/>
        </w:rPr>
        <w:t>5</w:t>
      </w:r>
      <w:r>
        <w:rPr>
          <w:rFonts w:hint="eastAsia" w:ascii="宋体" w:hAnsi="宋体" w:eastAsia="宋体" w:cs="Times New Roman"/>
          <w:color w:val="000000"/>
          <w:szCs w:val="21"/>
          <w:highlight w:val="none"/>
        </w:rPr>
        <w:t xml:space="preserve">.1 </w:t>
      </w:r>
      <w:r>
        <w:rPr>
          <w:rFonts w:ascii="宋体" w:hAnsi="宋体" w:eastAsia="宋体" w:cs="Times New Roman"/>
          <w:color w:val="000000"/>
          <w:szCs w:val="21"/>
          <w:highlight w:val="none"/>
        </w:rPr>
        <w:t>签署合同后，乙方</w:t>
      </w:r>
      <w:r>
        <w:rPr>
          <w:rFonts w:hint="eastAsia" w:ascii="宋体" w:hAnsi="宋体" w:eastAsia="宋体" w:cs="Times New Roman"/>
          <w:color w:val="000000"/>
          <w:szCs w:val="21"/>
          <w:highlight w:val="none"/>
          <w:lang w:eastAsia="zh-CN"/>
        </w:rPr>
        <w:t>应</w:t>
      </w:r>
      <w:r>
        <w:rPr>
          <w:rFonts w:ascii="宋体" w:hAnsi="宋体" w:eastAsia="宋体" w:cs="Times New Roman"/>
          <w:color w:val="000000"/>
          <w:szCs w:val="21"/>
          <w:highlight w:val="none"/>
        </w:rPr>
        <w:t>确定</w:t>
      </w:r>
      <w:r>
        <w:rPr>
          <w:rFonts w:hint="eastAsia" w:ascii="宋体" w:hAnsi="宋体" w:eastAsia="宋体" w:cs="Times New Roman"/>
          <w:color w:val="000000"/>
          <w:szCs w:val="21"/>
          <w:highlight w:val="none"/>
          <w:lang w:val="en-US" w:eastAsia="zh-CN"/>
        </w:rPr>
        <w:t>项目负责人（或项目联系人）</w:t>
      </w:r>
      <w:r>
        <w:rPr>
          <w:rFonts w:ascii="宋体" w:hAnsi="宋体" w:eastAsia="宋体" w:cs="Times New Roman"/>
          <w:color w:val="000000"/>
          <w:szCs w:val="21"/>
          <w:highlight w:val="none"/>
        </w:rPr>
        <w:t>，负责与本合同有关的事务。</w:t>
      </w:r>
    </w:p>
    <w:p w14:paraId="5332AEFF">
      <w:pPr>
        <w:autoSpaceDE w:val="0"/>
        <w:autoSpaceDN w:val="0"/>
        <w:adjustRightInd w:val="0"/>
        <w:snapToGrid w:val="0"/>
        <w:spacing w:before="0" w:line="400" w:lineRule="exact"/>
        <w:ind w:firstLine="420" w:firstLineChars="200"/>
        <w:jc w:val="left"/>
        <w:outlineLvl w:val="9"/>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eastAsia="zh-CN"/>
        </w:rPr>
        <w:t>5</w:t>
      </w:r>
      <w:r>
        <w:rPr>
          <w:rFonts w:hint="eastAsia" w:ascii="宋体" w:hAnsi="宋体" w:eastAsia="宋体" w:cs="Times New Roman"/>
          <w:color w:val="000000"/>
          <w:szCs w:val="21"/>
          <w:highlight w:val="none"/>
        </w:rPr>
        <w:t>.</w:t>
      </w:r>
      <w:r>
        <w:rPr>
          <w:rFonts w:ascii="宋体" w:hAnsi="宋体" w:eastAsia="宋体" w:cs="Times New Roman"/>
          <w:color w:val="000000"/>
          <w:szCs w:val="21"/>
          <w:highlight w:val="none"/>
        </w:rPr>
        <w:t>2 乙方应按照合同要求</w:t>
      </w:r>
      <w:r>
        <w:rPr>
          <w:rFonts w:hint="eastAsia" w:ascii="宋体" w:hAnsi="宋体" w:eastAsia="宋体" w:cs="Times New Roman"/>
          <w:color w:val="000000"/>
          <w:szCs w:val="21"/>
          <w:highlight w:val="none"/>
        </w:rPr>
        <w:t>履约</w:t>
      </w:r>
      <w:r>
        <w:rPr>
          <w:rFonts w:ascii="宋体" w:hAnsi="宋体" w:eastAsia="宋体" w:cs="Times New Roman"/>
          <w:color w:val="000000"/>
          <w:szCs w:val="21"/>
          <w:highlight w:val="none"/>
        </w:rPr>
        <w:t>，充分合理安排，确保</w:t>
      </w:r>
      <w:r>
        <w:rPr>
          <w:rFonts w:hint="eastAsia" w:ascii="宋体" w:hAnsi="宋体" w:eastAsia="宋体" w:cs="Times New Roman"/>
          <w:color w:val="000000"/>
          <w:szCs w:val="21"/>
          <w:highlight w:val="none"/>
        </w:rPr>
        <w:t>提供的货物</w:t>
      </w:r>
      <w:r>
        <w:rPr>
          <w:rFonts w:hint="eastAsia" w:ascii="宋体" w:hAnsi="宋体" w:eastAsia="宋体" w:cs="Times New Roman"/>
          <w:color w:val="000000"/>
          <w:szCs w:val="21"/>
          <w:highlight w:val="none"/>
          <w:lang w:eastAsia="zh-CN"/>
        </w:rPr>
        <w:t>及相关</w:t>
      </w:r>
      <w:r>
        <w:rPr>
          <w:rFonts w:hint="eastAsia" w:ascii="宋体" w:hAnsi="宋体" w:eastAsia="宋体" w:cs="Times New Roman"/>
          <w:color w:val="000000"/>
          <w:szCs w:val="21"/>
          <w:highlight w:val="none"/>
        </w:rPr>
        <w:t>服务符合合同</w:t>
      </w:r>
      <w:r>
        <w:rPr>
          <w:rFonts w:hint="eastAsia" w:ascii="宋体" w:hAnsi="宋体" w:eastAsia="宋体" w:cs="Times New Roman"/>
          <w:color w:val="000000"/>
          <w:szCs w:val="21"/>
          <w:highlight w:val="none"/>
          <w:lang w:eastAsia="zh-CN"/>
        </w:rPr>
        <w:t>有关</w:t>
      </w:r>
      <w:r>
        <w:rPr>
          <w:rFonts w:ascii="宋体" w:hAnsi="宋体" w:eastAsia="宋体" w:cs="Times New Roman"/>
          <w:color w:val="000000"/>
          <w:szCs w:val="21"/>
          <w:highlight w:val="none"/>
        </w:rPr>
        <w:t>要求</w:t>
      </w:r>
      <w:r>
        <w:rPr>
          <w:rFonts w:hint="eastAsia" w:ascii="宋体" w:hAnsi="宋体" w:eastAsia="宋体" w:cs="Times New Roman"/>
          <w:color w:val="000000"/>
          <w:szCs w:val="21"/>
          <w:highlight w:val="none"/>
        </w:rPr>
        <w:t>。接受项目行业管理部门及政府有关部门的指导，配合甲方的履约检查</w:t>
      </w:r>
      <w:r>
        <w:rPr>
          <w:rFonts w:hint="eastAsia" w:ascii="宋体" w:hAnsi="宋体" w:eastAsia="宋体" w:cs="Times New Roman"/>
          <w:color w:val="000000"/>
          <w:szCs w:val="21"/>
          <w:highlight w:val="none"/>
          <w:lang w:eastAsia="zh-CN"/>
        </w:rPr>
        <w:t>及验收</w:t>
      </w:r>
      <w:r>
        <w:rPr>
          <w:rFonts w:hint="eastAsia" w:ascii="宋体" w:hAnsi="宋体" w:eastAsia="宋体" w:cs="Times New Roman"/>
          <w:color w:val="000000"/>
          <w:szCs w:val="21"/>
          <w:highlight w:val="none"/>
        </w:rPr>
        <w:t>，并</w:t>
      </w:r>
      <w:r>
        <w:rPr>
          <w:rFonts w:ascii="宋体" w:hAnsi="宋体" w:eastAsia="宋体" w:cs="Times New Roman"/>
          <w:color w:val="000000"/>
          <w:szCs w:val="21"/>
          <w:highlight w:val="none"/>
        </w:rPr>
        <w:t>负责项目实施过程中的所有协调工作。</w:t>
      </w:r>
    </w:p>
    <w:p w14:paraId="516F0C23">
      <w:pPr>
        <w:widowControl w:val="0"/>
        <w:spacing w:after="0" w:line="400" w:lineRule="exact"/>
        <w:ind w:firstLine="369" w:firstLineChars="176"/>
        <w:jc w:val="both"/>
        <w:outlineLvl w:val="9"/>
        <w:rPr>
          <w:rFonts w:ascii="宋体" w:hAnsi="宋体" w:eastAsia="宋体" w:cs="宋体"/>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5.</w:t>
      </w:r>
      <w:r>
        <w:rPr>
          <w:rFonts w:ascii="宋体" w:hAnsi="宋体" w:eastAsia="宋体" w:cs="Times New Roman"/>
          <w:color w:val="000000"/>
          <w:kern w:val="2"/>
          <w:sz w:val="21"/>
          <w:szCs w:val="21"/>
          <w:highlight w:val="none"/>
          <w:lang w:val="en-US" w:eastAsia="zh-CN" w:bidi="ar-SA"/>
        </w:rPr>
        <w:t>3</w:t>
      </w:r>
      <w:r>
        <w:rPr>
          <w:rFonts w:hint="eastAsia" w:ascii="宋体" w:hAnsi="宋体" w:eastAsia="宋体" w:cs="Times New Roman"/>
          <w:color w:val="000000"/>
          <w:kern w:val="2"/>
          <w:sz w:val="21"/>
          <w:szCs w:val="21"/>
          <w:highlight w:val="none"/>
          <w:lang w:val="en-US" w:eastAsia="zh-CN" w:bidi="ar-SA"/>
        </w:rPr>
        <w:t>乙方有权</w:t>
      </w:r>
      <w:r>
        <w:rPr>
          <w:rFonts w:hint="eastAsia" w:ascii="宋体" w:hAnsi="宋体" w:eastAsia="宋体" w:cs="宋体"/>
          <w:color w:val="000000"/>
          <w:kern w:val="2"/>
          <w:sz w:val="21"/>
          <w:szCs w:val="21"/>
          <w:highlight w:val="none"/>
          <w:lang w:val="en-US" w:eastAsia="zh-CN" w:bidi="ar-SA"/>
        </w:rPr>
        <w:t>根据合同约定向甲方收取合同价款。</w:t>
      </w:r>
    </w:p>
    <w:p w14:paraId="34F4D82F">
      <w:pPr>
        <w:widowControl w:val="0"/>
        <w:spacing w:after="0" w:line="400" w:lineRule="exact"/>
        <w:ind w:firstLine="369" w:firstLineChars="176"/>
        <w:jc w:val="both"/>
        <w:outlineLvl w:val="9"/>
        <w:rPr>
          <w:rFonts w:ascii="宋体" w:hAnsi="宋体" w:eastAsia="宋体" w:cs="宋体"/>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5.</w:t>
      </w:r>
      <w:r>
        <w:rPr>
          <w:rFonts w:ascii="宋体" w:hAnsi="宋体" w:eastAsia="宋体" w:cs="Times New Roman"/>
          <w:color w:val="000000"/>
          <w:kern w:val="2"/>
          <w:sz w:val="21"/>
          <w:szCs w:val="21"/>
          <w:highlight w:val="none"/>
          <w:lang w:val="en-US" w:eastAsia="zh-CN" w:bidi="ar-SA"/>
        </w:rPr>
        <w:t>4</w:t>
      </w:r>
      <w:r>
        <w:rPr>
          <w:rFonts w:hint="eastAsia" w:ascii="宋体" w:hAnsi="宋体" w:eastAsia="宋体" w:cs="宋体"/>
          <w:color w:val="000000"/>
          <w:kern w:val="2"/>
          <w:sz w:val="21"/>
          <w:szCs w:val="21"/>
          <w:highlight w:val="none"/>
          <w:lang w:val="en-US" w:eastAsia="zh-CN" w:bidi="ar-SA"/>
        </w:rPr>
        <w:t>国家法律法规规定</w:t>
      </w:r>
      <w:r>
        <w:rPr>
          <w:rFonts w:hint="eastAsia" w:ascii="宋体" w:hAnsi="宋体" w:eastAsia="宋体" w:cs="Times New Roman"/>
          <w:color w:val="000000"/>
          <w:kern w:val="2"/>
          <w:sz w:val="21"/>
          <w:szCs w:val="21"/>
          <w:highlight w:val="none"/>
          <w:lang w:val="en-US" w:eastAsia="zh-CN" w:bidi="ar-SA"/>
        </w:rPr>
        <w:t>及</w:t>
      </w:r>
      <w:r>
        <w:rPr>
          <w:rFonts w:hint="eastAsia" w:ascii="宋体" w:hAnsi="宋体" w:eastAsia="宋体" w:cs="宋体"/>
          <w:b/>
          <w:bCs/>
          <w:kern w:val="2"/>
          <w:sz w:val="21"/>
          <w:szCs w:val="21"/>
          <w:highlight w:val="none"/>
          <w:lang w:val="en-US" w:eastAsia="zh-CN" w:bidi="ar-SA"/>
        </w:rPr>
        <w:t>【政府采购合同专用条款】</w:t>
      </w:r>
      <w:r>
        <w:rPr>
          <w:rFonts w:hint="eastAsia" w:ascii="宋体" w:hAnsi="宋体" w:eastAsia="宋体" w:cs="宋体"/>
          <w:b w:val="0"/>
          <w:bCs w:val="0"/>
          <w:kern w:val="2"/>
          <w:sz w:val="21"/>
          <w:szCs w:val="21"/>
          <w:highlight w:val="none"/>
          <w:lang w:val="en-US" w:eastAsia="zh-CN" w:bidi="ar-SA"/>
        </w:rPr>
        <w:t>约定应</w:t>
      </w:r>
      <w:r>
        <w:rPr>
          <w:rFonts w:hint="eastAsia" w:ascii="宋体" w:hAnsi="宋体" w:eastAsia="宋体" w:cs="宋体"/>
          <w:color w:val="000000"/>
          <w:kern w:val="2"/>
          <w:sz w:val="21"/>
          <w:szCs w:val="21"/>
          <w:highlight w:val="none"/>
          <w:lang w:val="en-US" w:eastAsia="zh-CN" w:bidi="ar-SA"/>
        </w:rPr>
        <w:t>由乙方承担的其他义务和责任。</w:t>
      </w:r>
    </w:p>
    <w:p w14:paraId="7A548014">
      <w:pPr>
        <w:numPr>
          <w:ilvl w:val="0"/>
          <w:numId w:val="20"/>
        </w:numPr>
        <w:autoSpaceDE w:val="0"/>
        <w:autoSpaceDN w:val="0"/>
        <w:adjustRightInd w:val="0"/>
        <w:snapToGrid w:val="0"/>
        <w:spacing w:before="0" w:line="400" w:lineRule="exact"/>
        <w:jc w:val="left"/>
        <w:outlineLvl w:val="9"/>
        <w:rPr>
          <w:rFonts w:hint="eastAsia" w:ascii="宋体" w:hAnsi="宋体" w:eastAsia="宋体" w:cs="Times New Roman"/>
          <w:b/>
          <w:bCs/>
          <w:color w:val="000000"/>
          <w:sz w:val="24"/>
          <w:szCs w:val="24"/>
          <w:highlight w:val="none"/>
        </w:rPr>
      </w:pPr>
      <w:r>
        <w:rPr>
          <w:rFonts w:hint="eastAsia" w:ascii="宋体" w:hAnsi="宋体" w:eastAsia="宋体" w:cs="Times New Roman"/>
          <w:b/>
          <w:bCs/>
          <w:color w:val="000000"/>
          <w:sz w:val="24"/>
          <w:szCs w:val="24"/>
          <w:highlight w:val="none"/>
        </w:rPr>
        <w:t>合同履</w:t>
      </w:r>
      <w:r>
        <w:rPr>
          <w:rFonts w:hint="eastAsia" w:ascii="宋体" w:hAnsi="宋体" w:eastAsia="宋体" w:cs="Times New Roman"/>
          <w:b/>
          <w:bCs/>
          <w:color w:val="000000"/>
          <w:sz w:val="24"/>
          <w:szCs w:val="24"/>
          <w:highlight w:val="none"/>
          <w:lang w:val="en-US" w:eastAsia="zh-CN"/>
        </w:rPr>
        <w:t>行</w:t>
      </w:r>
    </w:p>
    <w:p w14:paraId="3013F995">
      <w:pPr>
        <w:autoSpaceDE w:val="0"/>
        <w:autoSpaceDN w:val="0"/>
        <w:adjustRightInd w:val="0"/>
        <w:snapToGrid w:val="0"/>
        <w:spacing w:before="0" w:line="400" w:lineRule="exact"/>
        <w:ind w:firstLine="420" w:firstLineChars="200"/>
        <w:jc w:val="left"/>
        <w:outlineLvl w:val="9"/>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eastAsia="zh-CN"/>
        </w:rPr>
        <w:t>6</w:t>
      </w:r>
      <w:r>
        <w:rPr>
          <w:rFonts w:hint="eastAsia" w:ascii="宋体" w:hAnsi="宋体" w:eastAsia="宋体" w:cs="Times New Roman"/>
          <w:color w:val="000000"/>
          <w:szCs w:val="21"/>
          <w:highlight w:val="none"/>
        </w:rPr>
        <w:t>.1 甲乙双方应当按照</w:t>
      </w:r>
      <w:r>
        <w:rPr>
          <w:rFonts w:hint="eastAsia" w:ascii="宋体" w:hAnsi="宋体" w:eastAsia="宋体" w:cs="宋体"/>
          <w:b/>
          <w:bCs/>
          <w:szCs w:val="21"/>
          <w:highlight w:val="none"/>
        </w:rPr>
        <w:t>【政府采购合同专用条款】</w:t>
      </w:r>
      <w:r>
        <w:rPr>
          <w:rFonts w:hint="eastAsia" w:ascii="宋体" w:hAnsi="宋体" w:eastAsia="宋体" w:cs="Times New Roman"/>
          <w:color w:val="000000"/>
          <w:szCs w:val="21"/>
          <w:highlight w:val="none"/>
        </w:rPr>
        <w:t>约定顺序履行合同义务；如果没有先后顺序的，应当同时履行。</w:t>
      </w:r>
    </w:p>
    <w:p w14:paraId="47B1CF11">
      <w:pPr>
        <w:autoSpaceDE w:val="0"/>
        <w:autoSpaceDN w:val="0"/>
        <w:adjustRightInd w:val="0"/>
        <w:snapToGrid w:val="0"/>
        <w:spacing w:before="0" w:line="400" w:lineRule="exact"/>
        <w:ind w:firstLine="420" w:firstLineChars="200"/>
        <w:jc w:val="left"/>
        <w:outlineLvl w:val="9"/>
        <w:rPr>
          <w:rFonts w:ascii="Times New Roman" w:hAnsi="Times New Roman" w:eastAsia="宋体" w:cs="Times New Roman"/>
          <w:szCs w:val="24"/>
        </w:rPr>
      </w:pPr>
      <w:r>
        <w:rPr>
          <w:rFonts w:hint="eastAsia" w:ascii="宋体" w:hAnsi="宋体" w:eastAsia="宋体" w:cs="Times New Roman"/>
          <w:color w:val="000000"/>
          <w:szCs w:val="21"/>
          <w:highlight w:val="none"/>
          <w:lang w:eastAsia="zh-CN"/>
        </w:rPr>
        <w:t>6</w:t>
      </w:r>
      <w:r>
        <w:rPr>
          <w:rFonts w:hint="eastAsia" w:ascii="宋体" w:hAnsi="宋体" w:eastAsia="宋体" w:cs="Times New Roman"/>
          <w:color w:val="000000"/>
          <w:szCs w:val="21"/>
          <w:highlight w:val="none"/>
        </w:rPr>
        <w:t>.2 甲乙双方按照合同约定顺序履行合同义务时，应当先履行一方未履行的，后履行一方有权拒绝其履行请求。先履行一方履行不符合约定的，后履行一方有权拒绝其相应的履行请求。</w:t>
      </w:r>
    </w:p>
    <w:p w14:paraId="3A3545CA">
      <w:pPr>
        <w:adjustRightInd w:val="0"/>
        <w:snapToGrid w:val="0"/>
        <w:spacing w:before="0" w:line="400" w:lineRule="exact"/>
        <w:jc w:val="left"/>
        <w:outlineLvl w:val="9"/>
        <w:rPr>
          <w:rFonts w:ascii="宋体" w:hAnsi="宋体" w:eastAsia="宋体" w:cs="Times New Roman"/>
          <w:b/>
          <w:bCs/>
          <w:color w:val="000000"/>
          <w:sz w:val="24"/>
          <w:szCs w:val="24"/>
          <w:highlight w:val="none"/>
        </w:rPr>
      </w:pPr>
      <w:r>
        <w:rPr>
          <w:rFonts w:hint="eastAsia" w:ascii="宋体" w:hAnsi="宋体" w:eastAsia="宋体" w:cs="Times New Roman"/>
          <w:b/>
          <w:bCs/>
          <w:color w:val="000000"/>
          <w:sz w:val="24"/>
          <w:szCs w:val="24"/>
          <w:highlight w:val="none"/>
          <w:lang w:eastAsia="zh-CN"/>
        </w:rPr>
        <w:t>7</w:t>
      </w:r>
      <w:r>
        <w:rPr>
          <w:rFonts w:hint="eastAsia" w:ascii="宋体" w:hAnsi="宋体" w:eastAsia="宋体" w:cs="Times New Roman"/>
          <w:b/>
          <w:bCs/>
          <w:color w:val="000000"/>
          <w:sz w:val="24"/>
          <w:szCs w:val="24"/>
          <w:highlight w:val="none"/>
          <w:lang w:val="en-US" w:eastAsia="zh-CN"/>
        </w:rPr>
        <w:t xml:space="preserve">. </w:t>
      </w:r>
      <w:r>
        <w:rPr>
          <w:rFonts w:hint="eastAsia" w:ascii="宋体" w:hAnsi="宋体" w:eastAsia="宋体" w:cs="Times New Roman"/>
          <w:b/>
          <w:bCs/>
          <w:color w:val="000000"/>
          <w:sz w:val="24"/>
          <w:szCs w:val="24"/>
          <w:highlight w:val="none"/>
        </w:rPr>
        <w:t>货物包装、运输</w:t>
      </w:r>
      <w:r>
        <w:rPr>
          <w:rFonts w:hint="eastAsia" w:ascii="宋体" w:hAnsi="宋体" w:eastAsia="宋体" w:cs="Times New Roman"/>
          <w:b/>
          <w:bCs/>
          <w:color w:val="000000"/>
          <w:sz w:val="24"/>
          <w:szCs w:val="24"/>
          <w:highlight w:val="none"/>
          <w:lang w:eastAsia="zh-CN"/>
        </w:rPr>
        <w:t>、</w:t>
      </w:r>
      <w:r>
        <w:rPr>
          <w:rFonts w:hint="eastAsia" w:ascii="宋体" w:hAnsi="宋体" w:eastAsia="宋体" w:cs="Times New Roman"/>
          <w:b/>
          <w:bCs/>
          <w:color w:val="000000"/>
          <w:sz w:val="24"/>
          <w:szCs w:val="24"/>
          <w:highlight w:val="none"/>
        </w:rPr>
        <w:t>保险</w:t>
      </w:r>
      <w:r>
        <w:rPr>
          <w:rFonts w:hint="eastAsia" w:ascii="宋体" w:hAnsi="宋体" w:eastAsia="宋体" w:cs="Times New Roman"/>
          <w:b/>
          <w:bCs/>
          <w:color w:val="000000"/>
          <w:sz w:val="24"/>
          <w:szCs w:val="24"/>
          <w:highlight w:val="none"/>
          <w:lang w:eastAsia="zh-CN"/>
        </w:rPr>
        <w:t>和交付</w:t>
      </w:r>
      <w:r>
        <w:rPr>
          <w:rFonts w:hint="eastAsia" w:ascii="宋体" w:hAnsi="宋体" w:eastAsia="宋体" w:cs="Times New Roman"/>
          <w:b/>
          <w:bCs/>
          <w:color w:val="000000"/>
          <w:sz w:val="24"/>
          <w:szCs w:val="24"/>
          <w:highlight w:val="none"/>
        </w:rPr>
        <w:t>要求</w:t>
      </w:r>
    </w:p>
    <w:p w14:paraId="5FE62FCD">
      <w:pPr>
        <w:autoSpaceDE w:val="0"/>
        <w:autoSpaceDN w:val="0"/>
        <w:adjustRightInd w:val="0"/>
        <w:snapToGrid w:val="0"/>
        <w:spacing w:before="0" w:line="400" w:lineRule="exact"/>
        <w:ind w:firstLine="420" w:firstLineChars="200"/>
        <w:jc w:val="left"/>
        <w:outlineLvl w:val="9"/>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eastAsia="zh-CN"/>
        </w:rPr>
        <w:t>7</w:t>
      </w:r>
      <w:r>
        <w:rPr>
          <w:rFonts w:hint="eastAsia" w:ascii="宋体" w:hAnsi="宋体" w:eastAsia="宋体" w:cs="Times New Roman"/>
          <w:color w:val="000000"/>
          <w:szCs w:val="21"/>
          <w:highlight w:val="none"/>
        </w:rPr>
        <w:t>.1 本合同</w:t>
      </w:r>
      <w:r>
        <w:rPr>
          <w:rFonts w:hint="eastAsia" w:ascii="宋体" w:hAnsi="宋体" w:eastAsia="宋体" w:cs="Times New Roman"/>
          <w:bCs/>
          <w:color w:val="000000"/>
          <w:szCs w:val="21"/>
          <w:highlight w:val="none"/>
        </w:rPr>
        <w:t>涉及商品包装</w:t>
      </w:r>
      <w:r>
        <w:rPr>
          <w:rFonts w:hint="eastAsia" w:ascii="宋体" w:hAnsi="宋体" w:eastAsia="宋体" w:cs="Times New Roman"/>
          <w:bCs/>
          <w:color w:val="000000"/>
          <w:szCs w:val="21"/>
          <w:highlight w:val="none"/>
          <w:lang w:eastAsia="zh-CN"/>
        </w:rPr>
        <w:t>、</w:t>
      </w:r>
      <w:r>
        <w:rPr>
          <w:rFonts w:hint="eastAsia" w:ascii="宋体" w:hAnsi="宋体" w:eastAsia="宋体" w:cs="Times New Roman"/>
          <w:bCs/>
          <w:color w:val="000000"/>
          <w:szCs w:val="21"/>
          <w:highlight w:val="none"/>
        </w:rPr>
        <w:t>快递包装的，</w:t>
      </w:r>
      <w:r>
        <w:rPr>
          <w:rFonts w:hint="eastAsia" w:ascii="宋体" w:hAnsi="宋体" w:eastAsia="宋体" w:cs="Times New Roman"/>
          <w:color w:val="000000"/>
          <w:szCs w:val="21"/>
          <w:highlight w:val="none"/>
        </w:rPr>
        <w:t>除</w:t>
      </w:r>
      <w:r>
        <w:rPr>
          <w:rFonts w:hint="eastAsia" w:ascii="宋体" w:hAnsi="宋体" w:eastAsia="宋体" w:cs="Times New Roman"/>
          <w:b/>
          <w:color w:val="000000"/>
          <w:szCs w:val="21"/>
          <w:highlight w:val="none"/>
        </w:rPr>
        <w:t>【政府采购合同专用条款】</w:t>
      </w:r>
      <w:r>
        <w:rPr>
          <w:rFonts w:hint="eastAsia" w:ascii="宋体" w:hAnsi="宋体" w:eastAsia="宋体" w:cs="Times New Roman"/>
          <w:bCs/>
          <w:color w:val="000000"/>
          <w:szCs w:val="21"/>
          <w:highlight w:val="none"/>
        </w:rPr>
        <w:t>另有</w:t>
      </w:r>
      <w:r>
        <w:rPr>
          <w:rFonts w:hint="eastAsia" w:ascii="宋体" w:hAnsi="宋体" w:eastAsia="宋体" w:cs="Times New Roman"/>
          <w:bCs/>
          <w:color w:val="000000"/>
          <w:szCs w:val="21"/>
          <w:highlight w:val="none"/>
          <w:lang w:eastAsia="zh-CN"/>
        </w:rPr>
        <w:t>约</w:t>
      </w:r>
      <w:r>
        <w:rPr>
          <w:rFonts w:hint="eastAsia" w:ascii="宋体" w:hAnsi="宋体" w:eastAsia="宋体" w:cs="Times New Roman"/>
          <w:bCs/>
          <w:color w:val="000000"/>
          <w:szCs w:val="21"/>
          <w:highlight w:val="none"/>
        </w:rPr>
        <w:t>定</w:t>
      </w:r>
      <w:r>
        <w:rPr>
          <w:rFonts w:hint="eastAsia" w:ascii="宋体" w:hAnsi="宋体" w:eastAsia="宋体" w:cs="Times New Roman"/>
          <w:bCs/>
          <w:color w:val="000000"/>
          <w:szCs w:val="21"/>
          <w:highlight w:val="none"/>
          <w:lang w:eastAsia="zh-CN"/>
        </w:rPr>
        <w:t>外</w:t>
      </w:r>
      <w:r>
        <w:rPr>
          <w:rFonts w:hint="eastAsia" w:ascii="宋体" w:hAnsi="宋体" w:eastAsia="宋体" w:cs="Times New Roman"/>
          <w:bCs/>
          <w:color w:val="000000"/>
          <w:szCs w:val="21"/>
          <w:highlight w:val="none"/>
        </w:rPr>
        <w:t>，</w:t>
      </w:r>
      <w:r>
        <w:rPr>
          <w:rFonts w:hint="eastAsia" w:ascii="宋体" w:hAnsi="宋体" w:eastAsia="宋体" w:cs="Times New Roman"/>
          <w:color w:val="000000"/>
          <w:szCs w:val="21"/>
          <w:highlight w:val="none"/>
        </w:rPr>
        <w:t>包装应适应远距离运输、防潮、防震、防锈和防野蛮装卸等要求，确保货物安全无损地运抵</w:t>
      </w:r>
      <w:r>
        <w:rPr>
          <w:rFonts w:hint="eastAsia" w:ascii="宋体" w:hAnsi="宋体" w:eastAsia="宋体" w:cs="Times New Roman"/>
          <w:b/>
          <w:color w:val="000000"/>
          <w:szCs w:val="21"/>
          <w:highlight w:val="none"/>
        </w:rPr>
        <w:t>【政府采购合同专用条款】</w:t>
      </w:r>
      <w:r>
        <w:rPr>
          <w:rFonts w:hint="eastAsia" w:ascii="宋体" w:hAnsi="宋体" w:eastAsia="宋体" w:cs="Times New Roman"/>
          <w:b w:val="0"/>
          <w:bCs/>
          <w:color w:val="000000"/>
          <w:szCs w:val="21"/>
          <w:highlight w:val="none"/>
          <w:lang w:eastAsia="zh-CN"/>
        </w:rPr>
        <w:t>约定的</w:t>
      </w:r>
      <w:r>
        <w:rPr>
          <w:rFonts w:hint="eastAsia" w:ascii="宋体" w:hAnsi="宋体" w:eastAsia="宋体" w:cs="Times New Roman"/>
          <w:color w:val="000000"/>
          <w:szCs w:val="21"/>
          <w:highlight w:val="none"/>
        </w:rPr>
        <w:t>指定现场。</w:t>
      </w:r>
    </w:p>
    <w:p w14:paraId="5FCA7D24">
      <w:pPr>
        <w:adjustRightInd w:val="0"/>
        <w:snapToGrid w:val="0"/>
        <w:spacing w:before="0" w:line="400" w:lineRule="exact"/>
        <w:ind w:firstLine="420" w:firstLineChars="200"/>
        <w:jc w:val="left"/>
        <w:outlineLvl w:val="9"/>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eastAsia="zh-CN"/>
        </w:rPr>
        <w:t>7</w:t>
      </w:r>
      <w:r>
        <w:rPr>
          <w:rFonts w:hint="eastAsia" w:ascii="宋体" w:hAnsi="宋体" w:eastAsia="宋体" w:cs="Times New Roman"/>
          <w:color w:val="000000"/>
          <w:szCs w:val="21"/>
          <w:highlight w:val="none"/>
        </w:rPr>
        <w:t>.2 除</w:t>
      </w:r>
      <w:r>
        <w:rPr>
          <w:rFonts w:hint="eastAsia" w:ascii="宋体" w:hAnsi="宋体" w:eastAsia="宋体" w:cs="Times New Roman"/>
          <w:b/>
          <w:color w:val="000000"/>
          <w:szCs w:val="21"/>
          <w:highlight w:val="none"/>
        </w:rPr>
        <w:t>【政府采购合同专用条款】</w:t>
      </w:r>
      <w:r>
        <w:rPr>
          <w:rFonts w:hint="eastAsia" w:ascii="宋体" w:hAnsi="宋体" w:eastAsia="宋体" w:cs="Times New Roman"/>
          <w:bCs/>
          <w:color w:val="000000"/>
          <w:szCs w:val="21"/>
          <w:highlight w:val="none"/>
        </w:rPr>
        <w:t>另有</w:t>
      </w:r>
      <w:r>
        <w:rPr>
          <w:rFonts w:hint="eastAsia" w:ascii="宋体" w:hAnsi="宋体" w:eastAsia="宋体" w:cs="Times New Roman"/>
          <w:bCs/>
          <w:color w:val="000000"/>
          <w:szCs w:val="21"/>
          <w:highlight w:val="none"/>
          <w:lang w:eastAsia="zh-CN"/>
        </w:rPr>
        <w:t>约</w:t>
      </w:r>
      <w:r>
        <w:rPr>
          <w:rFonts w:hint="eastAsia" w:ascii="宋体" w:hAnsi="宋体" w:eastAsia="宋体" w:cs="Times New Roman"/>
          <w:bCs/>
          <w:color w:val="000000"/>
          <w:szCs w:val="21"/>
          <w:highlight w:val="none"/>
        </w:rPr>
        <w:t>定</w:t>
      </w:r>
      <w:r>
        <w:rPr>
          <w:rFonts w:hint="eastAsia" w:ascii="宋体" w:hAnsi="宋体" w:eastAsia="宋体" w:cs="Times New Roman"/>
          <w:bCs/>
          <w:color w:val="000000"/>
          <w:szCs w:val="21"/>
          <w:highlight w:val="none"/>
          <w:lang w:eastAsia="zh-CN"/>
        </w:rPr>
        <w:t>外</w:t>
      </w:r>
      <w:r>
        <w:rPr>
          <w:rFonts w:hint="eastAsia" w:ascii="宋体" w:hAnsi="宋体" w:eastAsia="宋体" w:cs="Times New Roman"/>
          <w:bCs/>
          <w:color w:val="000000"/>
          <w:szCs w:val="21"/>
          <w:highlight w:val="none"/>
        </w:rPr>
        <w:t>，</w:t>
      </w:r>
      <w:r>
        <w:rPr>
          <w:rFonts w:hint="eastAsia" w:ascii="宋体" w:hAnsi="宋体" w:eastAsia="宋体" w:cs="Times New Roman"/>
          <w:color w:val="000000"/>
          <w:szCs w:val="21"/>
          <w:highlight w:val="none"/>
        </w:rPr>
        <w:t>乙方负责办理将货物运抵本合同规定的交货地点</w:t>
      </w:r>
      <w:r>
        <w:rPr>
          <w:rFonts w:hint="eastAsia" w:ascii="宋体" w:hAnsi="宋体" w:eastAsia="宋体" w:cs="Times New Roman"/>
          <w:color w:val="000000"/>
          <w:szCs w:val="21"/>
          <w:highlight w:val="none"/>
          <w:lang w:eastAsia="zh-CN"/>
        </w:rPr>
        <w:t>，并装卸、交付至甲方</w:t>
      </w:r>
      <w:r>
        <w:rPr>
          <w:rFonts w:hint="eastAsia" w:ascii="宋体" w:hAnsi="宋体" w:eastAsia="宋体" w:cs="Times New Roman"/>
          <w:color w:val="000000"/>
          <w:szCs w:val="21"/>
          <w:highlight w:val="none"/>
        </w:rPr>
        <w:t>的一切运输事项，相关费用应</w:t>
      </w:r>
      <w:r>
        <w:rPr>
          <w:rFonts w:hint="eastAsia" w:ascii="宋体" w:hAnsi="宋体" w:eastAsia="宋体" w:cs="Times New Roman"/>
          <w:color w:val="000000"/>
          <w:szCs w:val="21"/>
          <w:highlight w:val="none"/>
          <w:lang w:eastAsia="zh-CN"/>
        </w:rPr>
        <w:t>包含</w:t>
      </w:r>
      <w:r>
        <w:rPr>
          <w:rFonts w:hint="eastAsia" w:ascii="宋体" w:hAnsi="宋体" w:eastAsia="宋体" w:cs="Times New Roman"/>
          <w:color w:val="000000"/>
          <w:szCs w:val="21"/>
          <w:highlight w:val="none"/>
        </w:rPr>
        <w:t>在合同</w:t>
      </w:r>
      <w:r>
        <w:rPr>
          <w:rFonts w:hint="eastAsia" w:ascii="宋体" w:hAnsi="宋体" w:eastAsia="宋体" w:cs="Times New Roman"/>
          <w:color w:val="000000"/>
          <w:szCs w:val="21"/>
          <w:highlight w:val="none"/>
          <w:lang w:eastAsia="zh-CN"/>
        </w:rPr>
        <w:t>价款</w:t>
      </w:r>
      <w:r>
        <w:rPr>
          <w:rFonts w:hint="eastAsia" w:ascii="宋体" w:hAnsi="宋体" w:eastAsia="宋体" w:cs="Times New Roman"/>
          <w:color w:val="000000"/>
          <w:szCs w:val="21"/>
          <w:highlight w:val="none"/>
        </w:rPr>
        <w:t>中。</w:t>
      </w:r>
    </w:p>
    <w:p w14:paraId="15F40E36">
      <w:pPr>
        <w:adjustRightInd w:val="0"/>
        <w:snapToGrid w:val="0"/>
        <w:spacing w:before="0" w:line="400" w:lineRule="exact"/>
        <w:ind w:firstLine="420" w:firstLineChars="200"/>
        <w:jc w:val="left"/>
        <w:outlineLvl w:val="9"/>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eastAsia="zh-CN"/>
        </w:rPr>
        <w:t>7</w:t>
      </w:r>
      <w:r>
        <w:rPr>
          <w:rFonts w:hint="eastAsia" w:ascii="宋体" w:hAnsi="宋体" w:eastAsia="宋体" w:cs="Times New Roman"/>
          <w:color w:val="000000"/>
          <w:szCs w:val="21"/>
          <w:highlight w:val="none"/>
        </w:rPr>
        <w:t>.3 货物保险要求按</w:t>
      </w:r>
      <w:r>
        <w:rPr>
          <w:rFonts w:hint="eastAsia" w:ascii="宋体" w:hAnsi="宋体" w:eastAsia="宋体" w:cs="Times New Roman"/>
          <w:b/>
          <w:color w:val="000000"/>
          <w:szCs w:val="21"/>
          <w:highlight w:val="none"/>
        </w:rPr>
        <w:t>【政府采购合同专用条款】</w:t>
      </w:r>
      <w:r>
        <w:rPr>
          <w:rFonts w:hint="eastAsia" w:ascii="宋体" w:hAnsi="宋体" w:eastAsia="宋体" w:cs="Times New Roman"/>
          <w:bCs/>
          <w:color w:val="000000"/>
          <w:szCs w:val="21"/>
          <w:highlight w:val="none"/>
        </w:rPr>
        <w:t>规定执行</w:t>
      </w:r>
      <w:r>
        <w:rPr>
          <w:rFonts w:hint="eastAsia" w:ascii="宋体" w:hAnsi="宋体" w:eastAsia="宋体" w:cs="Times New Roman"/>
          <w:color w:val="000000"/>
          <w:szCs w:val="21"/>
          <w:highlight w:val="none"/>
        </w:rPr>
        <w:t>。</w:t>
      </w:r>
    </w:p>
    <w:p w14:paraId="6683C793">
      <w:pPr>
        <w:autoSpaceDE w:val="0"/>
        <w:autoSpaceDN w:val="0"/>
        <w:adjustRightInd w:val="0"/>
        <w:snapToGrid w:val="0"/>
        <w:spacing w:before="0" w:line="400" w:lineRule="exact"/>
        <w:ind w:firstLine="420" w:firstLineChars="200"/>
        <w:jc w:val="left"/>
        <w:outlineLvl w:val="9"/>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lang w:eastAsia="zh-CN"/>
        </w:rPr>
        <w:t>7</w:t>
      </w:r>
      <w:r>
        <w:rPr>
          <w:rFonts w:hint="eastAsia" w:ascii="宋体" w:hAnsi="宋体" w:eastAsia="宋体" w:cs="Times New Roman"/>
          <w:color w:val="000000"/>
          <w:szCs w:val="21"/>
          <w:highlight w:val="none"/>
        </w:rPr>
        <w:t xml:space="preserve">.4 </w:t>
      </w:r>
      <w:r>
        <w:rPr>
          <w:rFonts w:hint="eastAsia" w:ascii="宋体" w:hAnsi="宋体" w:eastAsia="宋体" w:cs="Times New Roman"/>
          <w:color w:val="000000"/>
          <w:szCs w:val="21"/>
          <w:highlight w:val="none"/>
          <w:lang w:val="en-US" w:eastAsia="zh-CN"/>
        </w:rPr>
        <w:t>除采购活动</w:t>
      </w:r>
      <w:r>
        <w:rPr>
          <w:rFonts w:hint="eastAsia" w:ascii="宋体" w:hAnsi="宋体" w:eastAsia="宋体" w:cs="Times New Roman"/>
          <w:color w:val="000000"/>
          <w:szCs w:val="21"/>
          <w:highlight w:val="none"/>
        </w:rPr>
        <w:t>对商品包装</w:t>
      </w:r>
      <w:r>
        <w:rPr>
          <w:rFonts w:hint="eastAsia" w:ascii="宋体" w:hAnsi="宋体" w:eastAsia="宋体" w:cs="Times New Roman"/>
          <w:color w:val="000000"/>
          <w:szCs w:val="21"/>
          <w:highlight w:val="none"/>
          <w:lang w:eastAsia="zh-CN"/>
        </w:rPr>
        <w:t>、</w:t>
      </w:r>
      <w:r>
        <w:rPr>
          <w:rFonts w:hint="eastAsia" w:ascii="宋体" w:hAnsi="宋体" w:eastAsia="宋体" w:cs="Times New Roman"/>
          <w:color w:val="000000"/>
          <w:szCs w:val="21"/>
          <w:highlight w:val="none"/>
        </w:rPr>
        <w:t>快递包装</w:t>
      </w:r>
      <w:r>
        <w:rPr>
          <w:rFonts w:hint="eastAsia" w:ascii="宋体" w:hAnsi="宋体" w:eastAsia="宋体" w:cs="Times New Roman"/>
          <w:color w:val="000000"/>
          <w:szCs w:val="21"/>
          <w:highlight w:val="none"/>
          <w:lang w:val="en-US" w:eastAsia="zh-CN"/>
        </w:rPr>
        <w:t>达成具体约定外</w:t>
      </w:r>
      <w:r>
        <w:rPr>
          <w:rFonts w:hint="eastAsia" w:ascii="宋体" w:hAnsi="宋体" w:eastAsia="宋体" w:cs="Times New Roman"/>
          <w:color w:val="000000"/>
          <w:szCs w:val="21"/>
          <w:highlight w:val="none"/>
        </w:rPr>
        <w:t>，乙方提供产品及相关快递服务</w:t>
      </w:r>
      <w:r>
        <w:rPr>
          <w:rFonts w:hint="eastAsia" w:ascii="宋体" w:hAnsi="宋体" w:eastAsia="宋体" w:cs="Times New Roman"/>
          <w:color w:val="000000"/>
          <w:szCs w:val="21"/>
          <w:highlight w:val="none"/>
          <w:lang w:val="en-US" w:eastAsia="zh-CN"/>
        </w:rPr>
        <w:t>涉及到</w:t>
      </w:r>
      <w:r>
        <w:rPr>
          <w:rFonts w:hint="eastAsia" w:ascii="宋体" w:hAnsi="宋体" w:eastAsia="宋体" w:cs="Times New Roman"/>
          <w:color w:val="000000"/>
          <w:szCs w:val="21"/>
          <w:highlight w:val="none"/>
        </w:rPr>
        <w:t>具体包装要求</w:t>
      </w:r>
      <w:r>
        <w:rPr>
          <w:rFonts w:hint="eastAsia" w:ascii="宋体" w:hAnsi="宋体" w:eastAsia="宋体" w:cs="Times New Roman"/>
          <w:color w:val="000000"/>
          <w:szCs w:val="21"/>
          <w:highlight w:val="none"/>
          <w:lang w:val="en-US" w:eastAsia="zh-CN"/>
        </w:rPr>
        <w:t>的，</w:t>
      </w:r>
      <w:r>
        <w:rPr>
          <w:rFonts w:hint="eastAsia" w:ascii="宋体" w:hAnsi="宋体" w:eastAsia="宋体" w:cs="Times New Roman"/>
          <w:color w:val="000000"/>
          <w:szCs w:val="21"/>
          <w:highlight w:val="none"/>
        </w:rPr>
        <w:t>应</w:t>
      </w:r>
      <w:r>
        <w:rPr>
          <w:rFonts w:hint="eastAsia" w:ascii="宋体" w:hAnsi="宋体" w:eastAsia="宋体" w:cs="Times New Roman"/>
          <w:color w:val="000000"/>
          <w:szCs w:val="21"/>
          <w:highlight w:val="none"/>
          <w:lang w:val="en-US" w:eastAsia="zh-CN"/>
        </w:rPr>
        <w:t>不低于</w:t>
      </w:r>
      <w:r>
        <w:rPr>
          <w:rFonts w:hint="eastAsia" w:ascii="宋体" w:hAnsi="宋体" w:eastAsia="宋体" w:cs="Times New Roman"/>
          <w:color w:val="000000"/>
          <w:szCs w:val="21"/>
          <w:highlight w:val="none"/>
        </w:rPr>
        <w:t>《商品包装政府采购需求标准（试行）</w:t>
      </w:r>
      <w:r>
        <w:rPr>
          <w:rFonts w:hint="eastAsia" w:ascii="宋体" w:hAnsi="宋体" w:eastAsia="宋体" w:cs="Times New Roman"/>
          <w:color w:val="000000"/>
          <w:szCs w:val="21"/>
          <w:highlight w:val="none"/>
          <w:lang w:eastAsia="zh-CN"/>
        </w:rPr>
        <w:t>》《</w:t>
      </w:r>
      <w:r>
        <w:rPr>
          <w:rFonts w:hint="eastAsia" w:ascii="宋体" w:hAnsi="宋体" w:eastAsia="宋体" w:cs="Times New Roman"/>
          <w:color w:val="000000"/>
          <w:szCs w:val="21"/>
          <w:highlight w:val="none"/>
        </w:rPr>
        <w:t>快递包装政府采购需求标准（试行）》</w:t>
      </w:r>
      <w:r>
        <w:rPr>
          <w:rFonts w:hint="eastAsia" w:ascii="宋体" w:hAnsi="宋体" w:eastAsia="宋体" w:cs="Times New Roman"/>
          <w:color w:val="000000"/>
          <w:szCs w:val="21"/>
          <w:highlight w:val="none"/>
          <w:lang w:val="en-US" w:eastAsia="zh-CN"/>
        </w:rPr>
        <w:t>标准</w:t>
      </w:r>
      <w:r>
        <w:rPr>
          <w:rFonts w:hint="eastAsia" w:ascii="宋体" w:hAnsi="宋体" w:eastAsia="宋体" w:cs="Times New Roman"/>
          <w:color w:val="000000"/>
          <w:szCs w:val="21"/>
          <w:highlight w:val="none"/>
        </w:rPr>
        <w:t>，并作为履约验收的内容，必要时甲方可以要求乙方在履约验收环节出具检测报告。</w:t>
      </w:r>
    </w:p>
    <w:p w14:paraId="15A17880">
      <w:pPr>
        <w:autoSpaceDE w:val="0"/>
        <w:autoSpaceDN w:val="0"/>
        <w:adjustRightInd w:val="0"/>
        <w:snapToGrid w:val="0"/>
        <w:spacing w:before="0" w:line="400" w:lineRule="exact"/>
        <w:ind w:firstLine="420" w:firstLineChars="200"/>
        <w:jc w:val="left"/>
        <w:outlineLvl w:val="9"/>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 xml:space="preserve">7.5 </w:t>
      </w:r>
      <w:r>
        <w:rPr>
          <w:rFonts w:hint="eastAsia" w:ascii="宋体" w:hAnsi="宋体" w:eastAsia="宋体" w:cs="宋体"/>
          <w:color w:val="000000"/>
          <w:szCs w:val="21"/>
        </w:rPr>
        <w:t>乙方在运输到达之前</w:t>
      </w:r>
      <w:r>
        <w:rPr>
          <w:rFonts w:hint="eastAsia" w:ascii="宋体" w:hAnsi="宋体" w:eastAsia="宋体" w:cs="宋体"/>
          <w:color w:val="000000"/>
          <w:szCs w:val="21"/>
          <w:lang w:eastAsia="zh-CN"/>
        </w:rPr>
        <w:t>应</w:t>
      </w:r>
      <w:r>
        <w:rPr>
          <w:rFonts w:hint="eastAsia" w:ascii="宋体" w:hAnsi="宋体" w:eastAsia="宋体" w:cs="宋体"/>
          <w:color w:val="000000"/>
          <w:szCs w:val="21"/>
        </w:rPr>
        <w:t>提前通知</w:t>
      </w:r>
      <w:r>
        <w:rPr>
          <w:rFonts w:hint="eastAsia" w:ascii="宋体" w:hAnsi="宋体" w:eastAsia="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eastAsia="宋体" w:cs="宋体"/>
          <w:color w:val="000000"/>
          <w:szCs w:val="21"/>
          <w:lang w:eastAsia="zh-CN"/>
        </w:rPr>
        <w:t>，甲方配合乙方做好货物的接收工作。</w:t>
      </w:r>
    </w:p>
    <w:p w14:paraId="6086604C">
      <w:pPr>
        <w:autoSpaceDE w:val="0"/>
        <w:autoSpaceDN w:val="0"/>
        <w:adjustRightInd w:val="0"/>
        <w:spacing w:line="400" w:lineRule="exact"/>
        <w:ind w:firstLine="420" w:firstLineChars="200"/>
        <w:outlineLvl w:val="9"/>
        <w:rPr>
          <w:rFonts w:hint="default" w:ascii="华文楷体" w:hAnsi="华文楷体" w:eastAsia="华文楷体" w:cs="华文楷体"/>
          <w:sz w:val="21"/>
          <w:szCs w:val="21"/>
          <w:lang w:val="en-US" w:eastAsia="zh-CN" w:bidi="ar-SA"/>
        </w:rPr>
      </w:pPr>
      <w:r>
        <w:rPr>
          <w:rFonts w:hint="eastAsia" w:ascii="宋体" w:hAnsi="宋体" w:eastAsia="宋体" w:cs="Times New Roman"/>
          <w:color w:val="000000"/>
          <w:kern w:val="2"/>
          <w:sz w:val="21"/>
          <w:szCs w:val="21"/>
          <w:highlight w:val="none"/>
          <w:lang w:val="en-US" w:eastAsia="zh-CN" w:bidi="ar-SA"/>
        </w:rPr>
        <w:t>7.6 如因包装、运输问题导致货物损毁、丢失或者品质下降，甲方有权要求降价、换货、拒收部分或整批货物，由此产生的费用和损失，均由乙方承担。</w:t>
      </w:r>
    </w:p>
    <w:p w14:paraId="4747A226">
      <w:pPr>
        <w:adjustRightInd w:val="0"/>
        <w:snapToGrid w:val="0"/>
        <w:spacing w:before="0" w:line="400" w:lineRule="exact"/>
        <w:jc w:val="left"/>
        <w:outlineLvl w:val="9"/>
        <w:rPr>
          <w:rFonts w:ascii="宋体" w:hAnsi="宋体" w:eastAsia="宋体" w:cs="Times New Roman"/>
          <w:b/>
          <w:color w:val="auto"/>
          <w:sz w:val="24"/>
          <w:szCs w:val="24"/>
          <w:highlight w:val="none"/>
        </w:rPr>
      </w:pPr>
      <w:r>
        <w:rPr>
          <w:rFonts w:hint="eastAsia" w:ascii="宋体" w:hAnsi="宋体" w:eastAsia="宋体" w:cs="Times New Roman"/>
          <w:b/>
          <w:color w:val="000000"/>
          <w:sz w:val="24"/>
          <w:szCs w:val="24"/>
          <w:highlight w:val="none"/>
          <w:lang w:eastAsia="zh-CN"/>
        </w:rPr>
        <w:t>8</w:t>
      </w:r>
      <w:r>
        <w:rPr>
          <w:rFonts w:hint="eastAsia" w:ascii="宋体" w:hAnsi="宋体" w:eastAsia="宋体" w:cs="Times New Roman"/>
          <w:b/>
          <w:color w:val="000000"/>
          <w:sz w:val="24"/>
          <w:szCs w:val="24"/>
          <w:highlight w:val="none"/>
          <w:lang w:val="en-US" w:eastAsia="zh-CN"/>
        </w:rPr>
        <w:t xml:space="preserve">. </w:t>
      </w:r>
      <w:r>
        <w:rPr>
          <w:rFonts w:hint="eastAsia" w:ascii="宋体" w:hAnsi="宋体" w:eastAsia="宋体" w:cs="Times New Roman"/>
          <w:b/>
          <w:color w:val="auto"/>
          <w:sz w:val="24"/>
          <w:szCs w:val="24"/>
          <w:highlight w:val="none"/>
        </w:rPr>
        <w:t>质量标准和保证</w:t>
      </w:r>
    </w:p>
    <w:p w14:paraId="45BB518E">
      <w:pPr>
        <w:widowControl w:val="0"/>
        <w:adjustRightInd w:val="0"/>
        <w:snapToGrid w:val="0"/>
        <w:spacing w:before="0" w:line="400" w:lineRule="exact"/>
        <w:ind w:firstLine="420" w:firstLineChars="200"/>
        <w:jc w:val="left"/>
        <w:outlineLvl w:val="9"/>
        <w:rPr>
          <w:rFonts w:ascii="宋体" w:hAnsi="宋体" w:eastAsia="宋体" w:cs="Courier New"/>
          <w:b/>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8.1 质量标准</w:t>
      </w:r>
    </w:p>
    <w:p w14:paraId="46459C21">
      <w:pPr>
        <w:autoSpaceDE w:val="0"/>
        <w:autoSpaceDN w:val="0"/>
        <w:adjustRightInd w:val="0"/>
        <w:snapToGrid w:val="0"/>
        <w:spacing w:before="0" w:line="400" w:lineRule="exact"/>
        <w:ind w:firstLine="420" w:firstLineChars="200"/>
        <w:jc w:val="left"/>
        <w:outlineLvl w:val="9"/>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（1）本合同下</w:t>
      </w:r>
      <w:r>
        <w:rPr>
          <w:rFonts w:hint="eastAsia" w:ascii="宋体" w:hAnsi="宋体" w:eastAsia="宋体" w:cs="Times New Roman"/>
          <w:color w:val="auto"/>
          <w:szCs w:val="21"/>
          <w:highlight w:val="none"/>
          <w:lang w:eastAsia="zh-CN"/>
        </w:rPr>
        <w:t>提供</w:t>
      </w:r>
      <w:r>
        <w:rPr>
          <w:rFonts w:hint="eastAsia" w:ascii="宋体" w:hAnsi="宋体" w:eastAsia="宋体" w:cs="Times New Roman"/>
          <w:color w:val="auto"/>
          <w:szCs w:val="21"/>
          <w:highlight w:val="none"/>
        </w:rPr>
        <w:t>的货物应符合</w:t>
      </w:r>
      <w:r>
        <w:rPr>
          <w:rFonts w:hint="eastAsia" w:ascii="宋体" w:hAnsi="宋体" w:eastAsia="宋体" w:cs="Times New Roman"/>
          <w:color w:val="auto"/>
          <w:szCs w:val="21"/>
          <w:highlight w:val="none"/>
          <w:lang w:eastAsia="zh-CN"/>
        </w:rPr>
        <w:t>合同</w:t>
      </w:r>
      <w:r>
        <w:rPr>
          <w:rFonts w:hint="eastAsia" w:ascii="宋体" w:hAnsi="宋体" w:eastAsia="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eastAsia="宋体" w:cs="Times New Roman"/>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eastAsia="宋体" w:cs="Times New Roman"/>
          <w:color w:val="auto"/>
          <w:szCs w:val="21"/>
          <w:highlight w:val="none"/>
          <w:lang w:eastAsia="zh-CN"/>
        </w:rPr>
        <w:t>。</w:t>
      </w:r>
    </w:p>
    <w:p w14:paraId="6E400CE2">
      <w:pPr>
        <w:widowControl w:val="0"/>
        <w:adjustRightInd w:val="0"/>
        <w:snapToGrid w:val="0"/>
        <w:spacing w:before="0" w:line="400" w:lineRule="exact"/>
        <w:ind w:firstLine="420" w:firstLineChars="200"/>
        <w:jc w:val="left"/>
        <w:outlineLvl w:val="9"/>
        <w:rPr>
          <w:rFonts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（2）采用中华人民共和国法定计量单位。</w:t>
      </w:r>
    </w:p>
    <w:p w14:paraId="352F1C10">
      <w:pPr>
        <w:autoSpaceDE w:val="0"/>
        <w:autoSpaceDN w:val="0"/>
        <w:adjustRightInd w:val="0"/>
        <w:snapToGrid w:val="0"/>
        <w:spacing w:before="0" w:line="400" w:lineRule="exact"/>
        <w:ind w:firstLine="420" w:firstLineChars="200"/>
        <w:jc w:val="left"/>
        <w:outlineLvl w:val="9"/>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（3）乙方所</w:t>
      </w:r>
      <w:r>
        <w:rPr>
          <w:rFonts w:hint="eastAsia" w:ascii="宋体" w:hAnsi="宋体" w:eastAsia="宋体" w:cs="Times New Roman"/>
          <w:color w:val="auto"/>
          <w:szCs w:val="21"/>
          <w:highlight w:val="none"/>
          <w:lang w:eastAsia="zh-CN"/>
        </w:rPr>
        <w:t>提供</w:t>
      </w:r>
      <w:r>
        <w:rPr>
          <w:rFonts w:hint="eastAsia" w:ascii="宋体" w:hAnsi="宋体" w:eastAsia="宋体" w:cs="Times New Roman"/>
          <w:color w:val="auto"/>
          <w:szCs w:val="21"/>
          <w:highlight w:val="none"/>
        </w:rPr>
        <w:t>的货物应符合国家有关安全、环保、卫生</w:t>
      </w:r>
      <w:r>
        <w:rPr>
          <w:rFonts w:hint="eastAsia" w:ascii="宋体" w:hAnsi="宋体" w:eastAsia="宋体" w:cs="Times New Roman"/>
          <w:color w:val="auto"/>
          <w:szCs w:val="21"/>
          <w:highlight w:val="none"/>
          <w:lang w:eastAsia="zh-CN"/>
        </w:rPr>
        <w:t>的</w:t>
      </w:r>
      <w:r>
        <w:rPr>
          <w:rFonts w:hint="eastAsia" w:ascii="宋体" w:hAnsi="宋体" w:eastAsia="宋体" w:cs="Times New Roman"/>
          <w:color w:val="auto"/>
          <w:szCs w:val="21"/>
          <w:highlight w:val="none"/>
        </w:rPr>
        <w:t>规定。</w:t>
      </w:r>
    </w:p>
    <w:p w14:paraId="44AC5F3C">
      <w:pPr>
        <w:autoSpaceDE w:val="0"/>
        <w:autoSpaceDN w:val="0"/>
        <w:adjustRightInd w:val="0"/>
        <w:snapToGrid w:val="0"/>
        <w:spacing w:before="0" w:line="400" w:lineRule="exact"/>
        <w:ind w:firstLine="420" w:firstLineChars="200"/>
        <w:jc w:val="left"/>
        <w:outlineLvl w:val="9"/>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（4）乙方应向甲方提交所</w:t>
      </w:r>
      <w:r>
        <w:rPr>
          <w:rFonts w:hint="eastAsia" w:ascii="宋体" w:hAnsi="宋体" w:eastAsia="宋体" w:cs="Times New Roman"/>
          <w:color w:val="auto"/>
          <w:szCs w:val="21"/>
          <w:highlight w:val="none"/>
          <w:lang w:eastAsia="zh-CN"/>
        </w:rPr>
        <w:t>提供</w:t>
      </w:r>
      <w:r>
        <w:rPr>
          <w:rFonts w:hint="eastAsia" w:ascii="宋体" w:hAnsi="宋体" w:eastAsia="宋体" w:cs="Times New Roman"/>
          <w:color w:val="auto"/>
          <w:szCs w:val="21"/>
          <w:highlight w:val="none"/>
        </w:rPr>
        <w:t>货物的技术文件，包括相应的中文技术文件，如：产品目录、图纸、操作手册、使用说明、维护手册或服务指南</w:t>
      </w:r>
      <w:r>
        <w:rPr>
          <w:rFonts w:hint="eastAsia" w:ascii="宋体" w:hAnsi="宋体" w:eastAsia="宋体" w:cs="Times New Roman"/>
          <w:color w:val="auto"/>
          <w:szCs w:val="21"/>
          <w:highlight w:val="none"/>
          <w:lang w:eastAsia="zh-CN"/>
        </w:rPr>
        <w:t>等</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eastAsia="zh-CN"/>
        </w:rPr>
        <w:t>上述</w:t>
      </w:r>
      <w:r>
        <w:rPr>
          <w:rFonts w:hint="eastAsia" w:ascii="宋体" w:hAnsi="宋体" w:eastAsia="宋体" w:cs="Times New Roman"/>
          <w:color w:val="auto"/>
          <w:szCs w:val="21"/>
          <w:highlight w:val="none"/>
        </w:rPr>
        <w:t>文件应包装好随货物一同发运。</w:t>
      </w:r>
    </w:p>
    <w:p w14:paraId="099C7096">
      <w:pPr>
        <w:autoSpaceDE w:val="0"/>
        <w:autoSpaceDN w:val="0"/>
        <w:adjustRightInd w:val="0"/>
        <w:snapToGrid w:val="0"/>
        <w:spacing w:before="0" w:line="400" w:lineRule="exact"/>
        <w:ind w:firstLine="420" w:firstLineChars="200"/>
        <w:jc w:val="left"/>
        <w:outlineLvl w:val="9"/>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eastAsia="zh-CN"/>
        </w:rPr>
        <w:t>8</w:t>
      </w:r>
      <w:r>
        <w:rPr>
          <w:rFonts w:hint="eastAsia" w:ascii="宋体" w:hAnsi="宋体" w:eastAsia="宋体" w:cs="Times New Roman"/>
          <w:color w:val="auto"/>
          <w:szCs w:val="21"/>
          <w:highlight w:val="none"/>
        </w:rPr>
        <w:t>.2 保证</w:t>
      </w:r>
    </w:p>
    <w:p w14:paraId="385BAC9D">
      <w:pPr>
        <w:autoSpaceDE w:val="0"/>
        <w:autoSpaceDN w:val="0"/>
        <w:adjustRightInd w:val="0"/>
        <w:snapToGrid w:val="0"/>
        <w:spacing w:before="0" w:line="400" w:lineRule="exact"/>
        <w:ind w:firstLine="420" w:firstLineChars="200"/>
        <w:jc w:val="left"/>
        <w:outlineLvl w:val="9"/>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（1）乙方应保证</w:t>
      </w:r>
      <w:r>
        <w:rPr>
          <w:rFonts w:hint="eastAsia" w:ascii="宋体" w:hAnsi="宋体" w:eastAsia="宋体" w:cs="Times New Roman"/>
          <w:color w:val="auto"/>
          <w:szCs w:val="21"/>
          <w:highlight w:val="none"/>
          <w:lang w:eastAsia="zh-CN"/>
        </w:rPr>
        <w:t>提供的货物</w:t>
      </w:r>
      <w:r>
        <w:rPr>
          <w:rFonts w:hint="eastAsia" w:ascii="宋体" w:hAnsi="宋体" w:eastAsia="宋体" w:cs="Times New Roman"/>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eastAsia="宋体" w:cs="宋体"/>
          <w:szCs w:val="21"/>
          <w:lang w:eastAsia="zh-CN"/>
        </w:rPr>
        <w:t>备合同约定</w:t>
      </w:r>
      <w:r>
        <w:rPr>
          <w:rFonts w:hint="eastAsia" w:ascii="宋体" w:hAnsi="宋体" w:eastAsia="宋体" w:cs="宋体"/>
          <w:szCs w:val="21"/>
        </w:rPr>
        <w:t>的性能</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eastAsia="zh-CN"/>
        </w:rPr>
        <w:t>存在</w:t>
      </w:r>
      <w:r>
        <w:rPr>
          <w:rFonts w:hint="eastAsia" w:ascii="宋体" w:hAnsi="宋体" w:eastAsia="宋体" w:cs="Times New Roman"/>
          <w:color w:val="auto"/>
          <w:szCs w:val="21"/>
          <w:highlight w:val="none"/>
        </w:rPr>
        <w:t>质量保证期的，货物最终交付验收</w:t>
      </w:r>
      <w:r>
        <w:rPr>
          <w:rFonts w:hint="eastAsia" w:ascii="宋体" w:hAnsi="宋体" w:eastAsia="宋体" w:cs="Times New Roman"/>
          <w:color w:val="auto"/>
          <w:szCs w:val="21"/>
          <w:highlight w:val="none"/>
          <w:lang w:eastAsia="zh-CN"/>
        </w:rPr>
        <w:t>合格</w:t>
      </w:r>
      <w:r>
        <w:rPr>
          <w:rFonts w:hint="eastAsia" w:ascii="宋体" w:hAnsi="宋体" w:eastAsia="宋体" w:cs="Times New Roman"/>
          <w:color w:val="auto"/>
          <w:szCs w:val="21"/>
          <w:highlight w:val="none"/>
        </w:rPr>
        <w:t>后</w:t>
      </w:r>
      <w:r>
        <w:rPr>
          <w:rFonts w:hint="eastAsia" w:ascii="宋体" w:hAnsi="宋体" w:eastAsia="宋体" w:cs="Times New Roman"/>
          <w:color w:val="auto"/>
          <w:szCs w:val="21"/>
          <w:highlight w:val="none"/>
          <w:lang w:eastAsia="zh-CN"/>
        </w:rPr>
        <w:t>在</w:t>
      </w:r>
      <w:r>
        <w:rPr>
          <w:rFonts w:hint="eastAsia" w:ascii="宋体" w:hAnsi="宋体" w:eastAsia="宋体" w:cs="Times New Roman"/>
          <w:b/>
          <w:color w:val="auto"/>
          <w:szCs w:val="21"/>
          <w:highlight w:val="none"/>
        </w:rPr>
        <w:t>【政府采购合同专用条款】</w:t>
      </w:r>
      <w:r>
        <w:rPr>
          <w:rFonts w:hint="eastAsia" w:ascii="宋体" w:hAnsi="宋体" w:eastAsia="宋体" w:cs="Times New Roman"/>
          <w:color w:val="auto"/>
          <w:szCs w:val="21"/>
          <w:highlight w:val="none"/>
        </w:rPr>
        <w:t>规定或乙方</w:t>
      </w:r>
      <w:r>
        <w:rPr>
          <w:rFonts w:hint="eastAsia" w:ascii="宋体" w:hAnsi="宋体" w:eastAsia="宋体" w:cs="Times New Roman"/>
          <w:color w:val="auto"/>
          <w:szCs w:val="21"/>
          <w:highlight w:val="none"/>
          <w:lang w:eastAsia="zh-CN"/>
        </w:rPr>
        <w:t>书面</w:t>
      </w:r>
      <w:r>
        <w:rPr>
          <w:rFonts w:hint="eastAsia" w:ascii="宋体" w:hAnsi="宋体" w:eastAsia="宋体" w:cs="Times New Roman"/>
          <w:color w:val="auto"/>
          <w:szCs w:val="21"/>
          <w:highlight w:val="none"/>
        </w:rPr>
        <w:t>承诺（两者以较长的为准）的质量保证期内，本保证保持有效。</w:t>
      </w:r>
    </w:p>
    <w:p w14:paraId="3BE1E377">
      <w:pPr>
        <w:autoSpaceDE w:val="0"/>
        <w:autoSpaceDN w:val="0"/>
        <w:adjustRightInd w:val="0"/>
        <w:snapToGrid w:val="0"/>
        <w:spacing w:before="0" w:line="400" w:lineRule="exact"/>
        <w:ind w:firstLine="420" w:firstLineChars="200"/>
        <w:jc w:val="left"/>
        <w:outlineLvl w:val="9"/>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（2）在质量保证期内所发现的缺陷，甲方应尽快以书面形式通知乙方。</w:t>
      </w:r>
    </w:p>
    <w:p w14:paraId="391C6E21">
      <w:pPr>
        <w:autoSpaceDE w:val="0"/>
        <w:autoSpaceDN w:val="0"/>
        <w:adjustRightInd w:val="0"/>
        <w:snapToGrid w:val="0"/>
        <w:spacing w:before="0" w:line="400" w:lineRule="exact"/>
        <w:ind w:firstLine="420" w:firstLineChars="200"/>
        <w:jc w:val="left"/>
        <w:outlineLvl w:val="9"/>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（3）乙方收到通知后</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应在</w:t>
      </w:r>
      <w:r>
        <w:rPr>
          <w:rFonts w:hint="eastAsia" w:ascii="宋体" w:hAnsi="宋体" w:eastAsia="宋体" w:cs="Times New Roman"/>
          <w:b/>
          <w:color w:val="auto"/>
          <w:szCs w:val="21"/>
          <w:highlight w:val="none"/>
        </w:rPr>
        <w:t>【政府采购合同专用条款】</w:t>
      </w:r>
      <w:r>
        <w:rPr>
          <w:rFonts w:hint="eastAsia" w:ascii="宋体" w:hAnsi="宋体" w:eastAsia="宋体" w:cs="Times New Roman"/>
          <w:color w:val="auto"/>
          <w:szCs w:val="21"/>
          <w:highlight w:val="none"/>
        </w:rPr>
        <w:t>规定的响应时间内以合理的速度免费维修或更换有缺陷的货物或部件。</w:t>
      </w:r>
    </w:p>
    <w:p w14:paraId="77ED4742">
      <w:pPr>
        <w:autoSpaceDE w:val="0"/>
        <w:autoSpaceDN w:val="0"/>
        <w:adjustRightInd w:val="0"/>
        <w:snapToGrid w:val="0"/>
        <w:spacing w:before="0" w:line="400" w:lineRule="exact"/>
        <w:ind w:firstLine="420" w:firstLineChars="200"/>
        <w:jc w:val="left"/>
        <w:outlineLvl w:val="9"/>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eastAsia="宋体" w:cs="Times New Roman"/>
          <w:color w:val="000000"/>
          <w:szCs w:val="21"/>
          <w:highlight w:val="none"/>
          <w:lang w:val="en-US" w:eastAsia="zh-CN"/>
        </w:rPr>
        <w:t>5</w:t>
      </w:r>
      <w:r>
        <w:rPr>
          <w:rFonts w:hint="eastAsia" w:ascii="宋体" w:hAnsi="宋体" w:eastAsia="宋体" w:cs="Times New Roman"/>
          <w:color w:val="auto"/>
          <w:szCs w:val="21"/>
          <w:highlight w:val="none"/>
        </w:rPr>
        <w:t>.1条规定以书面形式</w:t>
      </w:r>
      <w:r>
        <w:rPr>
          <w:rFonts w:hint="eastAsia" w:ascii="宋体" w:hAnsi="宋体" w:eastAsia="宋体" w:cs="Times New Roman"/>
          <w:color w:val="000000"/>
          <w:szCs w:val="21"/>
          <w:highlight w:val="none"/>
          <w:lang w:eastAsia="zh-CN"/>
        </w:rPr>
        <w:t>追究</w:t>
      </w:r>
      <w:r>
        <w:rPr>
          <w:rFonts w:hint="eastAsia" w:ascii="宋体" w:hAnsi="宋体" w:eastAsia="宋体" w:cs="Times New Roman"/>
          <w:color w:val="auto"/>
          <w:szCs w:val="21"/>
          <w:highlight w:val="none"/>
        </w:rPr>
        <w:t>乙方</w:t>
      </w:r>
      <w:r>
        <w:rPr>
          <w:rFonts w:hint="eastAsia" w:ascii="宋体" w:hAnsi="宋体" w:eastAsia="宋体" w:cs="Times New Roman"/>
          <w:color w:val="000000"/>
          <w:szCs w:val="21"/>
          <w:highlight w:val="none"/>
          <w:lang w:eastAsia="zh-CN"/>
        </w:rPr>
        <w:t>的违约责任</w:t>
      </w:r>
      <w:r>
        <w:rPr>
          <w:rFonts w:hint="eastAsia" w:ascii="宋体" w:hAnsi="宋体" w:eastAsia="宋体" w:cs="Times New Roman"/>
          <w:color w:val="auto"/>
          <w:szCs w:val="21"/>
          <w:highlight w:val="none"/>
        </w:rPr>
        <w:t>。</w:t>
      </w:r>
    </w:p>
    <w:p w14:paraId="46135763">
      <w:pPr>
        <w:adjustRightInd w:val="0"/>
        <w:snapToGrid w:val="0"/>
        <w:spacing w:before="0" w:line="400" w:lineRule="exact"/>
        <w:ind w:firstLine="420" w:firstLineChars="200"/>
        <w:jc w:val="left"/>
        <w:outlineLvl w:val="9"/>
        <w:rPr>
          <w:rFonts w:ascii="Times New Roman" w:hAnsi="Times New Roman" w:eastAsia="宋体" w:cs="Times New Roman"/>
          <w:color w:val="auto"/>
          <w:szCs w:val="24"/>
          <w:highlight w:val="none"/>
        </w:rPr>
      </w:pPr>
      <w:r>
        <w:rPr>
          <w:rFonts w:hint="eastAsia" w:ascii="宋体" w:hAnsi="宋体" w:eastAsia="宋体" w:cs="Times New Roman"/>
          <w:color w:val="auto"/>
          <w:szCs w:val="21"/>
          <w:highlight w:val="none"/>
        </w:rPr>
        <w:t>（5）乙方在约定的时间内未能弥补缺陷，甲方可采取必要的补救措施，但其风险和费用将由乙方承担，甲方根据合同</w:t>
      </w:r>
      <w:r>
        <w:rPr>
          <w:rFonts w:hint="eastAsia" w:ascii="宋体" w:hAnsi="宋体" w:eastAsia="宋体" w:cs="Times New Roman"/>
          <w:color w:val="auto"/>
          <w:szCs w:val="21"/>
          <w:highlight w:val="none"/>
          <w:lang w:eastAsia="zh-CN"/>
        </w:rPr>
        <w:t>约定</w:t>
      </w:r>
      <w:r>
        <w:rPr>
          <w:rFonts w:hint="eastAsia" w:ascii="宋体" w:hAnsi="宋体" w:eastAsia="宋体" w:cs="Times New Roman"/>
          <w:color w:val="auto"/>
          <w:szCs w:val="21"/>
          <w:highlight w:val="none"/>
        </w:rPr>
        <w:t>对乙方行使的其他权利不受影响。</w:t>
      </w:r>
    </w:p>
    <w:p w14:paraId="003B8AE8">
      <w:pPr>
        <w:adjustRightInd w:val="0"/>
        <w:snapToGrid w:val="0"/>
        <w:spacing w:before="0" w:line="400" w:lineRule="exact"/>
        <w:jc w:val="left"/>
        <w:outlineLvl w:val="9"/>
        <w:rPr>
          <w:rFonts w:ascii="宋体" w:hAnsi="宋体" w:eastAsia="宋体" w:cs="Times New Roman"/>
          <w:b/>
          <w:bCs/>
          <w:color w:val="auto"/>
          <w:sz w:val="24"/>
          <w:szCs w:val="24"/>
          <w:highlight w:val="none"/>
        </w:rPr>
      </w:pPr>
      <w:r>
        <w:rPr>
          <w:rFonts w:hint="eastAsia" w:ascii="宋体" w:hAnsi="宋体" w:eastAsia="宋体" w:cs="Times New Roman"/>
          <w:b/>
          <w:bCs/>
          <w:color w:val="000000"/>
          <w:sz w:val="24"/>
          <w:szCs w:val="24"/>
          <w:highlight w:val="none"/>
          <w:lang w:eastAsia="zh-CN"/>
        </w:rPr>
        <w:t>9</w:t>
      </w:r>
      <w:r>
        <w:rPr>
          <w:rFonts w:hint="eastAsia" w:ascii="宋体" w:hAnsi="宋体" w:eastAsia="宋体" w:cs="Times New Roman"/>
          <w:b/>
          <w:bCs/>
          <w:color w:val="auto"/>
          <w:sz w:val="24"/>
          <w:szCs w:val="24"/>
          <w:highlight w:val="none"/>
        </w:rPr>
        <w:t>.</w:t>
      </w:r>
      <w:r>
        <w:rPr>
          <w:rFonts w:hint="eastAsia" w:ascii="宋体" w:hAnsi="宋体" w:eastAsia="宋体" w:cs="Times New Roman"/>
          <w:b/>
          <w:bCs/>
          <w:color w:val="000000"/>
          <w:sz w:val="24"/>
          <w:szCs w:val="24"/>
          <w:highlight w:val="none"/>
          <w:lang w:val="en-US" w:eastAsia="zh-CN"/>
        </w:rPr>
        <w:t xml:space="preserve"> </w:t>
      </w:r>
      <w:r>
        <w:rPr>
          <w:rFonts w:hint="eastAsia" w:ascii="宋体" w:hAnsi="宋体" w:eastAsia="宋体" w:cs="Times New Roman"/>
          <w:b/>
          <w:bCs/>
          <w:color w:val="auto"/>
          <w:sz w:val="24"/>
          <w:szCs w:val="24"/>
          <w:highlight w:val="none"/>
        </w:rPr>
        <w:t>权利瑕疵担保</w:t>
      </w:r>
    </w:p>
    <w:p w14:paraId="19F87002">
      <w:pPr>
        <w:autoSpaceDE w:val="0"/>
        <w:autoSpaceDN w:val="0"/>
        <w:adjustRightInd w:val="0"/>
        <w:snapToGrid w:val="0"/>
        <w:spacing w:before="0" w:line="400" w:lineRule="exact"/>
        <w:ind w:firstLine="420" w:firstLineChars="200"/>
        <w:jc w:val="left"/>
        <w:outlineLvl w:val="9"/>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eastAsia="zh-CN"/>
        </w:rPr>
        <w:t>9</w:t>
      </w:r>
      <w:r>
        <w:rPr>
          <w:rFonts w:hint="eastAsia" w:ascii="宋体" w:hAnsi="宋体" w:eastAsia="宋体" w:cs="Times New Roman"/>
          <w:color w:val="000000"/>
          <w:szCs w:val="21"/>
          <w:highlight w:val="none"/>
        </w:rPr>
        <w:t>.1 乙方保证对其出售的货物享有合法的权利。</w:t>
      </w:r>
    </w:p>
    <w:p w14:paraId="431A2CB1">
      <w:pPr>
        <w:autoSpaceDE w:val="0"/>
        <w:autoSpaceDN w:val="0"/>
        <w:adjustRightInd w:val="0"/>
        <w:snapToGrid w:val="0"/>
        <w:spacing w:before="0" w:line="400" w:lineRule="exact"/>
        <w:ind w:firstLine="420" w:firstLineChars="200"/>
        <w:jc w:val="left"/>
        <w:outlineLvl w:val="9"/>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eastAsia="zh-CN"/>
        </w:rPr>
        <w:t>9</w:t>
      </w:r>
      <w:r>
        <w:rPr>
          <w:rFonts w:hint="eastAsia" w:ascii="宋体" w:hAnsi="宋体" w:eastAsia="宋体" w:cs="Times New Roman"/>
          <w:color w:val="000000"/>
          <w:szCs w:val="21"/>
          <w:highlight w:val="none"/>
        </w:rPr>
        <w:t xml:space="preserve">.2 </w:t>
      </w:r>
      <w:r>
        <w:rPr>
          <w:rFonts w:hint="eastAsia" w:ascii="宋体" w:hAnsi="宋体" w:eastAsia="宋体" w:cs="宋体"/>
          <w:szCs w:val="15"/>
        </w:rPr>
        <w:t>乙方保证在交付的货物上不存在抵押权等担保物权。</w:t>
      </w:r>
    </w:p>
    <w:p w14:paraId="25F332C8">
      <w:pPr>
        <w:autoSpaceDE w:val="0"/>
        <w:autoSpaceDN w:val="0"/>
        <w:adjustRightInd w:val="0"/>
        <w:snapToGrid w:val="0"/>
        <w:spacing w:before="0" w:line="400" w:lineRule="exact"/>
        <w:ind w:firstLine="420" w:firstLineChars="200"/>
        <w:jc w:val="left"/>
        <w:outlineLvl w:val="9"/>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eastAsia="zh-CN"/>
        </w:rPr>
        <w:t>9</w:t>
      </w:r>
      <w:r>
        <w:rPr>
          <w:rFonts w:hint="eastAsia" w:ascii="宋体" w:hAnsi="宋体" w:eastAsia="宋体" w:cs="Times New Roman"/>
          <w:color w:val="000000"/>
          <w:szCs w:val="21"/>
          <w:highlight w:val="none"/>
        </w:rPr>
        <w:t>.3 如甲方使用</w:t>
      </w:r>
      <w:r>
        <w:rPr>
          <w:rFonts w:hint="eastAsia" w:ascii="宋体" w:hAnsi="宋体" w:eastAsia="宋体" w:cs="Times New Roman"/>
          <w:color w:val="000000"/>
          <w:szCs w:val="21"/>
          <w:highlight w:val="none"/>
          <w:lang w:val="en-US" w:eastAsia="zh-CN"/>
        </w:rPr>
        <w:t>上述</w:t>
      </w:r>
      <w:r>
        <w:rPr>
          <w:rFonts w:hint="eastAsia" w:ascii="宋体" w:hAnsi="宋体" w:eastAsia="宋体" w:cs="Times New Roman"/>
          <w:color w:val="000000"/>
          <w:szCs w:val="21"/>
          <w:highlight w:val="none"/>
        </w:rPr>
        <w:t>货物构成</w:t>
      </w:r>
      <w:r>
        <w:rPr>
          <w:rFonts w:hint="eastAsia" w:ascii="宋体" w:hAnsi="宋体" w:eastAsia="宋体" w:cs="Times New Roman"/>
          <w:color w:val="000000"/>
          <w:szCs w:val="21"/>
          <w:highlight w:val="none"/>
          <w:lang w:val="en-US" w:eastAsia="zh-CN"/>
        </w:rPr>
        <w:t>对第三人</w:t>
      </w:r>
      <w:r>
        <w:rPr>
          <w:rFonts w:hint="eastAsia" w:ascii="宋体" w:hAnsi="宋体" w:eastAsia="宋体" w:cs="Times New Roman"/>
          <w:color w:val="000000"/>
          <w:szCs w:val="21"/>
          <w:highlight w:val="none"/>
        </w:rPr>
        <w:t>侵权的，则由乙方承担全部责任。</w:t>
      </w:r>
    </w:p>
    <w:p w14:paraId="4350F5AF">
      <w:pPr>
        <w:autoSpaceDE w:val="0"/>
        <w:autoSpaceDN w:val="0"/>
        <w:adjustRightInd w:val="0"/>
        <w:snapToGrid w:val="0"/>
        <w:spacing w:before="0" w:line="400" w:lineRule="exact"/>
        <w:jc w:val="left"/>
        <w:outlineLvl w:val="9"/>
        <w:rPr>
          <w:rFonts w:ascii="宋体" w:hAnsi="宋体" w:eastAsia="宋体" w:cs="Times New Roman"/>
          <w:b/>
          <w:bCs/>
          <w:color w:val="000000"/>
          <w:sz w:val="24"/>
          <w:szCs w:val="24"/>
          <w:highlight w:val="none"/>
        </w:rPr>
      </w:pPr>
      <w:r>
        <w:rPr>
          <w:rFonts w:hint="eastAsia" w:ascii="宋体" w:hAnsi="宋体" w:eastAsia="宋体" w:cs="Times New Roman"/>
          <w:b/>
          <w:bCs/>
          <w:color w:val="000000"/>
          <w:sz w:val="24"/>
          <w:szCs w:val="24"/>
          <w:highlight w:val="none"/>
        </w:rPr>
        <w:t>1</w:t>
      </w:r>
      <w:r>
        <w:rPr>
          <w:rFonts w:hint="eastAsia" w:ascii="宋体" w:hAnsi="宋体" w:eastAsia="宋体" w:cs="Times New Roman"/>
          <w:b/>
          <w:bCs/>
          <w:color w:val="000000"/>
          <w:sz w:val="24"/>
          <w:szCs w:val="24"/>
          <w:highlight w:val="none"/>
          <w:lang w:eastAsia="zh-CN"/>
        </w:rPr>
        <w:t>0</w:t>
      </w:r>
      <w:r>
        <w:rPr>
          <w:rFonts w:hint="eastAsia" w:ascii="宋体" w:hAnsi="宋体" w:eastAsia="宋体" w:cs="Times New Roman"/>
          <w:b/>
          <w:bCs/>
          <w:color w:val="000000"/>
          <w:sz w:val="24"/>
          <w:szCs w:val="24"/>
          <w:highlight w:val="none"/>
        </w:rPr>
        <w:t>.</w:t>
      </w:r>
      <w:r>
        <w:rPr>
          <w:rFonts w:hint="eastAsia" w:ascii="宋体" w:hAnsi="宋体" w:eastAsia="宋体" w:cs="Times New Roman"/>
          <w:b/>
          <w:bCs/>
          <w:color w:val="000000"/>
          <w:sz w:val="24"/>
          <w:szCs w:val="24"/>
          <w:highlight w:val="none"/>
          <w:lang w:val="en-US" w:eastAsia="zh-CN"/>
        </w:rPr>
        <w:t xml:space="preserve"> </w:t>
      </w:r>
      <w:r>
        <w:rPr>
          <w:rFonts w:hint="eastAsia" w:ascii="宋体" w:hAnsi="宋体" w:eastAsia="宋体" w:cs="Times New Roman"/>
          <w:b/>
          <w:bCs/>
          <w:color w:val="000000"/>
          <w:sz w:val="24"/>
          <w:szCs w:val="24"/>
          <w:highlight w:val="none"/>
        </w:rPr>
        <w:t>知识产权保护</w:t>
      </w:r>
    </w:p>
    <w:p w14:paraId="068A5E79">
      <w:pPr>
        <w:autoSpaceDE w:val="0"/>
        <w:autoSpaceDN w:val="0"/>
        <w:adjustRightInd w:val="0"/>
        <w:snapToGrid w:val="0"/>
        <w:spacing w:before="0" w:line="400" w:lineRule="exact"/>
        <w:ind w:firstLine="420" w:firstLineChars="200"/>
        <w:jc w:val="left"/>
        <w:outlineLvl w:val="9"/>
        <w:rPr>
          <w:rFonts w:ascii="宋体" w:hAnsi="宋体" w:eastAsia="宋体" w:cs="Times New Roman"/>
          <w:color w:val="auto"/>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eastAsia="zh-CN"/>
        </w:rPr>
        <w:t>0</w:t>
      </w:r>
      <w:r>
        <w:rPr>
          <w:rFonts w:hint="eastAsia" w:ascii="宋体" w:hAnsi="宋体" w:eastAsia="宋体" w:cs="Times New Roman"/>
          <w:color w:val="000000"/>
          <w:szCs w:val="21"/>
          <w:highlight w:val="none"/>
        </w:rPr>
        <w:t>.1 乙方对其所销售的货物应当享有知识产权或经权利人合法授权，保证没有侵犯任</w:t>
      </w:r>
      <w:r>
        <w:rPr>
          <w:rFonts w:hint="eastAsia" w:ascii="宋体" w:hAnsi="宋体" w:eastAsia="宋体" w:cs="Times New Roman"/>
          <w:color w:val="auto"/>
          <w:szCs w:val="21"/>
          <w:highlight w:val="none"/>
        </w:rPr>
        <w:t>何第三人的知识产权等权利。</w:t>
      </w:r>
      <w:bookmarkStart w:id="133"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133"/>
      <w:r>
        <w:rPr>
          <w:rFonts w:hint="eastAsia" w:ascii="宋体" w:hAnsi="宋体" w:eastAsia="宋体" w:cs="Times New Roman"/>
          <w:color w:val="auto"/>
          <w:szCs w:val="21"/>
          <w:highlight w:val="none"/>
        </w:rPr>
        <w:t>。</w:t>
      </w:r>
    </w:p>
    <w:p w14:paraId="1C8AE91A">
      <w:pPr>
        <w:autoSpaceDE w:val="0"/>
        <w:autoSpaceDN w:val="0"/>
        <w:adjustRightInd w:val="0"/>
        <w:snapToGrid w:val="0"/>
        <w:spacing w:before="0" w:line="400" w:lineRule="exact"/>
        <w:jc w:val="left"/>
        <w:outlineLvl w:val="9"/>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1</w:t>
      </w:r>
      <w:r>
        <w:rPr>
          <w:rFonts w:hint="eastAsia" w:ascii="宋体" w:hAnsi="宋体" w:eastAsia="宋体" w:cs="Times New Roman"/>
          <w:b/>
          <w:bCs/>
          <w:color w:val="auto"/>
          <w:sz w:val="24"/>
          <w:szCs w:val="24"/>
          <w:highlight w:val="none"/>
          <w:lang w:eastAsia="zh-CN"/>
        </w:rPr>
        <w:t>1</w:t>
      </w:r>
      <w:r>
        <w:rPr>
          <w:rFonts w:hint="eastAsia" w:ascii="宋体" w:hAnsi="宋体" w:eastAsia="宋体" w:cs="Times New Roman"/>
          <w:b/>
          <w:bCs/>
          <w:color w:val="auto"/>
          <w:sz w:val="24"/>
          <w:szCs w:val="24"/>
          <w:highlight w:val="none"/>
        </w:rPr>
        <w:t>.</w:t>
      </w:r>
      <w:r>
        <w:rPr>
          <w:rFonts w:hint="eastAsia" w:ascii="宋体" w:hAnsi="宋体" w:eastAsia="宋体" w:cs="Times New Roman"/>
          <w:b/>
          <w:bCs/>
          <w:color w:val="auto"/>
          <w:sz w:val="24"/>
          <w:szCs w:val="24"/>
          <w:highlight w:val="none"/>
          <w:lang w:val="en-US" w:eastAsia="zh-CN"/>
        </w:rPr>
        <w:t xml:space="preserve"> </w:t>
      </w:r>
      <w:r>
        <w:rPr>
          <w:rFonts w:hint="eastAsia" w:ascii="宋体" w:hAnsi="宋体" w:eastAsia="宋体" w:cs="Times New Roman"/>
          <w:b/>
          <w:bCs/>
          <w:color w:val="auto"/>
          <w:sz w:val="24"/>
          <w:szCs w:val="24"/>
          <w:highlight w:val="none"/>
        </w:rPr>
        <w:t>保密义务</w:t>
      </w:r>
    </w:p>
    <w:p w14:paraId="0E796582">
      <w:pPr>
        <w:autoSpaceDE w:val="0"/>
        <w:autoSpaceDN w:val="0"/>
        <w:adjustRightInd w:val="0"/>
        <w:snapToGrid w:val="0"/>
        <w:spacing w:before="0" w:line="400" w:lineRule="exact"/>
        <w:ind w:firstLine="420" w:firstLineChars="200"/>
        <w:jc w:val="left"/>
        <w:outlineLvl w:val="9"/>
        <w:rPr>
          <w:rFonts w:hint="eastAsia" w:ascii="宋体" w:hAnsi="宋体" w:eastAsia="宋体" w:cs="宋体"/>
          <w:szCs w:val="15"/>
        </w:rPr>
      </w:pPr>
      <w:r>
        <w:rPr>
          <w:rFonts w:hint="eastAsia" w:ascii="宋体" w:hAnsi="宋体" w:eastAsia="宋体" w:cs="宋体"/>
          <w:szCs w:val="15"/>
          <w:lang w:val="en-US" w:eastAsia="zh-CN"/>
        </w:rPr>
        <w:t xml:space="preserve">11.1 </w:t>
      </w:r>
      <w:r>
        <w:rPr>
          <w:rFonts w:hint="eastAsia" w:ascii="宋体" w:hAnsi="宋体" w:eastAsia="宋体" w:cs="宋体"/>
          <w:szCs w:val="15"/>
        </w:rPr>
        <w:t>甲、乙双方</w:t>
      </w:r>
      <w:r>
        <w:rPr>
          <w:rFonts w:hint="eastAsia" w:ascii="宋体" w:hAnsi="宋体" w:eastAsia="宋体" w:cs="宋体"/>
          <w:szCs w:val="15"/>
          <w:lang w:eastAsia="zh-CN"/>
        </w:rPr>
        <w:t>对</w:t>
      </w:r>
      <w:r>
        <w:rPr>
          <w:rFonts w:hint="eastAsia" w:ascii="宋体" w:hAnsi="宋体" w:eastAsia="宋体" w:cs="宋体"/>
          <w:szCs w:val="15"/>
        </w:rPr>
        <w:t>采购和合同履行过程中所获悉的</w:t>
      </w:r>
      <w:r>
        <w:rPr>
          <w:rFonts w:hint="eastAsia" w:ascii="宋体" w:hAnsi="宋体" w:eastAsia="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eastAsia="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eastAsia="宋体" w:cs="宋体"/>
          <w:szCs w:val="15"/>
          <w:lang w:eastAsia="zh-CN"/>
        </w:rPr>
        <w:t>国家秘密、工作秘密、</w:t>
      </w:r>
      <w:r>
        <w:rPr>
          <w:rFonts w:hint="eastAsia" w:ascii="宋体" w:hAnsi="宋体" w:eastAsia="宋体" w:cs="宋体"/>
          <w:szCs w:val="15"/>
        </w:rPr>
        <w:t>商业秘密或者</w:t>
      </w:r>
      <w:r>
        <w:rPr>
          <w:rFonts w:hint="eastAsia" w:ascii="宋体" w:hAnsi="宋体" w:eastAsia="宋体" w:cs="宋体"/>
          <w:szCs w:val="15"/>
          <w:lang w:eastAsia="zh-CN"/>
        </w:rPr>
        <w:t>其他应当保密的</w:t>
      </w:r>
      <w:r>
        <w:rPr>
          <w:rFonts w:hint="eastAsia" w:ascii="宋体" w:hAnsi="宋体" w:eastAsia="宋体" w:cs="宋体"/>
          <w:szCs w:val="15"/>
        </w:rPr>
        <w:t>信息，应当承担</w:t>
      </w:r>
      <w:r>
        <w:rPr>
          <w:rFonts w:hint="eastAsia" w:ascii="宋体" w:hAnsi="宋体" w:eastAsia="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14:paraId="296C26F5">
      <w:pPr>
        <w:autoSpaceDE w:val="0"/>
        <w:autoSpaceDN w:val="0"/>
        <w:adjustRightInd w:val="0"/>
        <w:snapToGrid w:val="0"/>
        <w:spacing w:before="0" w:line="400" w:lineRule="exact"/>
        <w:jc w:val="left"/>
        <w:outlineLvl w:val="9"/>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1</w:t>
      </w:r>
      <w:r>
        <w:rPr>
          <w:rFonts w:hint="eastAsia" w:ascii="宋体" w:hAnsi="宋体" w:eastAsia="宋体" w:cs="Times New Roman"/>
          <w:b/>
          <w:bCs/>
          <w:color w:val="auto"/>
          <w:sz w:val="24"/>
          <w:szCs w:val="24"/>
          <w:highlight w:val="none"/>
          <w:lang w:eastAsia="zh-CN"/>
        </w:rPr>
        <w:t>2</w:t>
      </w:r>
      <w:r>
        <w:rPr>
          <w:rFonts w:hint="eastAsia" w:ascii="宋体" w:hAnsi="宋体" w:eastAsia="宋体" w:cs="Times New Roman"/>
          <w:b/>
          <w:bCs/>
          <w:color w:val="auto"/>
          <w:sz w:val="24"/>
          <w:szCs w:val="24"/>
          <w:highlight w:val="none"/>
        </w:rPr>
        <w:t>.</w:t>
      </w:r>
      <w:r>
        <w:rPr>
          <w:rFonts w:hint="eastAsia" w:ascii="宋体" w:hAnsi="宋体" w:eastAsia="宋体" w:cs="Times New Roman"/>
          <w:b/>
          <w:bCs/>
          <w:color w:val="auto"/>
          <w:sz w:val="24"/>
          <w:szCs w:val="24"/>
          <w:highlight w:val="none"/>
          <w:lang w:val="en-US" w:eastAsia="zh-CN"/>
        </w:rPr>
        <w:t xml:space="preserve"> </w:t>
      </w:r>
      <w:r>
        <w:rPr>
          <w:rFonts w:hint="eastAsia" w:ascii="宋体" w:hAnsi="宋体" w:eastAsia="宋体" w:cs="Times New Roman"/>
          <w:b/>
          <w:bCs/>
          <w:color w:val="auto"/>
          <w:sz w:val="24"/>
          <w:szCs w:val="24"/>
          <w:highlight w:val="none"/>
        </w:rPr>
        <w:t>合同价款支付</w:t>
      </w:r>
    </w:p>
    <w:p w14:paraId="6F4ED575">
      <w:pPr>
        <w:autoSpaceDE/>
        <w:autoSpaceDN/>
        <w:adjustRightInd w:val="0"/>
        <w:snapToGrid w:val="0"/>
        <w:spacing w:before="0" w:line="400" w:lineRule="exact"/>
        <w:ind w:firstLine="420" w:firstLineChars="200"/>
        <w:jc w:val="left"/>
        <w:outlineLvl w:val="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eastAsia="zh-CN"/>
        </w:rPr>
        <w:t>2</w:t>
      </w:r>
      <w:r>
        <w:rPr>
          <w:rFonts w:hint="eastAsia" w:ascii="宋体" w:hAnsi="宋体" w:eastAsia="宋体" w:cs="Times New Roman"/>
          <w:color w:val="auto"/>
          <w:szCs w:val="21"/>
          <w:highlight w:val="none"/>
        </w:rPr>
        <w:t xml:space="preserve">.1 </w:t>
      </w:r>
      <w:r>
        <w:rPr>
          <w:rFonts w:hint="eastAsia" w:ascii="宋体" w:hAnsi="宋体" w:eastAsia="宋体" w:cs="Times New Roman"/>
          <w:color w:val="auto"/>
          <w:szCs w:val="21"/>
          <w:highlight w:val="none"/>
          <w:lang w:eastAsia="zh-CN"/>
        </w:rPr>
        <w:t>合同价款支付</w:t>
      </w:r>
      <w:r>
        <w:rPr>
          <w:rFonts w:hint="eastAsia" w:ascii="宋体" w:hAnsi="宋体" w:eastAsia="宋体" w:cs="Times New Roman"/>
          <w:color w:val="auto"/>
          <w:szCs w:val="21"/>
          <w:highlight w:val="none"/>
        </w:rPr>
        <w:t>按照国库集中支付</w:t>
      </w:r>
      <w:r>
        <w:rPr>
          <w:rFonts w:hint="eastAsia" w:ascii="宋体" w:hAnsi="宋体" w:eastAsia="宋体" w:cs="Times New Roman"/>
          <w:color w:val="auto"/>
          <w:szCs w:val="21"/>
          <w:highlight w:val="none"/>
          <w:lang w:eastAsia="zh-CN"/>
        </w:rPr>
        <w:t>制度及财政管理相关</w:t>
      </w:r>
      <w:r>
        <w:rPr>
          <w:rFonts w:hint="eastAsia" w:ascii="宋体" w:hAnsi="宋体" w:eastAsia="宋体" w:cs="Times New Roman"/>
          <w:color w:val="auto"/>
          <w:szCs w:val="21"/>
          <w:highlight w:val="none"/>
        </w:rPr>
        <w:t>规定执行。</w:t>
      </w:r>
    </w:p>
    <w:p w14:paraId="02D8EFFF">
      <w:pPr>
        <w:keepNext/>
        <w:keepLines/>
        <w:widowControl w:val="0"/>
        <w:spacing w:line="400" w:lineRule="exact"/>
        <w:ind w:firstLine="420" w:firstLineChars="200"/>
        <w:jc w:val="both"/>
        <w:outlineLvl w:val="9"/>
        <w:rPr>
          <w:rFonts w:hint="eastAsia" w:ascii="Arial" w:hAnsi="Arial" w:eastAsia="宋体" w:cs="Times New Roman"/>
          <w:b/>
          <w:bCs/>
          <w:color w:val="auto"/>
          <w:kern w:val="2"/>
          <w:sz w:val="24"/>
          <w:szCs w:val="32"/>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12.2 对于满足合同约定支付条件的，甲方</w:t>
      </w:r>
      <w:r>
        <w:rPr>
          <w:rFonts w:hint="eastAsia" w:ascii="宋体" w:hAnsi="宋体" w:eastAsia="宋体" w:cs="Times New Roman"/>
          <w:b w:val="0"/>
          <w:bCs w:val="0"/>
          <w:i w:val="0"/>
          <w:iCs w:val="0"/>
          <w:caps w:val="0"/>
          <w:color w:val="auto"/>
          <w:spacing w:val="0"/>
          <w:kern w:val="2"/>
          <w:sz w:val="21"/>
          <w:szCs w:val="21"/>
          <w:highlight w:val="none"/>
          <w:shd w:val="clear"/>
          <w:vertAlign w:val="baseline"/>
          <w:lang w:val="en-US" w:eastAsia="zh-CN" w:bidi="ar-SA"/>
        </w:rPr>
        <w:t>原则上应当自收到发票后10个工作日内</w:t>
      </w:r>
      <w:r>
        <w:rPr>
          <w:rFonts w:hint="eastAsia" w:ascii="宋体" w:hAnsi="宋体" w:eastAsia="宋体" w:cs="Times New Roman"/>
          <w:b w:val="0"/>
          <w:bCs w:val="0"/>
          <w:color w:val="auto"/>
          <w:kern w:val="2"/>
          <w:sz w:val="21"/>
          <w:szCs w:val="21"/>
          <w:highlight w:val="none"/>
          <w:lang w:val="en-US" w:eastAsia="zh-CN" w:bidi="ar-SA"/>
        </w:rPr>
        <w:t>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eastAsia="宋体" w:cs="Times New Roman"/>
          <w:b/>
          <w:bCs/>
          <w:color w:val="auto"/>
          <w:kern w:val="2"/>
          <w:sz w:val="21"/>
          <w:szCs w:val="21"/>
          <w:highlight w:val="none"/>
          <w:lang w:val="en-US" w:eastAsia="zh-CN" w:bidi="ar-SA"/>
        </w:rPr>
        <w:t>政府采购合同专用条款</w:t>
      </w:r>
      <w:r>
        <w:rPr>
          <w:rFonts w:hint="eastAsia" w:ascii="宋体" w:hAnsi="宋体" w:eastAsia="宋体" w:cs="Times New Roman"/>
          <w:b w:val="0"/>
          <w:bCs w:val="0"/>
          <w:color w:val="auto"/>
          <w:kern w:val="2"/>
          <w:sz w:val="21"/>
          <w:szCs w:val="21"/>
          <w:highlight w:val="none"/>
          <w:lang w:val="en-US" w:eastAsia="zh-CN" w:bidi="ar-SA"/>
        </w:rPr>
        <w:t>】中约定。</w:t>
      </w:r>
    </w:p>
    <w:p w14:paraId="2230A2DF">
      <w:pPr>
        <w:widowControl w:val="0"/>
        <w:spacing w:after="0" w:line="400" w:lineRule="exact"/>
        <w:jc w:val="both"/>
        <w:outlineLvl w:val="9"/>
        <w:rPr>
          <w:rFonts w:ascii="宋体" w:hAnsi="宋体" w:eastAsia="宋体" w:cs="Times New Roman"/>
          <w:b/>
          <w:bCs/>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13. 履约保证金</w:t>
      </w:r>
    </w:p>
    <w:p w14:paraId="6807D5BB">
      <w:pPr>
        <w:adjustRightInd w:val="0"/>
        <w:snapToGrid w:val="0"/>
        <w:spacing w:before="0" w:line="400" w:lineRule="exact"/>
        <w:ind w:firstLine="420" w:firstLineChars="200"/>
        <w:jc w:val="left"/>
        <w:outlineLvl w:val="9"/>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eastAsia="zh-CN"/>
        </w:rPr>
        <w:t>3</w:t>
      </w:r>
      <w:r>
        <w:rPr>
          <w:rFonts w:hint="eastAsia" w:ascii="宋体" w:hAnsi="宋体" w:eastAsia="宋体" w:cs="Times New Roman"/>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14:paraId="37A91C64">
      <w:pPr>
        <w:adjustRightInd w:val="0"/>
        <w:snapToGrid w:val="0"/>
        <w:spacing w:before="0" w:line="400" w:lineRule="exact"/>
        <w:ind w:firstLine="420" w:firstLineChars="200"/>
        <w:jc w:val="left"/>
        <w:outlineLvl w:val="9"/>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eastAsia="zh-CN"/>
        </w:rPr>
        <w:t>3</w:t>
      </w:r>
      <w:r>
        <w:rPr>
          <w:rFonts w:hint="eastAsia" w:ascii="宋体" w:hAnsi="宋体" w:eastAsia="宋体" w:cs="Times New Roman"/>
          <w:color w:val="auto"/>
          <w:szCs w:val="21"/>
          <w:highlight w:val="none"/>
        </w:rPr>
        <w:t>.2 如果乙方</w:t>
      </w:r>
      <w:r>
        <w:rPr>
          <w:rFonts w:hint="eastAsia" w:ascii="宋体" w:hAnsi="宋体" w:eastAsia="宋体" w:cs="Times New Roman"/>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eastAsia="宋体" w:cs="宋体"/>
          <w:b w:val="0"/>
          <w:bCs w:val="0"/>
          <w:szCs w:val="15"/>
          <w:highlight w:val="none"/>
          <w:lang w:eastAsia="zh-CN"/>
        </w:rPr>
        <w:t>约定</w:t>
      </w:r>
      <w:r>
        <w:rPr>
          <w:rFonts w:hint="eastAsia" w:ascii="宋体" w:hAnsi="宋体" w:eastAsia="宋体" w:cs="宋体"/>
          <w:b w:val="0"/>
          <w:bCs w:val="0"/>
          <w:szCs w:val="15"/>
          <w:lang w:eastAsia="zh-CN"/>
        </w:rPr>
        <w:t>情形的</w:t>
      </w:r>
      <w:r>
        <w:rPr>
          <w:rFonts w:hint="eastAsia" w:ascii="宋体" w:hAnsi="宋体" w:eastAsia="宋体" w:cs="Times New Roman"/>
          <w:color w:val="auto"/>
          <w:szCs w:val="21"/>
          <w:highlight w:val="none"/>
        </w:rPr>
        <w:t>，履约保证金不予退还；如果乙方未能按合同约定全面履行义务，甲方有权从履约保证金中取得补偿或赔偿，</w:t>
      </w:r>
      <w:r>
        <w:rPr>
          <w:rFonts w:hint="eastAsia" w:ascii="宋体" w:hAnsi="宋体" w:eastAsia="宋体" w:cs="Times New Roman"/>
          <w:color w:val="auto"/>
          <w:szCs w:val="21"/>
          <w:highlight w:val="none"/>
          <w:lang w:eastAsia="zh-CN"/>
        </w:rPr>
        <w:t>且</w:t>
      </w:r>
      <w:r>
        <w:rPr>
          <w:rFonts w:hint="eastAsia" w:ascii="宋体" w:hAnsi="宋体" w:eastAsia="宋体" w:cs="Times New Roman"/>
          <w:color w:val="auto"/>
          <w:szCs w:val="21"/>
          <w:highlight w:val="none"/>
        </w:rPr>
        <w:t>不影响甲方要求乙方承担合同约定的超过履约保证金的违约责任的权利。</w:t>
      </w:r>
    </w:p>
    <w:p w14:paraId="49C1F26D">
      <w:pPr>
        <w:spacing w:line="400" w:lineRule="exact"/>
        <w:ind w:firstLine="420"/>
        <w:outlineLvl w:val="9"/>
        <w:rPr>
          <w:rFonts w:ascii="Times New Roman" w:hAnsi="Times New Roman" w:eastAsia="宋体" w:cs="Times New Roman"/>
          <w:color w:val="auto"/>
          <w:szCs w:val="24"/>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eastAsia="zh-CN"/>
        </w:rPr>
        <w:t>3</w:t>
      </w:r>
      <w:r>
        <w:rPr>
          <w:rFonts w:hint="eastAsia" w:ascii="宋体" w:hAnsi="宋体" w:eastAsia="宋体" w:cs="Times New Roman"/>
          <w:color w:val="auto"/>
          <w:szCs w:val="21"/>
          <w:highlight w:val="none"/>
        </w:rPr>
        <w:t>.3 甲方在项目通过验收后按照</w:t>
      </w:r>
      <w:r>
        <w:rPr>
          <w:rFonts w:hint="eastAsia" w:ascii="宋体" w:hAnsi="宋体" w:eastAsia="宋体" w:cs="Times New Roman"/>
          <w:b/>
          <w:color w:val="auto"/>
          <w:szCs w:val="21"/>
          <w:highlight w:val="none"/>
        </w:rPr>
        <w:t>【政府采购合同专用条款】</w:t>
      </w:r>
      <w:r>
        <w:rPr>
          <w:rFonts w:hint="eastAsia" w:ascii="宋体" w:hAnsi="宋体" w:eastAsia="宋体" w:cs="Times New Roman"/>
          <w:color w:val="auto"/>
          <w:szCs w:val="21"/>
          <w:highlight w:val="none"/>
        </w:rPr>
        <w:t>规定的时间内将履约保证金退还乙方；逾期退还的，乙方可要求甲方支付违约金，违约金按照</w:t>
      </w:r>
      <w:r>
        <w:rPr>
          <w:rFonts w:hint="eastAsia" w:ascii="宋体" w:hAnsi="宋体" w:eastAsia="宋体" w:cs="Times New Roman"/>
          <w:b/>
          <w:color w:val="auto"/>
          <w:szCs w:val="21"/>
          <w:highlight w:val="none"/>
        </w:rPr>
        <w:t>【政府采购合同专用条款】</w:t>
      </w:r>
      <w:r>
        <w:rPr>
          <w:rFonts w:hint="eastAsia" w:ascii="宋体" w:hAnsi="宋体" w:eastAsia="宋体" w:cs="Times New Roman"/>
          <w:color w:val="auto"/>
          <w:szCs w:val="21"/>
          <w:highlight w:val="none"/>
        </w:rPr>
        <w:t>规定支付。</w:t>
      </w:r>
    </w:p>
    <w:p w14:paraId="598C9D6A">
      <w:pPr>
        <w:autoSpaceDE w:val="0"/>
        <w:autoSpaceDN w:val="0"/>
        <w:adjustRightInd w:val="0"/>
        <w:snapToGrid w:val="0"/>
        <w:spacing w:before="0" w:line="400" w:lineRule="exact"/>
        <w:jc w:val="left"/>
        <w:outlineLvl w:val="9"/>
        <w:rPr>
          <w:rFonts w:ascii="宋体" w:hAnsi="宋体" w:eastAsia="宋体" w:cs="Times New Roman"/>
          <w:b/>
          <w:color w:val="auto"/>
          <w:sz w:val="24"/>
          <w:szCs w:val="24"/>
          <w:highlight w:val="none"/>
        </w:rPr>
      </w:pPr>
      <w:r>
        <w:rPr>
          <w:rFonts w:hint="eastAsia" w:ascii="宋体" w:hAnsi="宋体" w:eastAsia="宋体" w:cs="Times New Roman"/>
          <w:b/>
          <w:bCs/>
          <w:color w:val="auto"/>
          <w:sz w:val="24"/>
          <w:szCs w:val="24"/>
          <w:highlight w:val="none"/>
        </w:rPr>
        <w:t>1</w:t>
      </w:r>
      <w:r>
        <w:rPr>
          <w:rFonts w:hint="eastAsia" w:ascii="宋体" w:hAnsi="宋体" w:eastAsia="宋体" w:cs="Times New Roman"/>
          <w:b/>
          <w:bCs/>
          <w:color w:val="auto"/>
          <w:sz w:val="24"/>
          <w:szCs w:val="24"/>
          <w:highlight w:val="none"/>
          <w:lang w:eastAsia="zh-CN"/>
        </w:rPr>
        <w:t>4</w:t>
      </w:r>
      <w:r>
        <w:rPr>
          <w:rFonts w:hint="eastAsia" w:ascii="宋体" w:hAnsi="宋体" w:eastAsia="宋体" w:cs="Times New Roman"/>
          <w:b/>
          <w:bCs/>
          <w:color w:val="auto"/>
          <w:sz w:val="24"/>
          <w:szCs w:val="24"/>
          <w:highlight w:val="none"/>
        </w:rPr>
        <w:t>.</w:t>
      </w:r>
      <w:r>
        <w:rPr>
          <w:rFonts w:hint="eastAsia" w:ascii="宋体" w:hAnsi="宋体" w:eastAsia="宋体" w:cs="Times New Roman"/>
          <w:b/>
          <w:bCs/>
          <w:color w:val="auto"/>
          <w:sz w:val="24"/>
          <w:szCs w:val="24"/>
          <w:highlight w:val="none"/>
          <w:lang w:val="en-US" w:eastAsia="zh-CN"/>
        </w:rPr>
        <w:t xml:space="preserve"> </w:t>
      </w:r>
      <w:r>
        <w:rPr>
          <w:rFonts w:hint="eastAsia" w:ascii="Times New Roman" w:hAnsi="Times New Roman" w:eastAsia="宋体" w:cs="Times New Roman"/>
          <w:b/>
          <w:color w:val="auto"/>
          <w:sz w:val="24"/>
          <w:szCs w:val="24"/>
          <w:highlight w:val="none"/>
        </w:rPr>
        <w:t>售后</w:t>
      </w:r>
      <w:r>
        <w:rPr>
          <w:rFonts w:hint="eastAsia" w:ascii="宋体" w:hAnsi="宋体" w:eastAsia="宋体" w:cs="Times New Roman"/>
          <w:b/>
          <w:color w:val="auto"/>
          <w:sz w:val="24"/>
          <w:szCs w:val="24"/>
          <w:highlight w:val="none"/>
        </w:rPr>
        <w:t>服务</w:t>
      </w:r>
    </w:p>
    <w:p w14:paraId="0690A063">
      <w:pPr>
        <w:autoSpaceDE w:val="0"/>
        <w:autoSpaceDN w:val="0"/>
        <w:adjustRightInd w:val="0"/>
        <w:snapToGrid w:val="0"/>
        <w:spacing w:before="0" w:line="400" w:lineRule="exact"/>
        <w:ind w:firstLine="420" w:firstLineChars="200"/>
        <w:jc w:val="left"/>
        <w:outlineLvl w:val="9"/>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eastAsia="zh-CN"/>
        </w:rPr>
        <w:t>4</w:t>
      </w:r>
      <w:r>
        <w:rPr>
          <w:rFonts w:hint="eastAsia" w:ascii="宋体" w:hAnsi="宋体" w:eastAsia="宋体" w:cs="Times New Roman"/>
          <w:color w:val="auto"/>
          <w:szCs w:val="21"/>
          <w:highlight w:val="none"/>
        </w:rPr>
        <w:t>.1 除项目不涉及或采购活动中明确约定无须承担外，乙方还应提供下列服务：</w:t>
      </w:r>
    </w:p>
    <w:p w14:paraId="0182895B">
      <w:pPr>
        <w:autoSpaceDE w:val="0"/>
        <w:autoSpaceDN w:val="0"/>
        <w:adjustRightInd w:val="0"/>
        <w:snapToGrid w:val="0"/>
        <w:spacing w:before="0" w:line="400" w:lineRule="exact"/>
        <w:ind w:firstLine="420" w:firstLineChars="200"/>
        <w:jc w:val="left"/>
        <w:outlineLvl w:val="9"/>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（1）货物的现场移动、安装、调试、启动监督及技术支持；</w:t>
      </w:r>
    </w:p>
    <w:p w14:paraId="7923E80F">
      <w:pPr>
        <w:autoSpaceDE w:val="0"/>
        <w:autoSpaceDN w:val="0"/>
        <w:adjustRightInd w:val="0"/>
        <w:snapToGrid w:val="0"/>
        <w:spacing w:before="0" w:line="400" w:lineRule="exact"/>
        <w:ind w:firstLine="420" w:firstLineChars="200"/>
        <w:jc w:val="left"/>
        <w:outlineLvl w:val="9"/>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（2）提供货物组装和维修所需的专用工具和辅助材料；</w:t>
      </w:r>
    </w:p>
    <w:p w14:paraId="70DBCCB3">
      <w:pPr>
        <w:autoSpaceDE w:val="0"/>
        <w:autoSpaceDN w:val="0"/>
        <w:adjustRightInd w:val="0"/>
        <w:snapToGrid w:val="0"/>
        <w:spacing w:before="0" w:line="400" w:lineRule="exact"/>
        <w:ind w:firstLine="420" w:firstLineChars="200"/>
        <w:jc w:val="left"/>
        <w:outlineLvl w:val="9"/>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eastAsia="宋体" w:cs="Times New Roman"/>
          <w:color w:val="auto"/>
          <w:szCs w:val="21"/>
          <w:highlight w:val="none"/>
          <w:lang w:eastAsia="zh-CN"/>
        </w:rPr>
        <w:t>约定</w:t>
      </w:r>
      <w:r>
        <w:rPr>
          <w:rFonts w:hint="eastAsia" w:ascii="宋体" w:hAnsi="宋体" w:eastAsia="宋体" w:cs="Times New Roman"/>
          <w:color w:val="auto"/>
          <w:szCs w:val="21"/>
          <w:highlight w:val="none"/>
        </w:rPr>
        <w:t>的期限内对所有的货物实施运行监督、维修，但前提条件是该服务并不能免除乙方在质量保证期内所承担的义务；</w:t>
      </w:r>
    </w:p>
    <w:p w14:paraId="7DBD2287">
      <w:pPr>
        <w:autoSpaceDE w:val="0"/>
        <w:autoSpaceDN w:val="0"/>
        <w:adjustRightInd w:val="0"/>
        <w:snapToGrid w:val="0"/>
        <w:spacing w:before="0" w:line="400" w:lineRule="exact"/>
        <w:ind w:firstLine="420" w:firstLineChars="200"/>
        <w:jc w:val="left"/>
        <w:outlineLvl w:val="9"/>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（4）在制造商</w:t>
      </w:r>
      <w:r>
        <w:rPr>
          <w:rFonts w:hint="eastAsia" w:ascii="宋体" w:hAnsi="宋体" w:eastAsia="宋体" w:cs="Times New Roman"/>
          <w:color w:val="auto"/>
          <w:szCs w:val="21"/>
          <w:highlight w:val="none"/>
          <w:lang w:eastAsia="zh-CN"/>
        </w:rPr>
        <w:t>所在地</w:t>
      </w:r>
      <w:r>
        <w:rPr>
          <w:rFonts w:hint="eastAsia" w:ascii="宋体" w:hAnsi="宋体" w:eastAsia="宋体" w:cs="Times New Roman"/>
          <w:color w:val="auto"/>
          <w:szCs w:val="21"/>
          <w:highlight w:val="none"/>
        </w:rPr>
        <w:t>或</w:t>
      </w:r>
      <w:r>
        <w:rPr>
          <w:rFonts w:hint="eastAsia" w:ascii="宋体" w:hAnsi="宋体" w:eastAsia="宋体" w:cs="Times New Roman"/>
          <w:color w:val="auto"/>
          <w:szCs w:val="21"/>
          <w:highlight w:val="none"/>
          <w:lang w:eastAsia="zh-CN"/>
        </w:rPr>
        <w:t>指定</w:t>
      </w:r>
      <w:r>
        <w:rPr>
          <w:rFonts w:hint="eastAsia" w:ascii="宋体" w:hAnsi="宋体" w:eastAsia="宋体" w:cs="Times New Roman"/>
          <w:color w:val="auto"/>
          <w:szCs w:val="21"/>
          <w:highlight w:val="none"/>
        </w:rPr>
        <w:t>现场就货物的安装、启动、运营、维护</w:t>
      </w:r>
      <w:r>
        <w:rPr>
          <w:rFonts w:hint="eastAsia" w:ascii="宋体" w:hAnsi="宋体" w:eastAsia="宋体" w:cs="Times New Roman"/>
          <w:color w:val="auto"/>
          <w:szCs w:val="21"/>
          <w:highlight w:val="none"/>
          <w:lang w:eastAsia="zh-CN"/>
        </w:rPr>
        <w:t>、废弃处置等</w:t>
      </w:r>
      <w:r>
        <w:rPr>
          <w:rFonts w:hint="eastAsia" w:ascii="宋体" w:hAnsi="宋体" w:eastAsia="宋体" w:cs="Times New Roman"/>
          <w:color w:val="auto"/>
          <w:szCs w:val="21"/>
          <w:highlight w:val="none"/>
        </w:rPr>
        <w:t>对甲方操作人员进行培训</w:t>
      </w:r>
      <w:r>
        <w:rPr>
          <w:rFonts w:hint="eastAsia" w:ascii="宋体" w:hAnsi="宋体" w:eastAsia="宋体" w:cs="宋体"/>
          <w:szCs w:val="15"/>
          <w:lang w:eastAsia="zh-CN"/>
        </w:rPr>
        <w:t>；</w:t>
      </w:r>
    </w:p>
    <w:p w14:paraId="7EC92474">
      <w:pPr>
        <w:autoSpaceDE w:val="0"/>
        <w:autoSpaceDN w:val="0"/>
        <w:adjustRightInd w:val="0"/>
        <w:spacing w:line="400" w:lineRule="exact"/>
        <w:ind w:firstLine="420" w:firstLineChars="200"/>
        <w:outlineLvl w:val="9"/>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（5）依照法律、行政法规的规定或者按照</w:t>
      </w:r>
      <w:r>
        <w:rPr>
          <w:rFonts w:hint="eastAsia" w:ascii="宋体" w:hAnsi="宋体" w:eastAsia="宋体" w:cs="宋体"/>
          <w:b/>
          <w:bCs/>
          <w:sz w:val="21"/>
          <w:szCs w:val="21"/>
          <w:lang w:val="en-US" w:eastAsia="zh-CN" w:bidi="ar-SA"/>
        </w:rPr>
        <w:t>【政府采购合同专用条款】</w:t>
      </w:r>
      <w:r>
        <w:rPr>
          <w:rFonts w:hint="eastAsia" w:ascii="宋体" w:hAnsi="宋体" w:eastAsia="宋体" w:cs="宋体"/>
          <w:sz w:val="21"/>
          <w:szCs w:val="21"/>
          <w:lang w:val="en-US" w:eastAsia="zh-CN" w:bidi="ar-SA"/>
        </w:rPr>
        <w:t>约定，货物在有效使用年限届满后应予回收的，乙方负有自行或者委托第三人对货物予以回收的义务；</w:t>
      </w:r>
    </w:p>
    <w:p w14:paraId="0B35C833">
      <w:pPr>
        <w:autoSpaceDE w:val="0"/>
        <w:autoSpaceDN w:val="0"/>
        <w:adjustRightInd w:val="0"/>
        <w:snapToGrid w:val="0"/>
        <w:spacing w:before="0" w:line="400" w:lineRule="exact"/>
        <w:ind w:firstLine="420" w:firstLineChars="200"/>
        <w:jc w:val="left"/>
        <w:outlineLvl w:val="9"/>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w:t>
      </w:r>
      <w:r>
        <w:rPr>
          <w:rFonts w:hint="eastAsia" w:ascii="宋体" w:hAnsi="宋体" w:eastAsia="宋体" w:cs="Times New Roman"/>
          <w:b/>
          <w:color w:val="auto"/>
          <w:szCs w:val="21"/>
          <w:highlight w:val="none"/>
        </w:rPr>
        <w:t>【政府采购合同专用条款】</w:t>
      </w:r>
      <w:r>
        <w:rPr>
          <w:rFonts w:hint="eastAsia" w:ascii="宋体" w:hAnsi="宋体" w:eastAsia="宋体" w:cs="Times New Roman"/>
          <w:color w:val="auto"/>
          <w:szCs w:val="21"/>
          <w:highlight w:val="none"/>
        </w:rPr>
        <w:t>规定由乙方提供的其他服务。</w:t>
      </w:r>
    </w:p>
    <w:p w14:paraId="09E251FB">
      <w:pPr>
        <w:autoSpaceDE w:val="0"/>
        <w:autoSpaceDN w:val="0"/>
        <w:adjustRightInd w:val="0"/>
        <w:snapToGrid w:val="0"/>
        <w:spacing w:before="0" w:line="400" w:lineRule="exact"/>
        <w:ind w:firstLine="420" w:firstLineChars="200"/>
        <w:jc w:val="left"/>
        <w:outlineLvl w:val="9"/>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.2 乙方提供的</w:t>
      </w:r>
      <w:r>
        <w:rPr>
          <w:rFonts w:hint="eastAsia" w:ascii="宋体" w:hAnsi="宋体" w:eastAsia="宋体" w:cs="Times New Roman"/>
          <w:color w:val="auto"/>
          <w:szCs w:val="21"/>
          <w:highlight w:val="none"/>
          <w:lang w:eastAsia="zh-CN"/>
        </w:rPr>
        <w:t>售后</w:t>
      </w:r>
      <w:r>
        <w:rPr>
          <w:rFonts w:hint="eastAsia" w:ascii="宋体" w:hAnsi="宋体" w:eastAsia="宋体" w:cs="Times New Roman"/>
          <w:color w:val="auto"/>
          <w:szCs w:val="21"/>
          <w:highlight w:val="none"/>
        </w:rPr>
        <w:t>服务的费用</w:t>
      </w:r>
      <w:r>
        <w:rPr>
          <w:rFonts w:hint="eastAsia" w:ascii="宋体" w:hAnsi="宋体" w:eastAsia="宋体" w:cs="Times New Roman"/>
          <w:color w:val="auto"/>
          <w:szCs w:val="21"/>
          <w:highlight w:val="none"/>
          <w:lang w:val="en-US" w:eastAsia="zh-CN"/>
        </w:rPr>
        <w:t>已</w:t>
      </w:r>
      <w:r>
        <w:rPr>
          <w:rFonts w:hint="eastAsia" w:ascii="宋体" w:hAnsi="宋体" w:eastAsia="宋体" w:cs="Times New Roman"/>
          <w:color w:val="auto"/>
          <w:szCs w:val="21"/>
          <w:highlight w:val="none"/>
        </w:rPr>
        <w:t>包含在合同价款中，甲方不再另行支付。</w:t>
      </w:r>
    </w:p>
    <w:p w14:paraId="49AC9941">
      <w:pPr>
        <w:adjustRightInd w:val="0"/>
        <w:snapToGrid w:val="0"/>
        <w:spacing w:before="0" w:line="400" w:lineRule="exact"/>
        <w:jc w:val="left"/>
        <w:outlineLvl w:val="9"/>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1</w:t>
      </w:r>
      <w:r>
        <w:rPr>
          <w:rFonts w:hint="eastAsia" w:ascii="宋体" w:hAnsi="宋体" w:eastAsia="宋体" w:cs="Times New Roman"/>
          <w:b/>
          <w:bCs/>
          <w:color w:val="auto"/>
          <w:sz w:val="24"/>
          <w:szCs w:val="24"/>
          <w:highlight w:val="none"/>
          <w:lang w:eastAsia="zh-CN"/>
        </w:rPr>
        <w:t>5</w:t>
      </w:r>
      <w:r>
        <w:rPr>
          <w:rFonts w:hint="eastAsia" w:ascii="宋体" w:hAnsi="宋体" w:eastAsia="宋体" w:cs="Times New Roman"/>
          <w:b/>
          <w:bCs/>
          <w:color w:val="auto"/>
          <w:sz w:val="24"/>
          <w:szCs w:val="24"/>
          <w:highlight w:val="none"/>
        </w:rPr>
        <w:t>.</w:t>
      </w:r>
      <w:r>
        <w:rPr>
          <w:rFonts w:hint="eastAsia" w:ascii="宋体" w:hAnsi="宋体" w:eastAsia="宋体" w:cs="Times New Roman"/>
          <w:b/>
          <w:bCs/>
          <w:color w:val="auto"/>
          <w:sz w:val="24"/>
          <w:szCs w:val="24"/>
          <w:highlight w:val="none"/>
          <w:lang w:val="en-US" w:eastAsia="zh-CN"/>
        </w:rPr>
        <w:t xml:space="preserve"> </w:t>
      </w:r>
      <w:r>
        <w:rPr>
          <w:rFonts w:hint="eastAsia" w:ascii="宋体" w:hAnsi="宋体" w:eastAsia="宋体" w:cs="Times New Roman"/>
          <w:b/>
          <w:bCs/>
          <w:color w:val="auto"/>
          <w:sz w:val="24"/>
          <w:szCs w:val="24"/>
          <w:highlight w:val="none"/>
        </w:rPr>
        <w:t>违约责任</w:t>
      </w:r>
    </w:p>
    <w:p w14:paraId="6F8F821F">
      <w:pPr>
        <w:adjustRightInd w:val="0"/>
        <w:snapToGrid w:val="0"/>
        <w:spacing w:before="0" w:line="400" w:lineRule="exact"/>
        <w:ind w:firstLine="420" w:firstLineChars="200"/>
        <w:jc w:val="left"/>
        <w:outlineLvl w:val="9"/>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w:t>
      </w:r>
      <w:r>
        <w:rPr>
          <w:rFonts w:hint="eastAsia" w:ascii="宋体" w:hAnsi="宋体" w:eastAsia="宋体" w:cs="Times New Roman"/>
          <w:bCs/>
          <w:color w:val="auto"/>
          <w:szCs w:val="21"/>
          <w:highlight w:val="none"/>
          <w:lang w:eastAsia="zh-CN"/>
        </w:rPr>
        <w:t>5</w:t>
      </w:r>
      <w:r>
        <w:rPr>
          <w:rFonts w:hint="eastAsia" w:ascii="宋体" w:hAnsi="宋体" w:eastAsia="宋体" w:cs="Times New Roman"/>
          <w:bCs/>
          <w:color w:val="auto"/>
          <w:szCs w:val="21"/>
          <w:highlight w:val="none"/>
        </w:rPr>
        <w:t>.1质量瑕疵的</w:t>
      </w:r>
      <w:r>
        <w:rPr>
          <w:rFonts w:hint="eastAsia" w:ascii="宋体" w:hAnsi="宋体" w:eastAsia="宋体" w:cs="Times New Roman"/>
          <w:bCs/>
          <w:color w:val="auto"/>
          <w:szCs w:val="21"/>
          <w:highlight w:val="none"/>
          <w:lang w:eastAsia="zh-CN"/>
        </w:rPr>
        <w:t>违约责任</w:t>
      </w:r>
    </w:p>
    <w:p w14:paraId="24789D3D">
      <w:pPr>
        <w:autoSpaceDE w:val="0"/>
        <w:autoSpaceDN w:val="0"/>
        <w:adjustRightInd w:val="0"/>
        <w:snapToGrid w:val="0"/>
        <w:spacing w:before="0" w:line="400" w:lineRule="exact"/>
        <w:ind w:firstLine="420" w:firstLineChars="200"/>
        <w:jc w:val="left"/>
        <w:outlineLvl w:val="9"/>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乙方</w:t>
      </w:r>
      <w:r>
        <w:rPr>
          <w:rFonts w:hint="eastAsia" w:ascii="宋体" w:hAnsi="宋体" w:eastAsia="宋体" w:cs="Times New Roman"/>
          <w:color w:val="auto"/>
          <w:szCs w:val="21"/>
          <w:highlight w:val="none"/>
          <w:lang w:eastAsia="zh-CN"/>
        </w:rPr>
        <w:t>提供</w:t>
      </w:r>
      <w:r>
        <w:rPr>
          <w:rFonts w:hint="eastAsia" w:ascii="宋体" w:hAnsi="宋体" w:eastAsia="宋体" w:cs="Times New Roman"/>
          <w:color w:val="auto"/>
          <w:szCs w:val="21"/>
          <w:highlight w:val="none"/>
        </w:rPr>
        <w:t>的产品不符合</w:t>
      </w:r>
      <w:r>
        <w:rPr>
          <w:rFonts w:hint="eastAsia" w:ascii="宋体" w:hAnsi="宋体" w:eastAsia="宋体" w:cs="Times New Roman"/>
          <w:color w:val="auto"/>
          <w:szCs w:val="21"/>
          <w:highlight w:val="none"/>
          <w:lang w:eastAsia="zh-CN"/>
        </w:rPr>
        <w:t>合同约定的</w:t>
      </w:r>
      <w:r>
        <w:rPr>
          <w:rFonts w:hint="eastAsia" w:ascii="宋体" w:hAnsi="宋体" w:eastAsia="宋体" w:cs="Times New Roman"/>
          <w:color w:val="auto"/>
          <w:szCs w:val="21"/>
          <w:highlight w:val="none"/>
        </w:rPr>
        <w:t>质量标准或存在产品质量缺陷，</w:t>
      </w:r>
      <w:r>
        <w:rPr>
          <w:rFonts w:hint="eastAsia" w:ascii="宋体" w:hAnsi="宋体" w:eastAsia="宋体" w:cs="Times New Roman"/>
          <w:color w:val="auto"/>
          <w:szCs w:val="21"/>
          <w:highlight w:val="none"/>
          <w:lang w:eastAsia="zh-CN"/>
        </w:rPr>
        <w:t>甲方有权要求乙方根据</w:t>
      </w:r>
      <w:r>
        <w:rPr>
          <w:rFonts w:hint="eastAsia" w:ascii="宋体" w:hAnsi="宋体" w:eastAsia="宋体" w:cs="Times New Roman"/>
          <w:b/>
          <w:color w:val="auto"/>
          <w:szCs w:val="21"/>
          <w:highlight w:val="none"/>
        </w:rPr>
        <w:t>【政府采购合同专用条款】</w:t>
      </w:r>
      <w:r>
        <w:rPr>
          <w:rFonts w:hint="eastAsia" w:ascii="宋体" w:hAnsi="宋体" w:eastAsia="宋体" w:cs="Times New Roman"/>
          <w:b w:val="0"/>
          <w:bCs/>
          <w:color w:val="auto"/>
          <w:szCs w:val="21"/>
          <w:highlight w:val="none"/>
          <w:lang w:eastAsia="zh-CN"/>
        </w:rPr>
        <w:t>要求</w:t>
      </w:r>
      <w:r>
        <w:rPr>
          <w:rFonts w:hint="eastAsia" w:ascii="宋体" w:hAnsi="宋体" w:eastAsia="宋体" w:cs="Times New Roman"/>
          <w:color w:val="auto"/>
          <w:szCs w:val="21"/>
          <w:highlight w:val="none"/>
          <w:lang w:eastAsia="zh-CN"/>
        </w:rPr>
        <w:t>及时修理、重作、更换，并承担由此给甲</w:t>
      </w:r>
      <w:r>
        <w:rPr>
          <w:rFonts w:hint="eastAsia" w:ascii="宋体" w:hAnsi="宋体" w:eastAsia="宋体" w:cs="Times New Roman"/>
          <w:color w:val="auto"/>
          <w:szCs w:val="21"/>
          <w:highlight w:val="none"/>
        </w:rPr>
        <w:t>方</w:t>
      </w:r>
      <w:r>
        <w:rPr>
          <w:rFonts w:hint="eastAsia" w:ascii="宋体" w:hAnsi="宋体" w:eastAsia="宋体" w:cs="Times New Roman"/>
          <w:color w:val="auto"/>
          <w:szCs w:val="21"/>
          <w:highlight w:val="none"/>
          <w:lang w:eastAsia="zh-CN"/>
        </w:rPr>
        <w:t>造成的损失</w:t>
      </w:r>
      <w:r>
        <w:rPr>
          <w:rFonts w:hint="eastAsia" w:ascii="宋体" w:hAnsi="宋体" w:eastAsia="宋体" w:cs="Times New Roman"/>
          <w:color w:val="auto"/>
          <w:szCs w:val="21"/>
          <w:highlight w:val="none"/>
        </w:rPr>
        <w:t>。</w:t>
      </w:r>
    </w:p>
    <w:p w14:paraId="2DEBD90D">
      <w:pPr>
        <w:autoSpaceDE w:val="0"/>
        <w:autoSpaceDN w:val="0"/>
        <w:adjustRightInd w:val="0"/>
        <w:snapToGrid w:val="0"/>
        <w:spacing w:before="0" w:line="400" w:lineRule="exact"/>
        <w:ind w:firstLine="420" w:firstLineChars="200"/>
        <w:jc w:val="left"/>
        <w:outlineLvl w:val="9"/>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1</w:t>
      </w:r>
      <w:r>
        <w:rPr>
          <w:rFonts w:hint="eastAsia" w:ascii="宋体" w:hAnsi="宋体" w:eastAsia="宋体" w:cs="Times New Roman"/>
          <w:bCs/>
          <w:color w:val="auto"/>
          <w:szCs w:val="21"/>
          <w:highlight w:val="none"/>
          <w:lang w:eastAsia="zh-CN"/>
        </w:rPr>
        <w:t>5</w:t>
      </w:r>
      <w:r>
        <w:rPr>
          <w:rFonts w:hint="eastAsia" w:ascii="宋体" w:hAnsi="宋体" w:eastAsia="宋体" w:cs="Times New Roman"/>
          <w:bCs/>
          <w:color w:val="auto"/>
          <w:szCs w:val="21"/>
          <w:highlight w:val="none"/>
        </w:rPr>
        <w:t>.2 迟延交货的违约责任</w:t>
      </w:r>
    </w:p>
    <w:p w14:paraId="71AD573D">
      <w:pPr>
        <w:autoSpaceDE w:val="0"/>
        <w:autoSpaceDN w:val="0"/>
        <w:adjustRightInd w:val="0"/>
        <w:snapToGrid w:val="0"/>
        <w:spacing w:before="0" w:line="400" w:lineRule="exact"/>
        <w:ind w:firstLine="420" w:firstLineChars="200"/>
        <w:jc w:val="left"/>
        <w:outlineLvl w:val="9"/>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（1）乙方应按照本合同规定的时间、地点交货和提供</w:t>
      </w:r>
      <w:r>
        <w:rPr>
          <w:rFonts w:hint="eastAsia" w:ascii="宋体" w:hAnsi="宋体" w:eastAsia="宋体" w:cs="Times New Roman"/>
          <w:color w:val="auto"/>
          <w:szCs w:val="21"/>
          <w:highlight w:val="none"/>
          <w:lang w:eastAsia="zh-CN"/>
        </w:rPr>
        <w:t>相关</w:t>
      </w:r>
      <w:r>
        <w:rPr>
          <w:rFonts w:hint="eastAsia" w:ascii="宋体" w:hAnsi="宋体" w:eastAsia="宋体" w:cs="Times New Roman"/>
          <w:color w:val="auto"/>
          <w:szCs w:val="21"/>
          <w:highlight w:val="none"/>
        </w:rPr>
        <w:t>服务。在履行合同过程中，如果乙方遇到可能</w:t>
      </w:r>
      <w:r>
        <w:rPr>
          <w:rFonts w:hint="eastAsia" w:ascii="宋体" w:hAnsi="宋体" w:eastAsia="宋体" w:cs="Times New Roman"/>
          <w:color w:val="auto"/>
          <w:szCs w:val="21"/>
          <w:highlight w:val="none"/>
          <w:lang w:eastAsia="zh-CN"/>
        </w:rPr>
        <w:t>影响</w:t>
      </w:r>
      <w:r>
        <w:rPr>
          <w:rFonts w:hint="eastAsia" w:ascii="宋体" w:hAnsi="宋体" w:eastAsia="宋体" w:cs="Times New Roman"/>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eastAsia="宋体" w:cs="Times New Roman"/>
          <w:color w:val="auto"/>
          <w:szCs w:val="21"/>
          <w:highlight w:val="none"/>
          <w:lang w:eastAsia="zh-CN"/>
        </w:rPr>
        <w:t>长</w:t>
      </w:r>
      <w:r>
        <w:rPr>
          <w:rFonts w:hint="eastAsia" w:ascii="宋体" w:hAnsi="宋体" w:eastAsia="宋体" w:cs="Times New Roman"/>
          <w:color w:val="auto"/>
          <w:szCs w:val="21"/>
          <w:highlight w:val="none"/>
        </w:rPr>
        <w:t>交货时间或延期提供服务。</w:t>
      </w:r>
    </w:p>
    <w:p w14:paraId="39590AFD">
      <w:pPr>
        <w:autoSpaceDE w:val="0"/>
        <w:autoSpaceDN w:val="0"/>
        <w:adjustRightInd w:val="0"/>
        <w:snapToGrid w:val="0"/>
        <w:spacing w:before="0" w:line="400" w:lineRule="exact"/>
        <w:ind w:firstLine="420" w:firstLineChars="200"/>
        <w:jc w:val="left"/>
        <w:outlineLvl w:val="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（2）如果乙方没有按照合同规定的时间交货和提供</w:t>
      </w:r>
      <w:r>
        <w:rPr>
          <w:rFonts w:hint="eastAsia" w:ascii="宋体" w:hAnsi="宋体" w:eastAsia="宋体" w:cs="Times New Roman"/>
          <w:color w:val="auto"/>
          <w:szCs w:val="21"/>
          <w:highlight w:val="none"/>
          <w:lang w:eastAsia="zh-CN"/>
        </w:rPr>
        <w:t>相关</w:t>
      </w:r>
      <w:r>
        <w:rPr>
          <w:rFonts w:hint="eastAsia" w:ascii="宋体" w:hAnsi="宋体" w:eastAsia="宋体" w:cs="Times New Roman"/>
          <w:color w:val="auto"/>
          <w:szCs w:val="21"/>
          <w:highlight w:val="none"/>
        </w:rPr>
        <w:t>服务，甲方有权从货款中扣除误期赔偿费而不影响合同项下的其他补救方法，赔偿费按</w:t>
      </w:r>
      <w:r>
        <w:rPr>
          <w:rFonts w:hint="eastAsia" w:ascii="宋体" w:hAnsi="宋体" w:eastAsia="宋体" w:cs="Times New Roman"/>
          <w:b/>
          <w:color w:val="auto"/>
          <w:szCs w:val="21"/>
          <w:highlight w:val="none"/>
        </w:rPr>
        <w:t>【政府采购合同专用条款】</w:t>
      </w:r>
      <w:r>
        <w:rPr>
          <w:rFonts w:hint="eastAsia" w:ascii="宋体" w:hAnsi="宋体" w:eastAsia="宋体" w:cs="Times New Roman"/>
          <w:color w:val="auto"/>
          <w:szCs w:val="21"/>
          <w:highlight w:val="none"/>
        </w:rPr>
        <w:t>规定执行。如果涉及公共利益，且赔偿金额无法弥补公共利益损失，</w:t>
      </w:r>
      <w:r>
        <w:rPr>
          <w:rFonts w:hint="eastAsia" w:ascii="宋体" w:hAnsi="宋体" w:eastAsia="宋体" w:cs="Times New Roman"/>
          <w:color w:val="auto"/>
          <w:szCs w:val="21"/>
          <w:highlight w:val="none"/>
          <w:lang w:eastAsia="zh-CN"/>
        </w:rPr>
        <w:t>甲方</w:t>
      </w:r>
      <w:r>
        <w:rPr>
          <w:rFonts w:hint="eastAsia" w:ascii="宋体" w:hAnsi="宋体" w:eastAsia="宋体" w:cs="Times New Roman"/>
          <w:color w:val="auto"/>
          <w:szCs w:val="21"/>
          <w:highlight w:val="none"/>
        </w:rPr>
        <w:t>可要求继续履行或者</w:t>
      </w:r>
      <w:r>
        <w:rPr>
          <w:rFonts w:hint="eastAsia" w:ascii="宋体" w:hAnsi="宋体" w:eastAsia="宋体" w:cs="Times New Roman"/>
          <w:color w:val="auto"/>
          <w:szCs w:val="21"/>
          <w:highlight w:val="none"/>
          <w:lang w:eastAsia="zh-CN"/>
        </w:rPr>
        <w:t>采取其他补救措施</w:t>
      </w:r>
      <w:r>
        <w:rPr>
          <w:rFonts w:hint="eastAsia" w:ascii="宋体" w:hAnsi="宋体" w:eastAsia="宋体" w:cs="Times New Roman"/>
          <w:color w:val="auto"/>
          <w:szCs w:val="21"/>
          <w:highlight w:val="none"/>
        </w:rPr>
        <w:t>。</w:t>
      </w:r>
    </w:p>
    <w:p w14:paraId="143B412F">
      <w:pPr>
        <w:autoSpaceDE w:val="0"/>
        <w:autoSpaceDN w:val="0"/>
        <w:adjustRightInd w:val="0"/>
        <w:snapToGrid w:val="0"/>
        <w:spacing w:before="0" w:line="400" w:lineRule="exact"/>
        <w:ind w:firstLine="420" w:firstLineChars="200"/>
        <w:jc w:val="left"/>
        <w:outlineLvl w:val="9"/>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eastAsia="zh-CN"/>
        </w:rPr>
        <w:t>5</w:t>
      </w:r>
      <w:r>
        <w:rPr>
          <w:rFonts w:hint="eastAsia" w:ascii="宋体" w:hAnsi="宋体" w:eastAsia="宋体" w:cs="Times New Roman"/>
          <w:color w:val="auto"/>
          <w:szCs w:val="21"/>
          <w:highlight w:val="none"/>
        </w:rPr>
        <w:t>.3 迟延支付的违约责任</w:t>
      </w:r>
    </w:p>
    <w:p w14:paraId="1A070DC8">
      <w:pPr>
        <w:autoSpaceDE w:val="0"/>
        <w:autoSpaceDN w:val="0"/>
        <w:adjustRightInd w:val="0"/>
        <w:snapToGrid w:val="0"/>
        <w:spacing w:before="0" w:line="400" w:lineRule="exact"/>
        <w:ind w:firstLine="420" w:firstLineChars="200"/>
        <w:jc w:val="left"/>
        <w:outlineLvl w:val="9"/>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甲方存在迟延支付乙方合同款项的，应当承担</w:t>
      </w:r>
      <w:r>
        <w:rPr>
          <w:rFonts w:hint="eastAsia" w:ascii="宋体" w:hAnsi="宋体" w:eastAsia="宋体" w:cs="Times New Roman"/>
          <w:b/>
          <w:bCs/>
          <w:color w:val="auto"/>
          <w:szCs w:val="21"/>
          <w:highlight w:val="none"/>
        </w:rPr>
        <w:t>【政府采购合同专用条款】</w:t>
      </w:r>
      <w:r>
        <w:rPr>
          <w:rFonts w:hint="eastAsia" w:ascii="宋体" w:hAnsi="宋体" w:eastAsia="宋体" w:cs="Times New Roman"/>
          <w:color w:val="auto"/>
          <w:szCs w:val="21"/>
          <w:highlight w:val="none"/>
        </w:rPr>
        <w:t>规定的逾期付款利息。</w:t>
      </w:r>
    </w:p>
    <w:p w14:paraId="4A114DB8">
      <w:pPr>
        <w:adjustRightInd w:val="0"/>
        <w:snapToGrid w:val="0"/>
        <w:spacing w:before="0" w:line="400" w:lineRule="exact"/>
        <w:ind w:firstLine="420" w:firstLineChars="200"/>
        <w:jc w:val="left"/>
        <w:outlineLvl w:val="9"/>
        <w:rPr>
          <w:rFonts w:ascii="宋体" w:hAnsi="宋体" w:eastAsia="宋体" w:cs="Times New Roman"/>
          <w:color w:val="auto"/>
          <w:szCs w:val="21"/>
          <w:highlight w:val="none"/>
        </w:rPr>
      </w:pPr>
      <w:r>
        <w:rPr>
          <w:rFonts w:hint="eastAsia" w:ascii="宋体" w:hAnsi="宋体" w:eastAsia="宋体" w:cs="Times New Roman"/>
          <w:bCs/>
          <w:color w:val="auto"/>
          <w:szCs w:val="21"/>
          <w:highlight w:val="none"/>
        </w:rPr>
        <w:t>1</w:t>
      </w:r>
      <w:r>
        <w:rPr>
          <w:rFonts w:hint="eastAsia" w:ascii="宋体" w:hAnsi="宋体" w:eastAsia="宋体" w:cs="Times New Roman"/>
          <w:bCs/>
          <w:color w:val="auto"/>
          <w:szCs w:val="21"/>
          <w:highlight w:val="none"/>
          <w:lang w:eastAsia="zh-CN"/>
        </w:rPr>
        <w:t>5</w:t>
      </w:r>
      <w:r>
        <w:rPr>
          <w:rFonts w:hint="eastAsia" w:ascii="宋体" w:hAnsi="宋体" w:eastAsia="宋体" w:cs="Times New Roman"/>
          <w:bCs/>
          <w:color w:val="auto"/>
          <w:szCs w:val="21"/>
          <w:highlight w:val="none"/>
        </w:rPr>
        <w:t>.4其他违约责任根据项目实际需要按</w:t>
      </w:r>
      <w:r>
        <w:rPr>
          <w:rFonts w:hint="eastAsia" w:ascii="宋体" w:hAnsi="宋体" w:eastAsia="宋体" w:cs="Times New Roman"/>
          <w:b/>
          <w:bCs/>
          <w:color w:val="auto"/>
          <w:szCs w:val="21"/>
          <w:highlight w:val="none"/>
        </w:rPr>
        <w:t>【政府采购合同专用条款】</w:t>
      </w:r>
      <w:r>
        <w:rPr>
          <w:rFonts w:hint="eastAsia" w:ascii="宋体" w:hAnsi="宋体" w:eastAsia="宋体" w:cs="Times New Roman"/>
          <w:color w:val="auto"/>
          <w:szCs w:val="21"/>
          <w:highlight w:val="none"/>
        </w:rPr>
        <w:t>规定执行。</w:t>
      </w:r>
    </w:p>
    <w:p w14:paraId="74EB2171">
      <w:pPr>
        <w:numPr>
          <w:ilvl w:val="0"/>
          <w:numId w:val="21"/>
        </w:numPr>
        <w:autoSpaceDE w:val="0"/>
        <w:autoSpaceDN w:val="0"/>
        <w:adjustRightInd w:val="0"/>
        <w:snapToGrid w:val="0"/>
        <w:spacing w:before="0" w:line="400" w:lineRule="exact"/>
        <w:jc w:val="left"/>
        <w:outlineLvl w:val="9"/>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合同变更</w:t>
      </w:r>
      <w:r>
        <w:rPr>
          <w:rFonts w:hint="eastAsia" w:ascii="宋体" w:hAnsi="宋体" w:eastAsia="宋体" w:cs="Times New Roman"/>
          <w:b/>
          <w:color w:val="auto"/>
          <w:sz w:val="24"/>
          <w:szCs w:val="24"/>
          <w:highlight w:val="none"/>
          <w:lang w:eastAsia="zh-CN"/>
        </w:rPr>
        <w:t>、中止与终止</w:t>
      </w:r>
    </w:p>
    <w:p w14:paraId="3051664C">
      <w:pPr>
        <w:autoSpaceDE/>
        <w:autoSpaceDN/>
        <w:adjustRightInd w:val="0"/>
        <w:snapToGrid w:val="0"/>
        <w:spacing w:before="0" w:line="400" w:lineRule="exact"/>
        <w:ind w:firstLine="0" w:firstLineChars="0"/>
        <w:jc w:val="left"/>
        <w:outlineLvl w:val="9"/>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.1合同的</w:t>
      </w:r>
      <w:r>
        <w:rPr>
          <w:rFonts w:hint="eastAsia" w:ascii="宋体" w:hAnsi="宋体" w:eastAsia="宋体" w:cs="Times New Roman"/>
          <w:color w:val="auto"/>
          <w:szCs w:val="21"/>
          <w:highlight w:val="none"/>
          <w:lang w:eastAsia="zh-CN"/>
        </w:rPr>
        <w:t>变更</w:t>
      </w:r>
    </w:p>
    <w:p w14:paraId="1283CCD1">
      <w:pPr>
        <w:autoSpaceDE w:val="0"/>
        <w:autoSpaceDN w:val="0"/>
        <w:adjustRightInd w:val="0"/>
        <w:snapToGrid w:val="0"/>
        <w:spacing w:before="0" w:line="400" w:lineRule="exact"/>
        <w:ind w:firstLine="420" w:firstLineChars="200"/>
        <w:jc w:val="left"/>
        <w:outlineLvl w:val="9"/>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eastAsia="zh-CN"/>
        </w:rPr>
        <w:t>政府采购合同履行中，</w:t>
      </w:r>
      <w:r>
        <w:rPr>
          <w:rFonts w:hint="eastAsia" w:ascii="宋体" w:hAnsi="宋体" w:eastAsia="宋体" w:cs="Times New Roman"/>
          <w:color w:val="auto"/>
          <w:szCs w:val="21"/>
          <w:highlight w:val="none"/>
        </w:rPr>
        <w:t>在不改变合同其他条款的前提下，甲方可以在合同价款10%的范围内追加与合同标的相同的货物，并就此与乙方协商</w:t>
      </w:r>
      <w:r>
        <w:rPr>
          <w:rFonts w:hint="eastAsia" w:ascii="宋体" w:hAnsi="宋体" w:eastAsia="宋体" w:cs="Times New Roman"/>
          <w:color w:val="auto"/>
          <w:szCs w:val="21"/>
          <w:highlight w:val="none"/>
          <w:lang w:eastAsia="zh-CN"/>
        </w:rPr>
        <w:t>一致后</w:t>
      </w:r>
      <w:r>
        <w:rPr>
          <w:rFonts w:hint="eastAsia" w:ascii="宋体" w:hAnsi="宋体" w:eastAsia="宋体" w:cs="Times New Roman"/>
          <w:color w:val="auto"/>
          <w:szCs w:val="21"/>
          <w:highlight w:val="none"/>
        </w:rPr>
        <w:t>签订补充协议。</w:t>
      </w:r>
    </w:p>
    <w:p w14:paraId="519E4DD6">
      <w:pPr>
        <w:adjustRightInd w:val="0"/>
        <w:snapToGrid w:val="0"/>
        <w:spacing w:before="0" w:line="400" w:lineRule="exact"/>
        <w:ind w:firstLine="420" w:firstLineChars="200"/>
        <w:jc w:val="left"/>
        <w:outlineLvl w:val="9"/>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合同的中止</w:t>
      </w:r>
    </w:p>
    <w:p w14:paraId="1A45E580">
      <w:pPr>
        <w:autoSpaceDE w:val="0"/>
        <w:autoSpaceDN w:val="0"/>
        <w:adjustRightInd w:val="0"/>
        <w:snapToGrid w:val="0"/>
        <w:spacing w:before="0" w:line="400" w:lineRule="exact"/>
        <w:ind w:firstLine="420" w:firstLineChars="200"/>
        <w:jc w:val="left"/>
        <w:outlineLvl w:val="9"/>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（1）合同履行过程中因供应商就采购文件、采购过程或结果提起投诉的，甲方认为有必要的，</w:t>
      </w:r>
      <w:r>
        <w:rPr>
          <w:rFonts w:hint="eastAsia" w:ascii="宋体" w:hAnsi="宋体" w:eastAsia="宋体" w:cs="Times New Roman"/>
          <w:color w:val="auto"/>
          <w:szCs w:val="21"/>
          <w:highlight w:val="none"/>
          <w:lang w:eastAsia="zh-CN"/>
        </w:rPr>
        <w:t>可以</w:t>
      </w:r>
      <w:r>
        <w:rPr>
          <w:rFonts w:hint="eastAsia" w:ascii="宋体" w:hAnsi="宋体" w:eastAsia="宋体" w:cs="Times New Roman"/>
          <w:color w:val="auto"/>
          <w:szCs w:val="21"/>
          <w:highlight w:val="none"/>
        </w:rPr>
        <w:t>中止合同的履行。</w:t>
      </w:r>
    </w:p>
    <w:p w14:paraId="33221817">
      <w:pPr>
        <w:autoSpaceDE w:val="0"/>
        <w:autoSpaceDN w:val="0"/>
        <w:adjustRightInd w:val="0"/>
        <w:snapToGrid w:val="0"/>
        <w:spacing w:before="0" w:line="400" w:lineRule="exact"/>
        <w:ind w:firstLine="420" w:firstLineChars="200"/>
        <w:jc w:val="left"/>
        <w:outlineLvl w:val="9"/>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合同履行过程中，</w:t>
      </w:r>
      <w:r>
        <w:rPr>
          <w:rFonts w:hint="eastAsia" w:ascii="宋体" w:hAnsi="宋体" w:eastAsia="宋体" w:cs="Times New Roman"/>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eastAsia="宋体" w:cs="Times New Roman"/>
          <w:color w:val="auto"/>
          <w:szCs w:val="21"/>
          <w:highlight w:val="none"/>
          <w:lang w:eastAsia="zh-CN"/>
        </w:rPr>
        <w:t>，乙方有义务及时告知甲方</w:t>
      </w:r>
      <w:r>
        <w:rPr>
          <w:rFonts w:hint="eastAsia" w:ascii="宋体" w:hAnsi="宋体" w:eastAsia="宋体" w:cs="Times New Roman"/>
          <w:color w:val="auto"/>
          <w:szCs w:val="21"/>
          <w:highlight w:val="none"/>
        </w:rPr>
        <w:t>。甲方</w:t>
      </w:r>
      <w:r>
        <w:rPr>
          <w:rFonts w:hint="eastAsia" w:ascii="宋体" w:hAnsi="宋体" w:eastAsia="宋体" w:cs="Times New Roman"/>
          <w:color w:val="auto"/>
          <w:szCs w:val="21"/>
          <w:highlight w:val="none"/>
          <w:lang w:eastAsia="zh-CN"/>
        </w:rPr>
        <w:t>有权</w:t>
      </w:r>
      <w:r>
        <w:rPr>
          <w:rFonts w:hint="eastAsia" w:ascii="宋体" w:hAnsi="宋体" w:eastAsia="宋体" w:cs="Times New Roman"/>
          <w:color w:val="auto"/>
          <w:szCs w:val="21"/>
          <w:highlight w:val="none"/>
        </w:rPr>
        <w:t>以书面形式通知乙方中止合同</w:t>
      </w:r>
      <w:r>
        <w:rPr>
          <w:rFonts w:hint="eastAsia" w:ascii="宋体" w:hAnsi="宋体" w:eastAsia="宋体" w:cs="Times New Roman"/>
          <w:color w:val="auto"/>
          <w:szCs w:val="21"/>
          <w:highlight w:val="none"/>
          <w:lang w:eastAsia="zh-CN"/>
        </w:rPr>
        <w:t>并要求乙方在合理期限内消除相关情形或者提供适当担保。</w:t>
      </w:r>
      <w:r>
        <w:rPr>
          <w:rFonts w:hint="eastAsia" w:ascii="宋体" w:hAnsi="宋体" w:eastAsia="宋体" w:cs="Times New Roman"/>
          <w:color w:val="auto"/>
          <w:szCs w:val="21"/>
          <w:highlight w:val="none"/>
        </w:rPr>
        <w:t>乙方提供适当担保的，</w:t>
      </w:r>
      <w:r>
        <w:rPr>
          <w:rFonts w:hint="eastAsia" w:ascii="宋体" w:hAnsi="宋体" w:eastAsia="宋体" w:cs="Times New Roman"/>
          <w:color w:val="auto"/>
          <w:szCs w:val="21"/>
          <w:highlight w:val="none"/>
          <w:lang w:eastAsia="zh-CN"/>
        </w:rPr>
        <w:t>合同继续</w:t>
      </w:r>
      <w:r>
        <w:rPr>
          <w:rFonts w:hint="eastAsia" w:ascii="宋体" w:hAnsi="宋体" w:eastAsia="宋体" w:cs="Times New Roman"/>
          <w:color w:val="auto"/>
          <w:szCs w:val="21"/>
          <w:highlight w:val="none"/>
        </w:rPr>
        <w:t>履行</w:t>
      </w:r>
      <w:r>
        <w:rPr>
          <w:rFonts w:hint="eastAsia" w:ascii="宋体" w:hAnsi="宋体" w:eastAsia="宋体" w:cs="Times New Roman"/>
          <w:color w:val="auto"/>
          <w:szCs w:val="21"/>
          <w:highlight w:val="none"/>
          <w:lang w:eastAsia="zh-CN"/>
        </w:rPr>
        <w:t>；乙</w:t>
      </w:r>
      <w:r>
        <w:rPr>
          <w:rFonts w:hint="eastAsia" w:ascii="宋体" w:hAnsi="宋体" w:eastAsia="宋体" w:cs="Times New Roman"/>
          <w:color w:val="auto"/>
          <w:szCs w:val="21"/>
          <w:highlight w:val="none"/>
        </w:rPr>
        <w:t>方在合理期限内未恢复履约能力且未提供适当担保的，视为拒绝</w:t>
      </w:r>
      <w:r>
        <w:rPr>
          <w:rFonts w:hint="eastAsia" w:ascii="宋体" w:hAnsi="宋体" w:eastAsia="宋体" w:cs="Times New Roman"/>
          <w:color w:val="auto"/>
          <w:szCs w:val="21"/>
          <w:highlight w:val="none"/>
          <w:lang w:eastAsia="zh-CN"/>
        </w:rPr>
        <w:t>继续</w:t>
      </w:r>
      <w:r>
        <w:rPr>
          <w:rFonts w:hint="eastAsia" w:ascii="宋体" w:hAnsi="宋体" w:eastAsia="宋体" w:cs="Times New Roman"/>
          <w:color w:val="auto"/>
          <w:szCs w:val="21"/>
          <w:highlight w:val="none"/>
        </w:rPr>
        <w:t>履约，甲方</w:t>
      </w:r>
      <w:r>
        <w:rPr>
          <w:rFonts w:hint="eastAsia" w:ascii="宋体" w:hAnsi="宋体" w:eastAsia="宋体" w:cs="Times New Roman"/>
          <w:color w:val="auto"/>
          <w:szCs w:val="21"/>
          <w:highlight w:val="none"/>
          <w:lang w:eastAsia="zh-CN"/>
        </w:rPr>
        <w:t>有权</w:t>
      </w:r>
      <w:r>
        <w:rPr>
          <w:rFonts w:hint="eastAsia" w:ascii="宋体" w:hAnsi="宋体" w:eastAsia="宋体" w:cs="Times New Roman"/>
          <w:color w:val="auto"/>
          <w:szCs w:val="21"/>
          <w:highlight w:val="none"/>
        </w:rPr>
        <w:t>解除合同并要求乙方承担</w:t>
      </w:r>
      <w:r>
        <w:rPr>
          <w:rFonts w:hint="eastAsia" w:ascii="宋体" w:hAnsi="宋体" w:eastAsia="宋体" w:cs="Times New Roman"/>
          <w:color w:val="auto"/>
          <w:szCs w:val="21"/>
          <w:highlight w:val="none"/>
          <w:lang w:eastAsia="zh-CN"/>
        </w:rPr>
        <w:t>由此给甲方造成的损失</w:t>
      </w:r>
      <w:r>
        <w:rPr>
          <w:rFonts w:hint="eastAsia" w:ascii="宋体" w:hAnsi="宋体" w:eastAsia="宋体" w:cs="Times New Roman"/>
          <w:color w:val="auto"/>
          <w:szCs w:val="21"/>
          <w:highlight w:val="none"/>
        </w:rPr>
        <w:t>。</w:t>
      </w:r>
    </w:p>
    <w:p w14:paraId="76C51F49">
      <w:pPr>
        <w:autoSpaceDE w:val="0"/>
        <w:autoSpaceDN w:val="0"/>
        <w:adjustRightInd w:val="0"/>
        <w:spacing w:line="400" w:lineRule="exact"/>
        <w:ind w:firstLine="420" w:firstLineChars="200"/>
        <w:jc w:val="both"/>
        <w:outlineLvl w:val="9"/>
        <w:rPr>
          <w:rFonts w:ascii="华文楷体" w:hAnsi="华文楷体" w:eastAsia="华文楷体" w:cs="华文楷体"/>
          <w:sz w:val="21"/>
          <w:szCs w:val="21"/>
          <w:lang w:val="en-US" w:eastAsia="zh-CN" w:bidi="ar-SA"/>
        </w:rPr>
      </w:pPr>
      <w:r>
        <w:rPr>
          <w:rFonts w:hint="eastAsia" w:ascii="宋体" w:hAnsi="宋体" w:eastAsia="宋体" w:cs="宋体"/>
          <w:sz w:val="21"/>
          <w:szCs w:val="21"/>
          <w:lang w:val="en-US" w:eastAsia="zh-CN" w:bidi="ar-SA"/>
        </w:rPr>
        <w:t>（3）乙方分立、合并或者变更住所的，应当及时以书面形式告知甲方。乙方没有及时告知甲方，致使合同履行发生困难的，甲方可以中止合同履行并要求乙方承担由此给甲方造成的损失。</w:t>
      </w:r>
    </w:p>
    <w:p w14:paraId="6361D697">
      <w:pPr>
        <w:snapToGrid w:val="0"/>
        <w:spacing w:line="400" w:lineRule="exact"/>
        <w:ind w:firstLine="420" w:firstLineChars="200"/>
        <w:jc w:val="left"/>
        <w:outlineLvl w:val="9"/>
        <w:rPr>
          <w:rFonts w:ascii="Times New Roman" w:hAnsi="Times New Roman" w:eastAsia="宋体" w:cs="Times New Roman"/>
          <w:sz w:val="21"/>
          <w:szCs w:val="24"/>
        </w:rPr>
      </w:pP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）甲方不得以行政区划调整、政府换届、机构或者职能调整以及相关责任人更替为由中止合同。</w:t>
      </w:r>
    </w:p>
    <w:p w14:paraId="553272CB">
      <w:pPr>
        <w:adjustRightInd w:val="0"/>
        <w:snapToGrid w:val="0"/>
        <w:spacing w:before="0" w:line="400" w:lineRule="exact"/>
        <w:ind w:firstLine="420" w:firstLineChars="200"/>
        <w:jc w:val="left"/>
        <w:outlineLvl w:val="9"/>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合同的终止</w:t>
      </w:r>
    </w:p>
    <w:p w14:paraId="146AA27D">
      <w:pPr>
        <w:autoSpaceDE w:val="0"/>
        <w:autoSpaceDN w:val="0"/>
        <w:adjustRightInd w:val="0"/>
        <w:snapToGrid w:val="0"/>
        <w:spacing w:before="0" w:line="400" w:lineRule="exact"/>
        <w:ind w:firstLine="420" w:firstLineChars="200"/>
        <w:jc w:val="left"/>
        <w:outlineLvl w:val="9"/>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（1）合同因有效期限届满而终止；</w:t>
      </w:r>
    </w:p>
    <w:p w14:paraId="0260364D">
      <w:pPr>
        <w:snapToGrid w:val="0"/>
        <w:spacing w:line="400" w:lineRule="exact"/>
        <w:ind w:firstLine="420" w:firstLineChars="200"/>
        <w:outlineLvl w:val="9"/>
        <w:rPr>
          <w:rFonts w:hint="eastAsia" w:ascii="宋体" w:hAnsi="宋体" w:eastAsia="宋体" w:cs="宋体"/>
          <w:szCs w:val="21"/>
          <w:lang w:eastAsia="zh-CN"/>
        </w:rPr>
      </w:pPr>
      <w:r>
        <w:rPr>
          <w:rFonts w:hint="eastAsia" w:ascii="宋体" w:hAnsi="宋体" w:eastAsia="宋体" w:cs="Times New Roman"/>
          <w:color w:val="auto"/>
          <w:szCs w:val="21"/>
          <w:highlight w:val="none"/>
        </w:rPr>
        <w:t>（2）乙方未</w:t>
      </w:r>
      <w:r>
        <w:rPr>
          <w:rFonts w:hint="eastAsia" w:ascii="宋体" w:hAnsi="宋体" w:eastAsia="宋体" w:cs="Times New Roman"/>
          <w:color w:val="auto"/>
          <w:szCs w:val="21"/>
          <w:highlight w:val="none"/>
          <w:lang w:eastAsia="zh-CN"/>
        </w:rPr>
        <w:t>按</w:t>
      </w:r>
      <w:r>
        <w:rPr>
          <w:rFonts w:hint="eastAsia" w:ascii="宋体" w:hAnsi="宋体" w:eastAsia="宋体" w:cs="Times New Roman"/>
          <w:color w:val="auto"/>
          <w:szCs w:val="21"/>
          <w:highlight w:val="none"/>
        </w:rPr>
        <w:t>合同约定履行，构成根本性违约的，甲方有权终止合同</w:t>
      </w:r>
      <w:r>
        <w:rPr>
          <w:rFonts w:hint="eastAsia" w:ascii="宋体" w:hAnsi="宋体" w:eastAsia="宋体" w:cs="Times New Roman"/>
          <w:color w:val="auto"/>
          <w:szCs w:val="21"/>
          <w:highlight w:val="none"/>
          <w:lang w:eastAsia="zh-CN"/>
        </w:rPr>
        <w:t>，</w:t>
      </w:r>
      <w:r>
        <w:rPr>
          <w:rFonts w:hint="eastAsia" w:ascii="宋体" w:hAnsi="宋体" w:eastAsia="宋体" w:cs="宋体"/>
          <w:szCs w:val="21"/>
        </w:rPr>
        <w:t>并追究乙方的违约责</w:t>
      </w:r>
      <w:r>
        <w:rPr>
          <w:rFonts w:hint="eastAsia" w:ascii="宋体" w:hAnsi="宋体" w:eastAsia="宋体" w:cs="宋体"/>
          <w:szCs w:val="21"/>
          <w:lang w:val="en-US" w:eastAsia="zh-CN"/>
        </w:rPr>
        <w:t>任</w:t>
      </w:r>
      <w:r>
        <w:rPr>
          <w:rFonts w:hint="eastAsia" w:ascii="宋体" w:hAnsi="宋体" w:eastAsia="宋体" w:cs="Times New Roman"/>
          <w:color w:val="auto"/>
          <w:szCs w:val="21"/>
          <w:highlight w:val="none"/>
        </w:rPr>
        <w:t>。</w:t>
      </w:r>
    </w:p>
    <w:p w14:paraId="23E5D8AA">
      <w:pPr>
        <w:autoSpaceDE w:val="0"/>
        <w:autoSpaceDN w:val="0"/>
        <w:adjustRightInd w:val="0"/>
        <w:spacing w:line="400" w:lineRule="exact"/>
        <w:ind w:firstLine="440" w:firstLineChars="200"/>
        <w:outlineLvl w:val="9"/>
        <w:rPr>
          <w:rFonts w:hint="eastAsia" w:ascii="宋体" w:hAnsi="宋体" w:eastAsia="华文楷体" w:cs="华文楷体"/>
          <w:color w:val="auto"/>
          <w:sz w:val="22"/>
          <w:szCs w:val="21"/>
          <w:highlight w:val="none"/>
          <w:lang w:val="en-US" w:eastAsia="zh-CN" w:bidi="ar-SA"/>
        </w:rPr>
      </w:pPr>
      <w:r>
        <w:rPr>
          <w:rFonts w:hint="eastAsia" w:ascii="宋体" w:hAnsi="宋体" w:eastAsia="华文楷体" w:cs="华文楷体"/>
          <w:color w:val="auto"/>
          <w:sz w:val="22"/>
          <w:szCs w:val="21"/>
          <w:highlight w:val="none"/>
          <w:lang w:val="en-US" w:eastAsia="zh-CN" w:bidi="ar-SA"/>
        </w:rPr>
        <w:t xml:space="preserve">16.4 </w:t>
      </w:r>
      <w:r>
        <w:rPr>
          <w:rFonts w:hint="eastAsia" w:ascii="宋体" w:hAnsi="宋体" w:eastAsia="宋体" w:cs="Times New Roman"/>
          <w:color w:val="auto"/>
          <w:kern w:val="2"/>
          <w:sz w:val="21"/>
          <w:szCs w:val="21"/>
          <w:highlight w:val="none"/>
          <w:lang w:val="en-US" w:eastAsia="zh-CN" w:bidi="ar-SA"/>
        </w:rPr>
        <w:t>涉及国家利益、社会公共利益的情形</w:t>
      </w:r>
    </w:p>
    <w:p w14:paraId="5A310C53">
      <w:pPr>
        <w:autoSpaceDE w:val="0"/>
        <w:autoSpaceDN w:val="0"/>
        <w:adjustRightInd w:val="0"/>
        <w:spacing w:line="400" w:lineRule="exact"/>
        <w:ind w:firstLine="420" w:firstLineChars="200"/>
        <w:jc w:val="both"/>
        <w:outlineLvl w:val="9"/>
        <w:rPr>
          <w:rFonts w:ascii="华文楷体" w:hAnsi="华文楷体" w:eastAsia="华文楷体" w:cs="华文楷体"/>
          <w:sz w:val="21"/>
          <w:szCs w:val="21"/>
          <w:lang w:val="en-US" w:eastAsia="zh-CN" w:bidi="ar-SA"/>
        </w:rPr>
      </w:pPr>
      <w:r>
        <w:rPr>
          <w:rFonts w:hint="eastAsia" w:ascii="宋体" w:hAnsi="宋体" w:eastAsia="宋体" w:cs="宋体"/>
          <w:sz w:val="21"/>
          <w:szCs w:val="21"/>
          <w:lang w:val="en-US" w:eastAsia="zh-CN" w:bidi="ar-SA"/>
        </w:rPr>
        <w:t>政府采购合同继续履行将损害国家利益和社会公共利益的，双方当事人</w:t>
      </w:r>
      <w:r>
        <w:rPr>
          <w:rFonts w:hint="eastAsia" w:ascii="宋体" w:hAnsi="宋体" w:eastAsia="宋体" w:cs="宋体"/>
          <w:sz w:val="21"/>
          <w:szCs w:val="21"/>
          <w:highlight w:val="none"/>
          <w:lang w:val="en-US" w:eastAsia="zh-CN" w:bidi="ar-SA"/>
        </w:rPr>
        <w:t>应当变更、</w:t>
      </w:r>
      <w:r>
        <w:rPr>
          <w:rFonts w:hint="eastAsia" w:ascii="宋体" w:hAnsi="宋体" w:eastAsia="宋体" w:cs="宋体"/>
          <w:sz w:val="21"/>
          <w:szCs w:val="21"/>
          <w:lang w:val="en-US" w:eastAsia="zh-CN" w:bidi="ar-SA"/>
        </w:rPr>
        <w:t>中止或者终止合同。有过错的一方应当承担赔偿责任，双方都有过错的，各自承担相应的责任。</w:t>
      </w:r>
    </w:p>
    <w:p w14:paraId="0EE969FF">
      <w:pPr>
        <w:autoSpaceDE w:val="0"/>
        <w:autoSpaceDN w:val="0"/>
        <w:adjustRightInd w:val="0"/>
        <w:snapToGrid w:val="0"/>
        <w:spacing w:before="0" w:line="400" w:lineRule="exact"/>
        <w:jc w:val="left"/>
        <w:outlineLvl w:val="9"/>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1</w:t>
      </w:r>
      <w:r>
        <w:rPr>
          <w:rFonts w:hint="eastAsia" w:ascii="宋体" w:hAnsi="宋体" w:eastAsia="宋体" w:cs="Times New Roman"/>
          <w:b/>
          <w:bCs/>
          <w:color w:val="auto"/>
          <w:sz w:val="24"/>
          <w:szCs w:val="24"/>
          <w:highlight w:val="none"/>
          <w:lang w:val="en-US" w:eastAsia="zh-CN"/>
        </w:rPr>
        <w:t>7</w:t>
      </w:r>
      <w:r>
        <w:rPr>
          <w:rFonts w:hint="eastAsia" w:ascii="宋体" w:hAnsi="宋体" w:eastAsia="宋体" w:cs="Times New Roman"/>
          <w:b/>
          <w:bCs/>
          <w:color w:val="auto"/>
          <w:sz w:val="24"/>
          <w:szCs w:val="24"/>
          <w:highlight w:val="none"/>
        </w:rPr>
        <w:t>.</w:t>
      </w:r>
      <w:r>
        <w:rPr>
          <w:rFonts w:hint="eastAsia" w:ascii="宋体" w:hAnsi="宋体" w:eastAsia="宋体" w:cs="Times New Roman"/>
          <w:b/>
          <w:bCs/>
          <w:color w:val="auto"/>
          <w:sz w:val="24"/>
          <w:szCs w:val="24"/>
          <w:highlight w:val="none"/>
          <w:lang w:val="en-US" w:eastAsia="zh-CN"/>
        </w:rPr>
        <w:t xml:space="preserve"> </w:t>
      </w:r>
      <w:r>
        <w:rPr>
          <w:rFonts w:hint="eastAsia" w:ascii="宋体" w:hAnsi="宋体" w:eastAsia="宋体" w:cs="Times New Roman"/>
          <w:b/>
          <w:bCs/>
          <w:color w:val="auto"/>
          <w:sz w:val="24"/>
          <w:szCs w:val="24"/>
          <w:highlight w:val="none"/>
        </w:rPr>
        <w:t>合同分包</w:t>
      </w:r>
    </w:p>
    <w:p w14:paraId="7B181B93">
      <w:pPr>
        <w:autoSpaceDE w:val="0"/>
        <w:autoSpaceDN w:val="0"/>
        <w:adjustRightInd w:val="0"/>
        <w:snapToGrid w:val="0"/>
        <w:spacing w:before="0" w:line="400" w:lineRule="exact"/>
        <w:ind w:firstLine="420" w:firstLineChars="200"/>
        <w:jc w:val="left"/>
        <w:outlineLvl w:val="9"/>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.1 乙方不得</w:t>
      </w:r>
      <w:r>
        <w:rPr>
          <w:rFonts w:hint="eastAsia" w:ascii="宋体" w:hAnsi="宋体" w:eastAsia="宋体" w:cs="Times New Roman"/>
          <w:color w:val="auto"/>
          <w:szCs w:val="21"/>
          <w:highlight w:val="none"/>
          <w:lang w:eastAsia="zh-CN"/>
        </w:rPr>
        <w:t>将合同转包给其他供应商。涉及合同分包的，乙方</w:t>
      </w:r>
      <w:r>
        <w:rPr>
          <w:rFonts w:hint="eastAsia" w:ascii="宋体" w:hAnsi="宋体" w:eastAsia="宋体" w:cs="Times New Roman"/>
          <w:color w:val="auto"/>
          <w:szCs w:val="21"/>
          <w:highlight w:val="none"/>
          <w:lang w:val="en-US" w:eastAsia="zh-CN"/>
        </w:rPr>
        <w:t>应</w:t>
      </w:r>
      <w:r>
        <w:rPr>
          <w:rFonts w:hint="eastAsia" w:ascii="宋体" w:hAnsi="宋体" w:eastAsia="宋体" w:cs="Times New Roman"/>
          <w:color w:val="auto"/>
          <w:szCs w:val="21"/>
          <w:highlight w:val="none"/>
          <w:lang w:eastAsia="zh-CN"/>
        </w:rPr>
        <w:t>根据采购文件和投标（响应）文件规定进行</w:t>
      </w:r>
      <w:r>
        <w:rPr>
          <w:rFonts w:hint="eastAsia" w:ascii="宋体" w:hAnsi="宋体" w:eastAsia="宋体" w:cs="Times New Roman"/>
          <w:color w:val="auto"/>
          <w:szCs w:val="21"/>
          <w:highlight w:val="none"/>
        </w:rPr>
        <w:t>合同分包。</w:t>
      </w:r>
    </w:p>
    <w:p w14:paraId="61C87CAC">
      <w:pPr>
        <w:autoSpaceDE w:val="0"/>
        <w:autoSpaceDN w:val="0"/>
        <w:adjustRightInd w:val="0"/>
        <w:snapToGrid w:val="0"/>
        <w:spacing w:before="0" w:line="400" w:lineRule="exact"/>
        <w:ind w:firstLine="420" w:firstLineChars="200"/>
        <w:jc w:val="left"/>
        <w:outlineLvl w:val="9"/>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.2 乙方执行政府采购政策向中小企业依法分包的</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乙方应当按采购文件</w:t>
      </w:r>
      <w:r>
        <w:rPr>
          <w:rFonts w:hint="eastAsia" w:ascii="宋体" w:hAnsi="宋体" w:eastAsia="宋体" w:cs="Times New Roman"/>
          <w:color w:val="auto"/>
          <w:szCs w:val="21"/>
          <w:highlight w:val="none"/>
          <w:lang w:eastAsia="zh-CN"/>
        </w:rPr>
        <w:t>和</w:t>
      </w:r>
      <w:r>
        <w:rPr>
          <w:rFonts w:hint="eastAsia" w:ascii="宋体" w:hAnsi="宋体" w:eastAsia="宋体" w:cs="Times New Roman"/>
          <w:color w:val="auto"/>
          <w:szCs w:val="21"/>
          <w:highlight w:val="none"/>
        </w:rPr>
        <w:t>投标（响应）文件签订分包</w:t>
      </w:r>
      <w:r>
        <w:rPr>
          <w:rFonts w:hint="eastAsia" w:ascii="宋体" w:hAnsi="宋体" w:eastAsia="宋体" w:cs="Times New Roman"/>
          <w:color w:val="auto"/>
          <w:szCs w:val="21"/>
          <w:highlight w:val="none"/>
          <w:lang w:eastAsia="zh-CN"/>
        </w:rPr>
        <w:t>意向</w:t>
      </w:r>
      <w:r>
        <w:rPr>
          <w:rFonts w:hint="eastAsia" w:ascii="宋体" w:hAnsi="宋体" w:eastAsia="宋体" w:cs="Times New Roman"/>
          <w:color w:val="auto"/>
          <w:szCs w:val="21"/>
          <w:highlight w:val="none"/>
        </w:rPr>
        <w:t>协议，分包</w:t>
      </w:r>
      <w:r>
        <w:rPr>
          <w:rFonts w:hint="eastAsia" w:ascii="宋体" w:hAnsi="宋体" w:eastAsia="宋体" w:cs="Times New Roman"/>
          <w:color w:val="auto"/>
          <w:szCs w:val="21"/>
          <w:highlight w:val="none"/>
          <w:lang w:eastAsia="zh-CN"/>
        </w:rPr>
        <w:t>意向</w:t>
      </w:r>
      <w:r>
        <w:rPr>
          <w:rFonts w:hint="eastAsia" w:ascii="宋体" w:hAnsi="宋体" w:eastAsia="宋体" w:cs="Times New Roman"/>
          <w:color w:val="auto"/>
          <w:szCs w:val="21"/>
          <w:highlight w:val="none"/>
        </w:rPr>
        <w:t>协议属于本合同组成部分。</w:t>
      </w:r>
    </w:p>
    <w:p w14:paraId="0400D311">
      <w:pPr>
        <w:autoSpaceDE w:val="0"/>
        <w:autoSpaceDN w:val="0"/>
        <w:adjustRightInd w:val="0"/>
        <w:snapToGrid w:val="0"/>
        <w:spacing w:before="0" w:line="400" w:lineRule="exact"/>
        <w:jc w:val="left"/>
        <w:outlineLvl w:val="9"/>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lang w:eastAsia="zh-CN"/>
        </w:rPr>
        <w:t>1</w:t>
      </w:r>
      <w:r>
        <w:rPr>
          <w:rFonts w:hint="eastAsia" w:ascii="宋体" w:hAnsi="宋体" w:eastAsia="宋体" w:cs="Times New Roman"/>
          <w:b/>
          <w:bCs/>
          <w:color w:val="auto"/>
          <w:sz w:val="24"/>
          <w:szCs w:val="24"/>
          <w:highlight w:val="none"/>
          <w:lang w:val="en-US" w:eastAsia="zh-CN"/>
        </w:rPr>
        <w:t>8</w:t>
      </w:r>
      <w:r>
        <w:rPr>
          <w:rFonts w:hint="eastAsia" w:ascii="宋体" w:hAnsi="宋体" w:eastAsia="宋体" w:cs="Times New Roman"/>
          <w:b/>
          <w:bCs/>
          <w:color w:val="auto"/>
          <w:sz w:val="24"/>
          <w:szCs w:val="24"/>
          <w:highlight w:val="none"/>
        </w:rPr>
        <w:t>.</w:t>
      </w:r>
      <w:r>
        <w:rPr>
          <w:rFonts w:hint="eastAsia" w:ascii="宋体" w:hAnsi="宋体" w:eastAsia="宋体" w:cs="Times New Roman"/>
          <w:b/>
          <w:bCs/>
          <w:color w:val="auto"/>
          <w:sz w:val="24"/>
          <w:szCs w:val="24"/>
          <w:highlight w:val="none"/>
          <w:lang w:val="en-US" w:eastAsia="zh-CN"/>
        </w:rPr>
        <w:t xml:space="preserve"> </w:t>
      </w:r>
      <w:r>
        <w:rPr>
          <w:rFonts w:hint="eastAsia" w:ascii="宋体" w:hAnsi="宋体" w:eastAsia="宋体" w:cs="Times New Roman"/>
          <w:b/>
          <w:bCs/>
          <w:color w:val="auto"/>
          <w:sz w:val="24"/>
          <w:szCs w:val="24"/>
          <w:highlight w:val="none"/>
        </w:rPr>
        <w:t>不可抗力</w:t>
      </w:r>
    </w:p>
    <w:p w14:paraId="756E5143">
      <w:pPr>
        <w:autoSpaceDE w:val="0"/>
        <w:autoSpaceDN w:val="0"/>
        <w:adjustRightInd w:val="0"/>
        <w:snapToGrid w:val="0"/>
        <w:spacing w:before="0" w:line="400" w:lineRule="exact"/>
        <w:ind w:firstLine="420" w:firstLineChars="200"/>
        <w:jc w:val="left"/>
        <w:outlineLvl w:val="9"/>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eastAsia="zh-CN"/>
        </w:rPr>
        <w:t>1</w:t>
      </w:r>
      <w:r>
        <w:rPr>
          <w:rFonts w:hint="eastAsia" w:ascii="宋体" w:hAnsi="宋体" w:eastAsia="宋体" w:cs="Times New Roman"/>
          <w:color w:val="auto"/>
          <w:szCs w:val="21"/>
          <w:highlight w:val="none"/>
          <w:lang w:val="en-US" w:eastAsia="zh-CN"/>
        </w:rPr>
        <w:t>8</w:t>
      </w:r>
      <w:r>
        <w:rPr>
          <w:rFonts w:hint="eastAsia" w:ascii="宋体" w:hAnsi="宋体" w:eastAsia="宋体" w:cs="Times New Roman"/>
          <w:color w:val="auto"/>
          <w:szCs w:val="21"/>
          <w:highlight w:val="none"/>
        </w:rPr>
        <w:t>.1 不可抗力是指合同双方不能预见、不能避免且不能克服的客观情况。</w:t>
      </w:r>
    </w:p>
    <w:p w14:paraId="72C9AA98">
      <w:pPr>
        <w:autoSpaceDE w:val="0"/>
        <w:autoSpaceDN w:val="0"/>
        <w:adjustRightInd w:val="0"/>
        <w:snapToGrid w:val="0"/>
        <w:spacing w:before="0" w:line="400" w:lineRule="exact"/>
        <w:ind w:firstLine="420" w:firstLineChars="200"/>
        <w:jc w:val="left"/>
        <w:outlineLvl w:val="9"/>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eastAsia="zh-CN"/>
        </w:rPr>
        <w:t>1</w:t>
      </w:r>
      <w:r>
        <w:rPr>
          <w:rFonts w:hint="eastAsia" w:ascii="宋体" w:hAnsi="宋体" w:eastAsia="宋体" w:cs="Times New Roman"/>
          <w:color w:val="auto"/>
          <w:szCs w:val="21"/>
          <w:highlight w:val="none"/>
          <w:lang w:val="en-US" w:eastAsia="zh-CN"/>
        </w:rPr>
        <w:t>8</w:t>
      </w:r>
      <w:r>
        <w:rPr>
          <w:rFonts w:hint="eastAsia" w:ascii="宋体" w:hAnsi="宋体" w:eastAsia="宋体" w:cs="Times New Roman"/>
          <w:color w:val="auto"/>
          <w:szCs w:val="21"/>
          <w:highlight w:val="none"/>
        </w:rPr>
        <w:t>.2 任何一方对由于不可抗力造成的部分或全部不能履行合同不承担违约责任。但迟延履行后发生不可抗力的，不能免除责任。</w:t>
      </w:r>
    </w:p>
    <w:p w14:paraId="5559948C">
      <w:pPr>
        <w:autoSpaceDE w:val="0"/>
        <w:autoSpaceDN w:val="0"/>
        <w:adjustRightInd w:val="0"/>
        <w:snapToGrid w:val="0"/>
        <w:spacing w:before="0" w:line="400" w:lineRule="exact"/>
        <w:ind w:firstLine="420" w:firstLineChars="200"/>
        <w:jc w:val="left"/>
        <w:outlineLvl w:val="9"/>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eastAsia="zh-CN"/>
        </w:rPr>
        <w:t>1</w:t>
      </w:r>
      <w:r>
        <w:rPr>
          <w:rFonts w:hint="eastAsia" w:ascii="宋体" w:hAnsi="宋体" w:eastAsia="宋体" w:cs="Times New Roman"/>
          <w:color w:val="auto"/>
          <w:szCs w:val="21"/>
          <w:highlight w:val="none"/>
          <w:lang w:val="en-US" w:eastAsia="zh-CN"/>
        </w:rPr>
        <w:t>8</w:t>
      </w:r>
      <w:r>
        <w:rPr>
          <w:rFonts w:hint="eastAsia" w:ascii="宋体" w:hAnsi="宋体" w:eastAsia="宋体" w:cs="Times New Roman"/>
          <w:color w:val="auto"/>
          <w:szCs w:val="21"/>
          <w:highlight w:val="none"/>
        </w:rPr>
        <w:t>.3 遇有不可抗力的一方，应及时将事件情况以书面形式</w:t>
      </w:r>
      <w:r>
        <w:rPr>
          <w:rFonts w:hint="eastAsia" w:ascii="宋体" w:hAnsi="宋体" w:eastAsia="宋体" w:cs="Times New Roman"/>
          <w:color w:val="auto"/>
          <w:szCs w:val="21"/>
          <w:highlight w:val="none"/>
          <w:lang w:eastAsia="zh-CN"/>
        </w:rPr>
        <w:t>告</w:t>
      </w:r>
      <w:r>
        <w:rPr>
          <w:rFonts w:hint="eastAsia" w:ascii="宋体" w:hAnsi="宋体" w:eastAsia="宋体" w:cs="Times New Roman"/>
          <w:color w:val="auto"/>
          <w:szCs w:val="21"/>
          <w:highlight w:val="none"/>
        </w:rPr>
        <w:t>知另一方，并在事件发生后及时向另一方提交合同不能履行或部分不能履行或需要延期履行</w:t>
      </w:r>
      <w:r>
        <w:rPr>
          <w:rFonts w:hint="eastAsia" w:ascii="宋体" w:hAnsi="宋体" w:eastAsia="宋体" w:cs="Times New Roman"/>
          <w:color w:val="auto"/>
          <w:szCs w:val="21"/>
          <w:highlight w:val="none"/>
          <w:lang w:eastAsia="zh-CN"/>
        </w:rPr>
        <w:t>的详细</w:t>
      </w:r>
      <w:r>
        <w:rPr>
          <w:rFonts w:hint="eastAsia" w:ascii="宋体" w:hAnsi="宋体" w:eastAsia="宋体" w:cs="Times New Roman"/>
          <w:color w:val="auto"/>
          <w:szCs w:val="21"/>
          <w:highlight w:val="none"/>
        </w:rPr>
        <w:t>报告</w:t>
      </w:r>
      <w:r>
        <w:rPr>
          <w:rFonts w:hint="eastAsia" w:ascii="宋体" w:hAnsi="宋体" w:eastAsia="宋体" w:cs="Times New Roman"/>
          <w:color w:val="auto"/>
          <w:szCs w:val="21"/>
          <w:highlight w:val="none"/>
          <w:lang w:eastAsia="zh-CN"/>
        </w:rPr>
        <w:t>，以</w:t>
      </w:r>
      <w:r>
        <w:rPr>
          <w:rFonts w:hint="eastAsia" w:ascii="宋体" w:hAnsi="宋体" w:eastAsia="宋体" w:cs="Times New Roman"/>
          <w:color w:val="auto"/>
          <w:szCs w:val="21"/>
          <w:highlight w:val="none"/>
          <w:lang w:val="en-US" w:eastAsia="zh-CN"/>
        </w:rPr>
        <w:t>及证明不可抗力发生及其持续时间的证据</w:t>
      </w:r>
      <w:r>
        <w:rPr>
          <w:rFonts w:hint="eastAsia" w:ascii="宋体" w:hAnsi="宋体" w:eastAsia="宋体" w:cs="Times New Roman"/>
          <w:color w:val="auto"/>
          <w:szCs w:val="21"/>
          <w:highlight w:val="none"/>
        </w:rPr>
        <w:t>。</w:t>
      </w:r>
    </w:p>
    <w:p w14:paraId="5FB33D73">
      <w:pPr>
        <w:autoSpaceDE w:val="0"/>
        <w:autoSpaceDN w:val="0"/>
        <w:adjustRightInd w:val="0"/>
        <w:snapToGrid w:val="0"/>
        <w:spacing w:before="0" w:line="400" w:lineRule="exact"/>
        <w:jc w:val="left"/>
        <w:outlineLvl w:val="9"/>
        <w:rPr>
          <w:rFonts w:hint="eastAsia"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lang w:val="en-US" w:eastAsia="zh-CN"/>
        </w:rPr>
        <w:t>19</w:t>
      </w:r>
      <w:r>
        <w:rPr>
          <w:rFonts w:hint="eastAsia" w:ascii="宋体" w:hAnsi="宋体" w:eastAsia="宋体" w:cs="Times New Roman"/>
          <w:b/>
          <w:bCs/>
          <w:color w:val="auto"/>
          <w:sz w:val="24"/>
          <w:szCs w:val="24"/>
          <w:highlight w:val="none"/>
        </w:rPr>
        <w:t>.</w:t>
      </w:r>
      <w:r>
        <w:rPr>
          <w:rFonts w:hint="eastAsia" w:ascii="宋体" w:hAnsi="宋体" w:eastAsia="宋体" w:cs="Times New Roman"/>
          <w:b/>
          <w:bCs/>
          <w:color w:val="auto"/>
          <w:sz w:val="24"/>
          <w:szCs w:val="24"/>
          <w:highlight w:val="none"/>
          <w:lang w:val="en-US" w:eastAsia="zh-CN"/>
        </w:rPr>
        <w:t xml:space="preserve"> </w:t>
      </w:r>
      <w:r>
        <w:rPr>
          <w:rFonts w:hint="eastAsia" w:ascii="宋体" w:hAnsi="宋体" w:eastAsia="宋体" w:cs="Times New Roman"/>
          <w:b/>
          <w:bCs/>
          <w:color w:val="auto"/>
          <w:sz w:val="24"/>
          <w:szCs w:val="24"/>
          <w:highlight w:val="none"/>
        </w:rPr>
        <w:t>解决争议的方法</w:t>
      </w:r>
    </w:p>
    <w:p w14:paraId="483FE240">
      <w:pPr>
        <w:autoSpaceDE w:val="0"/>
        <w:autoSpaceDN w:val="0"/>
        <w:adjustRightInd w:val="0"/>
        <w:spacing w:line="400" w:lineRule="exact"/>
        <w:ind w:firstLine="420" w:firstLineChars="200"/>
        <w:jc w:val="both"/>
        <w:outlineLvl w:val="9"/>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19.1 因本合同及合同有关事项发生的争议，由甲乙双方友好协商解决。协商不成时，可以向有关组织申请调解。合同一方或双方不愿调解或调解不成的，可以通过仲裁或诉讼的方式解决争议。</w:t>
      </w:r>
    </w:p>
    <w:p w14:paraId="50E8440E">
      <w:pPr>
        <w:autoSpaceDE w:val="0"/>
        <w:autoSpaceDN w:val="0"/>
        <w:adjustRightInd w:val="0"/>
        <w:spacing w:line="400" w:lineRule="exact"/>
        <w:ind w:firstLine="420" w:firstLineChars="200"/>
        <w:jc w:val="both"/>
        <w:outlineLvl w:val="9"/>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19.2 选择仲裁的，应在</w:t>
      </w:r>
      <w:r>
        <w:rPr>
          <w:rFonts w:hint="eastAsia" w:ascii="宋体" w:hAnsi="宋体" w:eastAsia="宋体" w:cs="宋体"/>
          <w:b/>
          <w:bCs/>
          <w:color w:val="auto"/>
          <w:sz w:val="21"/>
          <w:szCs w:val="21"/>
          <w:highlight w:val="none"/>
          <w:lang w:val="en-US" w:eastAsia="zh-CN" w:bidi="ar-SA"/>
        </w:rPr>
        <w:t>【政府采购合同专用条款】</w:t>
      </w:r>
      <w:r>
        <w:rPr>
          <w:rFonts w:hint="eastAsia" w:ascii="宋体" w:hAnsi="宋体" w:eastAsia="宋体" w:cs="宋体"/>
          <w:sz w:val="21"/>
          <w:szCs w:val="21"/>
          <w:lang w:val="en-US" w:eastAsia="zh-CN" w:bidi="ar-SA"/>
        </w:rPr>
        <w:t>中明确仲裁机构及仲裁地；通过诉讼方式解决的，可以在</w:t>
      </w:r>
      <w:r>
        <w:rPr>
          <w:rFonts w:hint="eastAsia" w:ascii="宋体" w:hAnsi="宋体" w:eastAsia="宋体" w:cs="宋体"/>
          <w:b/>
          <w:bCs/>
          <w:color w:val="auto"/>
          <w:sz w:val="21"/>
          <w:szCs w:val="21"/>
          <w:highlight w:val="none"/>
          <w:lang w:val="en-US" w:eastAsia="zh-CN" w:bidi="ar-SA"/>
        </w:rPr>
        <w:t>【政府采购合同专用条款】</w:t>
      </w:r>
      <w:r>
        <w:rPr>
          <w:rFonts w:hint="eastAsia" w:ascii="宋体" w:hAnsi="宋体" w:eastAsia="宋体" w:cs="宋体"/>
          <w:sz w:val="21"/>
          <w:szCs w:val="21"/>
          <w:lang w:val="en-US" w:eastAsia="zh-CN" w:bidi="ar-SA"/>
        </w:rPr>
        <w:t>中进一步约定选择与争议有实际联系的地点的人民法院管辖，但管辖法院的约定不得违反级别管辖和专属管辖的规定。</w:t>
      </w:r>
    </w:p>
    <w:p w14:paraId="05DF21E2">
      <w:pPr>
        <w:autoSpaceDE w:val="0"/>
        <w:autoSpaceDN w:val="0"/>
        <w:adjustRightInd w:val="0"/>
        <w:spacing w:line="400" w:lineRule="exact"/>
        <w:ind w:firstLine="420" w:firstLineChars="200"/>
        <w:jc w:val="both"/>
        <w:outlineLvl w:val="9"/>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19.3 如甲乙双方有争议的事项不影响合同其他部分的履行，在争议解决期间，合同其他部分应当继续履行。</w:t>
      </w:r>
    </w:p>
    <w:p w14:paraId="1CD824E2">
      <w:pPr>
        <w:autoSpaceDE w:val="0"/>
        <w:autoSpaceDN w:val="0"/>
        <w:adjustRightInd w:val="0"/>
        <w:snapToGrid w:val="0"/>
        <w:spacing w:before="0" w:line="400" w:lineRule="exact"/>
        <w:jc w:val="left"/>
        <w:outlineLvl w:val="9"/>
        <w:rPr>
          <w:rFonts w:ascii="宋体" w:hAnsi="宋体" w:eastAsia="宋体" w:cs="Times New Roman"/>
          <w:color w:val="auto"/>
          <w:sz w:val="24"/>
          <w:szCs w:val="24"/>
          <w:highlight w:val="none"/>
        </w:rPr>
      </w:pPr>
      <w:r>
        <w:rPr>
          <w:rFonts w:hint="eastAsia" w:ascii="宋体" w:hAnsi="宋体" w:eastAsia="宋体" w:cs="Times New Roman"/>
          <w:b/>
          <w:color w:val="auto"/>
          <w:sz w:val="24"/>
          <w:szCs w:val="24"/>
          <w:highlight w:val="none"/>
          <w:lang w:val="en-US" w:eastAsia="zh-CN"/>
        </w:rPr>
        <w:t>20</w:t>
      </w:r>
      <w:r>
        <w:rPr>
          <w:rFonts w:hint="eastAsia" w:ascii="宋体" w:hAnsi="宋体" w:eastAsia="宋体" w:cs="Times New Roman"/>
          <w:b/>
          <w:color w:val="auto"/>
          <w:sz w:val="24"/>
          <w:szCs w:val="24"/>
          <w:highlight w:val="none"/>
        </w:rPr>
        <w:t>.</w:t>
      </w:r>
      <w:r>
        <w:rPr>
          <w:rFonts w:hint="eastAsia" w:ascii="宋体" w:hAnsi="宋体" w:eastAsia="宋体" w:cs="Times New Roman"/>
          <w:b/>
          <w:color w:val="auto"/>
          <w:sz w:val="24"/>
          <w:szCs w:val="24"/>
          <w:highlight w:val="none"/>
          <w:lang w:val="en-US" w:eastAsia="zh-CN"/>
        </w:rPr>
        <w:t xml:space="preserve"> </w:t>
      </w:r>
      <w:r>
        <w:rPr>
          <w:rFonts w:hint="eastAsia" w:ascii="宋体" w:hAnsi="宋体" w:eastAsia="宋体" w:cs="Times New Roman"/>
          <w:b/>
          <w:color w:val="auto"/>
          <w:sz w:val="24"/>
          <w:szCs w:val="24"/>
          <w:highlight w:val="none"/>
        </w:rPr>
        <w:t>政府采购政策</w:t>
      </w:r>
    </w:p>
    <w:p w14:paraId="14BCA99B">
      <w:pPr>
        <w:autoSpaceDE w:val="0"/>
        <w:autoSpaceDN w:val="0"/>
        <w:adjustRightInd w:val="0"/>
        <w:snapToGrid w:val="0"/>
        <w:spacing w:before="0" w:line="400" w:lineRule="exact"/>
        <w:ind w:firstLine="420" w:firstLineChars="200"/>
        <w:jc w:val="left"/>
        <w:outlineLvl w:val="9"/>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 xml:space="preserve">20.1 </w:t>
      </w:r>
      <w:r>
        <w:rPr>
          <w:rFonts w:hint="eastAsia" w:ascii="宋体" w:hAnsi="宋体" w:eastAsia="宋体" w:cs="宋体"/>
          <w:szCs w:val="24"/>
          <w:lang w:val="en-GB"/>
        </w:rPr>
        <w:t>本合同应当按照规定执行政府采购政策。</w:t>
      </w:r>
    </w:p>
    <w:p w14:paraId="6B85CD9D">
      <w:pPr>
        <w:autoSpaceDE w:val="0"/>
        <w:autoSpaceDN w:val="0"/>
        <w:adjustRightInd w:val="0"/>
        <w:snapToGrid w:val="0"/>
        <w:spacing w:before="0" w:line="400" w:lineRule="exact"/>
        <w:ind w:firstLine="420" w:firstLineChars="200"/>
        <w:jc w:val="left"/>
        <w:outlineLvl w:val="9"/>
        <w:rPr>
          <w:rFonts w:ascii="宋体" w:hAnsi="宋体" w:eastAsia="宋体" w:cs="Times New Roman"/>
          <w:color w:val="auto"/>
          <w:szCs w:val="21"/>
          <w:highlight w:val="none"/>
        </w:rPr>
      </w:pP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0</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 xml:space="preserve"> 本合同依法执行政府采购政策的方式和内容，属于合同履约验收的范围。</w:t>
      </w:r>
      <w:r>
        <w:rPr>
          <w:rFonts w:hint="eastAsia" w:ascii="宋体" w:hAnsi="宋体" w:eastAsia="宋体" w:cs="宋体"/>
          <w:sz w:val="21"/>
          <w:szCs w:val="24"/>
          <w:lang w:eastAsia="zh-CN"/>
        </w:rPr>
        <w:t>甲乙双方</w:t>
      </w:r>
      <w:r>
        <w:rPr>
          <w:rFonts w:hint="eastAsia" w:ascii="宋体" w:hAnsi="宋体" w:eastAsia="宋体" w:cs="宋体"/>
          <w:szCs w:val="24"/>
          <w:lang w:val="en-GB"/>
        </w:rPr>
        <w:t>未按规定要求执行政府采购政策造成损失的</w:t>
      </w:r>
      <w:r>
        <w:rPr>
          <w:rFonts w:hint="eastAsia" w:ascii="宋体" w:hAnsi="宋体" w:eastAsia="宋体" w:cs="Times New Roman"/>
          <w:color w:val="auto"/>
          <w:szCs w:val="21"/>
          <w:highlight w:val="none"/>
        </w:rPr>
        <w:t>，有过错的一方应当承担赔偿责任，双方都有过错的，各自承担相应的责任。</w:t>
      </w:r>
    </w:p>
    <w:p w14:paraId="1A1AF5E8">
      <w:pPr>
        <w:widowControl w:val="0"/>
        <w:spacing w:after="0" w:line="400" w:lineRule="exact"/>
        <w:ind w:firstLine="420" w:firstLineChars="200"/>
        <w:jc w:val="both"/>
        <w:outlineLvl w:val="9"/>
        <w:rPr>
          <w:rFonts w:ascii="Calibri" w:hAnsi="Calibri" w:eastAsia="宋体" w:cs="Times New Roman"/>
          <w:color w:val="auto"/>
          <w:kern w:val="2"/>
          <w:sz w:val="21"/>
          <w:szCs w:val="22"/>
          <w:highlight w:val="none"/>
          <w:lang w:val="en-US" w:eastAsia="zh-CN" w:bidi="ar-SA"/>
        </w:rPr>
      </w:pPr>
      <w:r>
        <w:rPr>
          <w:rFonts w:ascii="宋体" w:hAnsi="宋体" w:eastAsia="宋体" w:cs="Times New Roman"/>
          <w:color w:val="auto"/>
          <w:kern w:val="2"/>
          <w:sz w:val="21"/>
          <w:szCs w:val="21"/>
          <w:highlight w:val="none"/>
          <w:lang w:val="en-US" w:eastAsia="zh-CN" w:bidi="ar-SA"/>
        </w:rPr>
        <w:t>2</w:t>
      </w:r>
      <w:r>
        <w:rPr>
          <w:rFonts w:hint="eastAsia" w:ascii="宋体" w:hAnsi="宋体" w:eastAsia="宋体" w:cs="Times New Roman"/>
          <w:color w:val="auto"/>
          <w:kern w:val="2"/>
          <w:sz w:val="21"/>
          <w:szCs w:val="21"/>
          <w:highlight w:val="none"/>
          <w:lang w:val="en-US" w:eastAsia="zh-CN" w:bidi="ar-SA"/>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33B4DD7E">
      <w:pPr>
        <w:autoSpaceDE w:val="0"/>
        <w:autoSpaceDN w:val="0"/>
        <w:adjustRightInd w:val="0"/>
        <w:snapToGrid w:val="0"/>
        <w:spacing w:before="0" w:line="400" w:lineRule="exact"/>
        <w:jc w:val="left"/>
        <w:outlineLvl w:val="9"/>
        <w:rPr>
          <w:rFonts w:hint="eastAsia"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2</w:t>
      </w:r>
      <w:r>
        <w:rPr>
          <w:rFonts w:hint="eastAsia" w:ascii="宋体" w:hAnsi="宋体" w:eastAsia="宋体" w:cs="Times New Roman"/>
          <w:b/>
          <w:color w:val="auto"/>
          <w:sz w:val="24"/>
          <w:szCs w:val="24"/>
          <w:highlight w:val="none"/>
          <w:lang w:val="en-US" w:eastAsia="zh-CN"/>
        </w:rPr>
        <w:t>1</w:t>
      </w:r>
      <w:r>
        <w:rPr>
          <w:rFonts w:hint="eastAsia" w:ascii="宋体" w:hAnsi="宋体" w:eastAsia="宋体" w:cs="Times New Roman"/>
          <w:b/>
          <w:color w:val="auto"/>
          <w:sz w:val="24"/>
          <w:szCs w:val="24"/>
          <w:highlight w:val="none"/>
        </w:rPr>
        <w:t>.</w:t>
      </w:r>
      <w:r>
        <w:rPr>
          <w:rFonts w:hint="eastAsia" w:ascii="宋体" w:hAnsi="宋体" w:eastAsia="宋体" w:cs="Times New Roman"/>
          <w:b/>
          <w:color w:val="auto"/>
          <w:sz w:val="24"/>
          <w:szCs w:val="24"/>
          <w:highlight w:val="none"/>
          <w:lang w:val="en-US" w:eastAsia="zh-CN"/>
        </w:rPr>
        <w:t xml:space="preserve"> </w:t>
      </w:r>
      <w:r>
        <w:rPr>
          <w:rFonts w:hint="eastAsia" w:ascii="宋体" w:hAnsi="宋体" w:eastAsia="宋体" w:cs="Times New Roman"/>
          <w:b/>
          <w:color w:val="auto"/>
          <w:sz w:val="24"/>
          <w:szCs w:val="24"/>
          <w:highlight w:val="none"/>
        </w:rPr>
        <w:t>法律适用</w:t>
      </w:r>
    </w:p>
    <w:p w14:paraId="74772C1A">
      <w:pPr>
        <w:autoSpaceDE w:val="0"/>
        <w:autoSpaceDN w:val="0"/>
        <w:adjustRightInd w:val="0"/>
        <w:spacing w:line="400" w:lineRule="exact"/>
        <w:ind w:firstLine="420" w:firstLineChars="200"/>
        <w:jc w:val="both"/>
        <w:outlineLvl w:val="9"/>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21.1 本合同的订立、生效、解释、履行及与本合同有关的争议解决，均适用法律、行政法规。</w:t>
      </w:r>
    </w:p>
    <w:p w14:paraId="216CA1F4">
      <w:pPr>
        <w:autoSpaceDE w:val="0"/>
        <w:autoSpaceDN w:val="0"/>
        <w:adjustRightInd w:val="0"/>
        <w:spacing w:line="400" w:lineRule="exact"/>
        <w:ind w:firstLine="420" w:firstLineChars="200"/>
        <w:jc w:val="both"/>
        <w:outlineLvl w:val="9"/>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21.2 本合同条款与法律、行政法规的强制性规定不一致的，双方当事人应按照法律、行政法规的强制性规定修改本合同的相关条款。</w:t>
      </w:r>
    </w:p>
    <w:p w14:paraId="05B81AF1">
      <w:pPr>
        <w:numPr>
          <w:ilvl w:val="-1"/>
          <w:numId w:val="0"/>
        </w:numPr>
        <w:autoSpaceDE w:val="0"/>
        <w:autoSpaceDN w:val="0"/>
        <w:adjustRightInd w:val="0"/>
        <w:snapToGrid w:val="0"/>
        <w:spacing w:before="0" w:line="400" w:lineRule="exact"/>
        <w:jc w:val="left"/>
        <w:outlineLvl w:val="9"/>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lang w:val="en-US" w:eastAsia="zh-CN"/>
        </w:rPr>
        <w:t xml:space="preserve">22. </w:t>
      </w:r>
      <w:r>
        <w:rPr>
          <w:rFonts w:hint="eastAsia" w:ascii="宋体" w:hAnsi="宋体" w:eastAsia="宋体" w:cs="Times New Roman"/>
          <w:b/>
          <w:color w:val="auto"/>
          <w:sz w:val="24"/>
          <w:szCs w:val="24"/>
          <w:highlight w:val="none"/>
        </w:rPr>
        <w:t>通知</w:t>
      </w:r>
    </w:p>
    <w:p w14:paraId="5CC6F0EB">
      <w:pPr>
        <w:autoSpaceDE w:val="0"/>
        <w:autoSpaceDN w:val="0"/>
        <w:adjustRightInd w:val="0"/>
        <w:spacing w:line="400" w:lineRule="exact"/>
        <w:ind w:firstLine="420" w:firstLineChars="200"/>
        <w:jc w:val="both"/>
        <w:outlineLvl w:val="9"/>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22.1 本合同任何一方向对方发出的通知、信件、数据电文等，应当发送至本合同第一部分《政府采购合同协议书》所约定的通讯地址、联系人、联系电话或电子邮箱。</w:t>
      </w:r>
    </w:p>
    <w:p w14:paraId="5C9ED859">
      <w:pPr>
        <w:autoSpaceDE w:val="0"/>
        <w:autoSpaceDN w:val="0"/>
        <w:adjustRightInd w:val="0"/>
        <w:spacing w:line="400" w:lineRule="exact"/>
        <w:ind w:firstLine="0" w:firstLineChars="0"/>
        <w:jc w:val="both"/>
        <w:outlineLvl w:val="9"/>
        <w:rPr>
          <w:rFonts w:ascii="华文楷体" w:hAnsi="华文楷体" w:eastAsia="华文楷体" w:cs="华文楷体"/>
          <w:sz w:val="21"/>
          <w:szCs w:val="21"/>
          <w:lang w:val="en-US" w:eastAsia="zh-CN" w:bidi="ar-SA"/>
        </w:rPr>
      </w:pPr>
      <w:r>
        <w:rPr>
          <w:rFonts w:hint="eastAsia" w:ascii="宋体" w:hAnsi="宋体" w:eastAsia="宋体" w:cs="宋体"/>
          <w:sz w:val="21"/>
          <w:szCs w:val="21"/>
          <w:lang w:val="en-US" w:eastAsia="zh-CN" w:bidi="ar-SA"/>
        </w:rPr>
        <w:t xml:space="preserve">    22.2 一方当事人变更名称、住所、联系人、联系电话或电子邮箱等信息的，应当在变更后3日内及时书面通知对方，对方实际收到变更通知前的送达仍为有效送达。</w:t>
      </w:r>
    </w:p>
    <w:p w14:paraId="3970F388">
      <w:pPr>
        <w:adjustRightInd w:val="0"/>
        <w:snapToGrid w:val="0"/>
        <w:spacing w:before="0" w:line="400" w:lineRule="exact"/>
        <w:ind w:firstLine="420" w:firstLineChars="200"/>
        <w:jc w:val="left"/>
        <w:outlineLvl w:val="9"/>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本合同一方给另一方的通知均应采用书面形式，传真或快递送到本合同中规定的对方的地址和办理签收手续。</w:t>
      </w:r>
    </w:p>
    <w:p w14:paraId="3BA7D57B">
      <w:pPr>
        <w:adjustRightInd w:val="0"/>
        <w:snapToGrid w:val="0"/>
        <w:spacing w:before="0" w:line="400" w:lineRule="exact"/>
        <w:ind w:firstLine="420" w:firstLineChars="200"/>
        <w:jc w:val="left"/>
        <w:outlineLvl w:val="9"/>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通知以送达之日或通知书中规定的生效之日起生效，两者中以较迟之日为准。</w:t>
      </w:r>
    </w:p>
    <w:p w14:paraId="32F6D040">
      <w:pPr>
        <w:numPr>
          <w:ilvl w:val="0"/>
          <w:numId w:val="22"/>
        </w:numPr>
        <w:adjustRightInd w:val="0"/>
        <w:snapToGrid w:val="0"/>
        <w:spacing w:before="0" w:line="400" w:lineRule="exact"/>
        <w:jc w:val="left"/>
        <w:outlineLvl w:val="9"/>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合同未尽事项</w:t>
      </w:r>
    </w:p>
    <w:p w14:paraId="7DB84D62">
      <w:pPr>
        <w:adjustRightInd w:val="0"/>
        <w:snapToGrid w:val="0"/>
        <w:spacing w:before="0" w:line="400" w:lineRule="exact"/>
        <w:ind w:firstLine="420" w:firstLineChars="200"/>
        <w:jc w:val="left"/>
        <w:outlineLvl w:val="9"/>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2</w:t>
      </w:r>
      <w:r>
        <w:rPr>
          <w:rFonts w:hint="eastAsia" w:ascii="宋体" w:hAnsi="宋体" w:eastAsia="宋体" w:cs="Times New Roman"/>
          <w:bCs/>
          <w:color w:val="auto"/>
          <w:szCs w:val="21"/>
          <w:highlight w:val="none"/>
          <w:lang w:val="en-US" w:eastAsia="zh-CN"/>
        </w:rPr>
        <w:t>3</w:t>
      </w:r>
      <w:r>
        <w:rPr>
          <w:rFonts w:hint="eastAsia" w:ascii="宋体" w:hAnsi="宋体" w:eastAsia="宋体" w:cs="Times New Roman"/>
          <w:bCs/>
          <w:color w:val="auto"/>
          <w:szCs w:val="21"/>
          <w:highlight w:val="none"/>
        </w:rPr>
        <w:t>.1合同未尽事项见</w:t>
      </w:r>
      <w:r>
        <w:rPr>
          <w:rFonts w:hint="eastAsia" w:ascii="宋体" w:hAnsi="宋体" w:eastAsia="宋体" w:cs="Times New Roman"/>
          <w:b/>
          <w:color w:val="auto"/>
          <w:szCs w:val="21"/>
          <w:highlight w:val="none"/>
        </w:rPr>
        <w:t>【政府采购合同专用条款】</w:t>
      </w:r>
      <w:r>
        <w:rPr>
          <w:rFonts w:hint="eastAsia" w:ascii="宋体" w:hAnsi="宋体" w:eastAsia="宋体" w:cs="Times New Roman"/>
          <w:bCs/>
          <w:color w:val="auto"/>
          <w:szCs w:val="21"/>
          <w:highlight w:val="none"/>
        </w:rPr>
        <w:t>。</w:t>
      </w:r>
    </w:p>
    <w:p w14:paraId="607F7DDA">
      <w:pPr>
        <w:adjustRightInd w:val="0"/>
        <w:snapToGrid w:val="0"/>
        <w:spacing w:line="400" w:lineRule="exact"/>
        <w:ind w:firstLine="0" w:firstLineChars="0"/>
        <w:jc w:val="left"/>
        <w:outlineLvl w:val="9"/>
        <w:rPr>
          <w:rFonts w:ascii="黑体" w:hAnsi="华文中宋" w:eastAsia="黑体" w:cs="Times New Roman"/>
          <w:color w:val="auto"/>
          <w:sz w:val="28"/>
          <w:szCs w:val="28"/>
        </w:rPr>
      </w:pPr>
      <w:r>
        <w:rPr>
          <w:rFonts w:hint="eastAsia" w:ascii="宋体" w:hAnsi="宋体" w:eastAsia="宋体" w:cs="Times New Roman"/>
          <w:bCs/>
          <w:color w:val="auto"/>
          <w:szCs w:val="21"/>
          <w:highlight w:val="none"/>
          <w:lang w:val="en-US" w:eastAsia="zh-CN"/>
        </w:rPr>
        <w:t xml:space="preserve">    23.2 合同附件与合同正文具有同等的法律效力。</w:t>
      </w:r>
      <w:bookmarkStart w:id="134" w:name="_Toc20313"/>
    </w:p>
    <w:p w14:paraId="4F819783">
      <w:pPr>
        <w:adjustRightInd w:val="0"/>
        <w:snapToGrid w:val="0"/>
        <w:jc w:val="center"/>
        <w:outlineLvl w:val="9"/>
        <w:rPr>
          <w:rFonts w:hint="eastAsia" w:ascii="黑体" w:hAnsi="华文中宋" w:eastAsia="黑体" w:cs="Times New Roman"/>
          <w:b w:val="0"/>
          <w:bCs w:val="0"/>
          <w:sz w:val="28"/>
          <w:szCs w:val="28"/>
        </w:rPr>
      </w:pPr>
      <w:r>
        <w:rPr>
          <w:rFonts w:hint="eastAsia" w:ascii="黑体" w:hAnsi="华文中宋" w:eastAsia="黑体" w:cs="Times New Roman"/>
          <w:b w:val="0"/>
          <w:bCs w:val="0"/>
          <w:sz w:val="28"/>
          <w:szCs w:val="28"/>
        </w:rPr>
        <w:br w:type="page"/>
      </w:r>
    </w:p>
    <w:p w14:paraId="6237779A">
      <w:pPr>
        <w:keepNext/>
        <w:keepLines/>
        <w:widowControl w:val="0"/>
        <w:adjustRightInd w:val="0"/>
        <w:snapToGrid w:val="0"/>
        <w:spacing w:line="360" w:lineRule="auto"/>
        <w:jc w:val="center"/>
        <w:outlineLvl w:val="9"/>
        <w:rPr>
          <w:rFonts w:ascii="黑体" w:hAnsi="华文中宋" w:eastAsia="黑体" w:cs="Times New Roman"/>
          <w:b w:val="0"/>
          <w:bCs w:val="0"/>
          <w:kern w:val="2"/>
          <w:sz w:val="28"/>
          <w:szCs w:val="28"/>
          <w:lang w:val="en-US" w:eastAsia="zh-CN" w:bidi="ar-SA"/>
        </w:rPr>
      </w:pPr>
      <w:r>
        <w:rPr>
          <w:rFonts w:hint="eastAsia" w:ascii="黑体" w:hAnsi="华文中宋" w:eastAsia="黑体" w:cs="Times New Roman"/>
          <w:b w:val="0"/>
          <w:bCs w:val="0"/>
          <w:kern w:val="2"/>
          <w:sz w:val="28"/>
          <w:szCs w:val="28"/>
          <w:lang w:val="en-US" w:eastAsia="zh-CN" w:bidi="ar-SA"/>
        </w:rPr>
        <w:t>第三节 政府采购合同专用条款</w:t>
      </w:r>
      <w:bookmarkEnd w:id="134"/>
    </w:p>
    <w:tbl>
      <w:tblPr>
        <w:tblStyle w:val="46"/>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65C2BDC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3D7AC88">
            <w:pPr>
              <w:adjustRightInd w:val="0"/>
              <w:snapToGrid w:val="0"/>
              <w:jc w:val="center"/>
              <w:outlineLvl w:val="9"/>
              <w:rPr>
                <w:rFonts w:ascii="宋体" w:hAnsi="宋体" w:eastAsia="宋体" w:cs="Times New Roman"/>
                <w:szCs w:val="21"/>
              </w:rPr>
            </w:pPr>
            <w:r>
              <w:rPr>
                <w:rFonts w:hint="eastAsia" w:ascii="宋体" w:hAnsi="宋体" w:eastAsia="宋体" w:cs="Times New Roman"/>
                <w:szCs w:val="21"/>
              </w:rPr>
              <w:t>第二节</w:t>
            </w:r>
          </w:p>
          <w:p w14:paraId="72067A0E">
            <w:pPr>
              <w:adjustRightInd w:val="0"/>
              <w:snapToGrid w:val="0"/>
              <w:jc w:val="center"/>
              <w:outlineLvl w:val="9"/>
              <w:rPr>
                <w:rFonts w:ascii="宋体" w:hAnsi="宋体" w:eastAsia="宋体" w:cs="Times New Roman"/>
                <w:szCs w:val="21"/>
              </w:rPr>
            </w:pPr>
            <w:r>
              <w:rPr>
                <w:rFonts w:hint="eastAsia" w:ascii="宋体" w:hAnsi="宋体" w:eastAsia="宋体" w:cs="Times New Roman"/>
                <w:szCs w:val="21"/>
              </w:rPr>
              <w:t>第1.2（</w:t>
            </w:r>
            <w:r>
              <w:rPr>
                <w:rFonts w:hint="eastAsia" w:ascii="宋体" w:hAnsi="宋体" w:eastAsia="宋体" w:cs="Times New Roman"/>
                <w:szCs w:val="21"/>
                <w:lang w:val="en-US" w:eastAsia="zh-CN"/>
              </w:rPr>
              <w:t>6</w:t>
            </w:r>
            <w:r>
              <w:rPr>
                <w:rFonts w:hint="eastAsia" w:ascii="宋体" w:hAnsi="宋体" w:eastAsia="宋体" w:cs="Times New Roman"/>
                <w:szCs w:val="21"/>
              </w:rPr>
              <w:t>）项</w:t>
            </w:r>
          </w:p>
        </w:tc>
        <w:tc>
          <w:tcPr>
            <w:tcW w:w="1742" w:type="dxa"/>
            <w:vAlign w:val="center"/>
          </w:tcPr>
          <w:p w14:paraId="72021B85">
            <w:pPr>
              <w:adjustRightInd w:val="0"/>
              <w:snapToGrid w:val="0"/>
              <w:jc w:val="left"/>
              <w:outlineLvl w:val="9"/>
              <w:rPr>
                <w:rFonts w:ascii="宋体" w:hAnsi="宋体" w:eastAsia="宋体" w:cs="Times New Roman"/>
                <w:szCs w:val="21"/>
              </w:rPr>
            </w:pPr>
            <w:r>
              <w:rPr>
                <w:rFonts w:hint="eastAsia" w:ascii="宋体" w:hAnsi="宋体" w:eastAsia="宋体" w:cs="Times New Roman"/>
                <w:szCs w:val="21"/>
                <w:lang w:eastAsia="zh-CN"/>
              </w:rPr>
              <w:t>联合体具体要求</w:t>
            </w:r>
          </w:p>
        </w:tc>
        <w:tc>
          <w:tcPr>
            <w:tcW w:w="5170" w:type="dxa"/>
            <w:vAlign w:val="center"/>
          </w:tcPr>
          <w:p w14:paraId="6160258E">
            <w:pPr>
              <w:adjustRightInd w:val="0"/>
              <w:snapToGrid w:val="0"/>
              <w:jc w:val="left"/>
              <w:outlineLvl w:val="9"/>
              <w:rPr>
                <w:rFonts w:ascii="宋体" w:hAnsi="宋体" w:eastAsia="宋体" w:cs="Times New Roman"/>
                <w:szCs w:val="21"/>
              </w:rPr>
            </w:pPr>
          </w:p>
        </w:tc>
      </w:tr>
      <w:tr w14:paraId="339A389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43366461">
            <w:pPr>
              <w:adjustRightInd w:val="0"/>
              <w:snapToGrid w:val="0"/>
              <w:jc w:val="center"/>
              <w:outlineLvl w:val="9"/>
              <w:rPr>
                <w:rFonts w:ascii="宋体" w:hAnsi="宋体" w:eastAsia="宋体" w:cs="Times New Roman"/>
                <w:szCs w:val="21"/>
              </w:rPr>
            </w:pPr>
            <w:r>
              <w:rPr>
                <w:rFonts w:hint="eastAsia" w:ascii="宋体" w:hAnsi="宋体" w:eastAsia="宋体" w:cs="Times New Roman"/>
                <w:szCs w:val="21"/>
              </w:rPr>
              <w:t>第二节</w:t>
            </w:r>
          </w:p>
          <w:p w14:paraId="162EA3EA">
            <w:pPr>
              <w:adjustRightInd w:val="0"/>
              <w:snapToGrid w:val="0"/>
              <w:jc w:val="center"/>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szCs w:val="21"/>
              </w:rPr>
              <w:t>第1.2（</w:t>
            </w:r>
            <w:r>
              <w:rPr>
                <w:rFonts w:hint="eastAsia" w:ascii="宋体" w:hAnsi="宋体" w:eastAsia="宋体" w:cs="Times New Roman"/>
                <w:szCs w:val="21"/>
                <w:lang w:val="en-US" w:eastAsia="zh-CN"/>
              </w:rPr>
              <w:t>7</w:t>
            </w:r>
            <w:r>
              <w:rPr>
                <w:rFonts w:hint="eastAsia" w:ascii="宋体" w:hAnsi="宋体" w:eastAsia="宋体" w:cs="Times New Roman"/>
                <w:szCs w:val="21"/>
              </w:rPr>
              <w:t>）项</w:t>
            </w:r>
          </w:p>
        </w:tc>
        <w:tc>
          <w:tcPr>
            <w:tcW w:w="1742" w:type="dxa"/>
            <w:vAlign w:val="center"/>
          </w:tcPr>
          <w:p w14:paraId="5C0F0111">
            <w:pPr>
              <w:adjustRightInd w:val="0"/>
              <w:snapToGrid w:val="0"/>
              <w:jc w:val="left"/>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szCs w:val="21"/>
              </w:rPr>
              <w:t>其他术语解释</w:t>
            </w:r>
          </w:p>
        </w:tc>
        <w:tc>
          <w:tcPr>
            <w:tcW w:w="5170" w:type="dxa"/>
            <w:vAlign w:val="center"/>
          </w:tcPr>
          <w:p w14:paraId="2D864D71">
            <w:pPr>
              <w:adjustRightInd w:val="0"/>
              <w:snapToGrid w:val="0"/>
              <w:jc w:val="left"/>
              <w:outlineLvl w:val="9"/>
              <w:rPr>
                <w:rFonts w:ascii="宋体" w:hAnsi="宋体" w:eastAsia="宋体" w:cs="Times New Roman"/>
                <w:kern w:val="2"/>
                <w:sz w:val="21"/>
                <w:szCs w:val="21"/>
                <w:lang w:val="en-US" w:eastAsia="zh-CN" w:bidi="ar-SA"/>
              </w:rPr>
            </w:pPr>
          </w:p>
        </w:tc>
      </w:tr>
      <w:tr w14:paraId="22D5C1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FD1315A">
            <w:pPr>
              <w:adjustRightInd w:val="0"/>
              <w:snapToGrid w:val="0"/>
              <w:jc w:val="center"/>
              <w:outlineLvl w:val="9"/>
              <w:rPr>
                <w:rFonts w:ascii="宋体" w:hAnsi="宋体" w:eastAsia="宋体" w:cs="Times New Roman"/>
                <w:szCs w:val="21"/>
              </w:rPr>
            </w:pPr>
            <w:r>
              <w:rPr>
                <w:rFonts w:hint="eastAsia" w:ascii="宋体" w:hAnsi="宋体" w:eastAsia="宋体" w:cs="Times New Roman"/>
                <w:szCs w:val="21"/>
              </w:rPr>
              <w:t>第二节</w:t>
            </w:r>
          </w:p>
          <w:p w14:paraId="4BBFB014">
            <w:pPr>
              <w:adjustRightInd w:val="0"/>
              <w:snapToGrid w:val="0"/>
              <w:jc w:val="center"/>
              <w:outlineLvl w:val="9"/>
              <w:rPr>
                <w:rFonts w:hint="default" w:ascii="宋体" w:hAnsi="宋体" w:eastAsia="宋体" w:cs="Times New Roman"/>
                <w:szCs w:val="21"/>
                <w:lang w:val="en-US" w:eastAsia="zh-CN"/>
              </w:rPr>
            </w:pPr>
            <w:r>
              <w:rPr>
                <w:rFonts w:hint="eastAsia" w:ascii="宋体" w:hAnsi="宋体" w:eastAsia="宋体" w:cs="Times New Roman"/>
                <w:szCs w:val="21"/>
                <w:lang w:eastAsia="zh-CN"/>
              </w:rPr>
              <w:t>第</w:t>
            </w:r>
            <w:r>
              <w:rPr>
                <w:rFonts w:hint="eastAsia" w:ascii="宋体" w:hAnsi="宋体" w:eastAsia="宋体" w:cs="Times New Roman"/>
                <w:szCs w:val="21"/>
                <w:lang w:val="en-US" w:eastAsia="zh-CN"/>
              </w:rPr>
              <w:t>4.4款</w:t>
            </w:r>
          </w:p>
        </w:tc>
        <w:tc>
          <w:tcPr>
            <w:tcW w:w="1742" w:type="dxa"/>
            <w:vAlign w:val="center"/>
          </w:tcPr>
          <w:p w14:paraId="0CB89531">
            <w:pPr>
              <w:adjustRightInd w:val="0"/>
              <w:snapToGrid w:val="0"/>
              <w:jc w:val="left"/>
              <w:outlineLvl w:val="9"/>
              <w:rPr>
                <w:rFonts w:hint="eastAsia" w:ascii="宋体" w:hAnsi="宋体" w:eastAsia="宋体" w:cs="Times New Roman"/>
                <w:szCs w:val="21"/>
                <w:lang w:eastAsia="zh-CN"/>
              </w:rPr>
            </w:pPr>
            <w:r>
              <w:rPr>
                <w:rFonts w:hint="eastAsia" w:ascii="宋体" w:hAnsi="宋体" w:eastAsia="宋体" w:cs="Times New Roman"/>
                <w:szCs w:val="21"/>
                <w:lang w:eastAsia="zh-CN"/>
              </w:rPr>
              <w:t>履约验收中甲方提出异议或作出说明的期限</w:t>
            </w:r>
          </w:p>
        </w:tc>
        <w:tc>
          <w:tcPr>
            <w:tcW w:w="5170" w:type="dxa"/>
            <w:vAlign w:val="center"/>
          </w:tcPr>
          <w:p w14:paraId="20CCF50B">
            <w:pPr>
              <w:adjustRightInd w:val="0"/>
              <w:snapToGrid w:val="0"/>
              <w:jc w:val="left"/>
              <w:outlineLvl w:val="9"/>
              <w:rPr>
                <w:rFonts w:ascii="宋体" w:hAnsi="宋体" w:eastAsia="宋体" w:cs="Times New Roman"/>
                <w:kern w:val="2"/>
                <w:sz w:val="21"/>
                <w:szCs w:val="21"/>
                <w:lang w:val="en-US" w:eastAsia="zh-CN" w:bidi="ar-SA"/>
              </w:rPr>
            </w:pPr>
          </w:p>
        </w:tc>
      </w:tr>
      <w:tr w14:paraId="231D00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A6744D3">
            <w:pPr>
              <w:adjustRightInd w:val="0"/>
              <w:snapToGrid w:val="0"/>
              <w:jc w:val="center"/>
              <w:outlineLvl w:val="9"/>
              <w:rPr>
                <w:rFonts w:ascii="宋体" w:hAnsi="宋体" w:eastAsia="宋体" w:cs="Times New Roman"/>
                <w:szCs w:val="21"/>
              </w:rPr>
            </w:pPr>
            <w:r>
              <w:rPr>
                <w:rFonts w:hint="eastAsia" w:ascii="宋体" w:hAnsi="宋体" w:eastAsia="宋体" w:cs="Times New Roman"/>
                <w:szCs w:val="21"/>
              </w:rPr>
              <w:t>第二节</w:t>
            </w:r>
          </w:p>
          <w:p w14:paraId="2852D506">
            <w:pPr>
              <w:adjustRightInd w:val="0"/>
              <w:snapToGrid w:val="0"/>
              <w:jc w:val="center"/>
              <w:outlineLvl w:val="9"/>
              <w:rPr>
                <w:rFonts w:hint="eastAsia" w:ascii="宋体" w:hAnsi="宋体" w:eastAsia="宋体" w:cs="Times New Roman"/>
                <w:szCs w:val="21"/>
              </w:rPr>
            </w:pPr>
            <w:r>
              <w:rPr>
                <w:rFonts w:hint="eastAsia" w:ascii="宋体" w:hAnsi="宋体" w:eastAsia="宋体" w:cs="Times New Roman"/>
                <w:szCs w:val="21"/>
                <w:lang w:eastAsia="zh-CN"/>
              </w:rPr>
              <w:t>第</w:t>
            </w:r>
            <w:r>
              <w:rPr>
                <w:rFonts w:hint="eastAsia" w:ascii="宋体" w:hAnsi="宋体" w:eastAsia="宋体" w:cs="Times New Roman"/>
                <w:szCs w:val="21"/>
                <w:lang w:val="en-US" w:eastAsia="zh-CN"/>
              </w:rPr>
              <w:t>4.6款</w:t>
            </w:r>
          </w:p>
        </w:tc>
        <w:tc>
          <w:tcPr>
            <w:tcW w:w="1742" w:type="dxa"/>
            <w:vAlign w:val="center"/>
          </w:tcPr>
          <w:p w14:paraId="18FCBA7A">
            <w:pPr>
              <w:adjustRightInd w:val="0"/>
              <w:snapToGrid w:val="0"/>
              <w:jc w:val="left"/>
              <w:outlineLvl w:val="9"/>
              <w:rPr>
                <w:rFonts w:hint="eastAsia" w:ascii="宋体" w:hAnsi="宋体" w:eastAsia="宋体" w:cs="Times New Roman"/>
                <w:szCs w:val="21"/>
                <w:lang w:eastAsia="zh-CN"/>
              </w:rPr>
            </w:pPr>
            <w:r>
              <w:rPr>
                <w:rFonts w:hint="eastAsia" w:ascii="宋体" w:hAnsi="宋体" w:eastAsia="宋体" w:cs="Times New Roman"/>
                <w:szCs w:val="21"/>
                <w:lang w:eastAsia="zh-CN"/>
              </w:rPr>
              <w:t>约定甲方承担的其他义务和责任</w:t>
            </w:r>
          </w:p>
        </w:tc>
        <w:tc>
          <w:tcPr>
            <w:tcW w:w="5170" w:type="dxa"/>
            <w:vAlign w:val="center"/>
          </w:tcPr>
          <w:p w14:paraId="41D5CDB1">
            <w:pPr>
              <w:adjustRightInd w:val="0"/>
              <w:snapToGrid w:val="0"/>
              <w:jc w:val="left"/>
              <w:outlineLvl w:val="9"/>
              <w:rPr>
                <w:rFonts w:ascii="宋体" w:hAnsi="宋体" w:eastAsia="宋体" w:cs="Times New Roman"/>
                <w:kern w:val="2"/>
                <w:sz w:val="21"/>
                <w:szCs w:val="21"/>
                <w:lang w:val="en-US" w:eastAsia="zh-CN" w:bidi="ar-SA"/>
              </w:rPr>
            </w:pPr>
          </w:p>
        </w:tc>
      </w:tr>
      <w:tr w14:paraId="046145D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BD9ED26">
            <w:pPr>
              <w:adjustRightInd w:val="0"/>
              <w:snapToGrid w:val="0"/>
              <w:jc w:val="center"/>
              <w:outlineLvl w:val="9"/>
              <w:rPr>
                <w:rFonts w:hint="eastAsia" w:ascii="宋体" w:hAnsi="宋体" w:eastAsia="宋体" w:cs="Times New Roman"/>
                <w:szCs w:val="21"/>
                <w:lang w:eastAsia="zh-CN"/>
              </w:rPr>
            </w:pPr>
            <w:r>
              <w:rPr>
                <w:rFonts w:hint="eastAsia" w:ascii="宋体" w:hAnsi="宋体" w:eastAsia="宋体" w:cs="Times New Roman"/>
                <w:szCs w:val="21"/>
                <w:lang w:eastAsia="zh-CN"/>
              </w:rPr>
              <w:t>第二节</w:t>
            </w:r>
          </w:p>
          <w:p w14:paraId="632AA9AC">
            <w:pPr>
              <w:snapToGrid w:val="0"/>
              <w:jc w:val="center"/>
              <w:outlineLvl w:val="9"/>
              <w:rPr>
                <w:rFonts w:hint="default" w:ascii="Times New Roman" w:hAnsi="Times New Roman" w:eastAsia="宋体" w:cs="Times New Roman"/>
                <w:szCs w:val="24"/>
                <w:lang w:val="en-US" w:eastAsia="zh-CN"/>
              </w:rPr>
            </w:pPr>
            <w:r>
              <w:rPr>
                <w:rFonts w:hint="eastAsia" w:ascii="宋体" w:hAnsi="宋体" w:eastAsia="宋体" w:cs="Times New Roman"/>
                <w:szCs w:val="21"/>
                <w:lang w:eastAsia="zh-CN"/>
              </w:rPr>
              <w:t>第</w:t>
            </w:r>
            <w:r>
              <w:rPr>
                <w:rFonts w:hint="eastAsia" w:ascii="宋体" w:hAnsi="宋体" w:eastAsia="宋体" w:cs="Times New Roman"/>
                <w:szCs w:val="21"/>
                <w:lang w:val="en-US" w:eastAsia="zh-CN"/>
              </w:rPr>
              <w:t>5.4款</w:t>
            </w:r>
          </w:p>
        </w:tc>
        <w:tc>
          <w:tcPr>
            <w:tcW w:w="1742" w:type="dxa"/>
            <w:vAlign w:val="center"/>
          </w:tcPr>
          <w:p w14:paraId="59D15F6F">
            <w:pPr>
              <w:adjustRightInd w:val="0"/>
              <w:snapToGrid w:val="0"/>
              <w:jc w:val="left"/>
              <w:outlineLvl w:val="9"/>
              <w:rPr>
                <w:rFonts w:hint="eastAsia" w:ascii="宋体" w:hAnsi="宋体" w:eastAsia="宋体" w:cs="Times New Roman"/>
                <w:szCs w:val="21"/>
                <w:lang w:eastAsia="zh-CN"/>
              </w:rPr>
            </w:pPr>
            <w:r>
              <w:rPr>
                <w:rFonts w:hint="eastAsia" w:ascii="宋体" w:hAnsi="宋体" w:eastAsia="宋体" w:cs="Times New Roman"/>
                <w:szCs w:val="21"/>
                <w:lang w:eastAsia="zh-CN"/>
              </w:rPr>
              <w:t>约定乙方承担的其他义务和责任</w:t>
            </w:r>
          </w:p>
        </w:tc>
        <w:tc>
          <w:tcPr>
            <w:tcW w:w="5170" w:type="dxa"/>
            <w:vAlign w:val="center"/>
          </w:tcPr>
          <w:p w14:paraId="47B46B75">
            <w:pPr>
              <w:adjustRightInd w:val="0"/>
              <w:snapToGrid w:val="0"/>
              <w:jc w:val="left"/>
              <w:outlineLvl w:val="9"/>
              <w:rPr>
                <w:rFonts w:ascii="宋体" w:hAnsi="宋体" w:eastAsia="宋体" w:cs="Times New Roman"/>
                <w:kern w:val="2"/>
                <w:sz w:val="21"/>
                <w:szCs w:val="21"/>
                <w:lang w:val="en-US" w:eastAsia="zh-CN" w:bidi="ar-SA"/>
              </w:rPr>
            </w:pPr>
          </w:p>
        </w:tc>
      </w:tr>
      <w:tr w14:paraId="074537F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50A6051">
            <w:pPr>
              <w:adjustRightInd w:val="0"/>
              <w:snapToGrid w:val="0"/>
              <w:jc w:val="center"/>
              <w:outlineLvl w:val="9"/>
              <w:rPr>
                <w:rFonts w:hint="eastAsia" w:ascii="宋体" w:hAnsi="宋体" w:eastAsia="宋体" w:cs="Times New Roman"/>
                <w:szCs w:val="21"/>
                <w:lang w:eastAsia="zh-CN"/>
              </w:rPr>
            </w:pPr>
            <w:r>
              <w:rPr>
                <w:rFonts w:hint="eastAsia" w:ascii="宋体" w:hAnsi="宋体" w:eastAsia="宋体" w:cs="Times New Roman"/>
                <w:szCs w:val="21"/>
                <w:lang w:eastAsia="zh-CN"/>
              </w:rPr>
              <w:t>第二节</w:t>
            </w:r>
          </w:p>
          <w:p w14:paraId="4B52CA92">
            <w:pPr>
              <w:snapToGrid w:val="0"/>
              <w:jc w:val="center"/>
              <w:outlineLvl w:val="9"/>
              <w:rPr>
                <w:rFonts w:hint="eastAsia" w:ascii="宋体" w:hAnsi="宋体" w:eastAsia="宋体" w:cs="Times New Roman"/>
                <w:szCs w:val="21"/>
                <w:lang w:eastAsia="zh-CN"/>
              </w:rPr>
            </w:pPr>
            <w:r>
              <w:rPr>
                <w:rFonts w:hint="eastAsia" w:ascii="宋体" w:hAnsi="宋体" w:eastAsia="宋体" w:cs="Times New Roman"/>
                <w:szCs w:val="21"/>
                <w:lang w:eastAsia="zh-CN"/>
              </w:rPr>
              <w:t>第</w:t>
            </w:r>
            <w:r>
              <w:rPr>
                <w:rFonts w:hint="eastAsia" w:ascii="宋体" w:hAnsi="宋体" w:eastAsia="宋体" w:cs="Times New Roman"/>
                <w:szCs w:val="21"/>
                <w:lang w:val="en-US" w:eastAsia="zh-CN"/>
              </w:rPr>
              <w:t>6.1款</w:t>
            </w:r>
          </w:p>
        </w:tc>
        <w:tc>
          <w:tcPr>
            <w:tcW w:w="1742" w:type="dxa"/>
            <w:vAlign w:val="center"/>
          </w:tcPr>
          <w:p w14:paraId="67BD621E">
            <w:pPr>
              <w:adjustRightInd w:val="0"/>
              <w:snapToGrid w:val="0"/>
              <w:jc w:val="left"/>
              <w:outlineLvl w:val="9"/>
              <w:rPr>
                <w:rFonts w:hint="eastAsia" w:ascii="宋体" w:hAnsi="宋体" w:eastAsia="宋体" w:cs="Times New Roman"/>
                <w:szCs w:val="21"/>
                <w:lang w:eastAsia="zh-CN"/>
              </w:rPr>
            </w:pPr>
            <w:r>
              <w:rPr>
                <w:rFonts w:hint="eastAsia" w:ascii="宋体" w:hAnsi="宋体" w:eastAsia="宋体" w:cs="Times New Roman"/>
                <w:szCs w:val="21"/>
                <w:lang w:eastAsia="zh-CN"/>
              </w:rPr>
              <w:t>履行合同义务的顺序</w:t>
            </w:r>
          </w:p>
        </w:tc>
        <w:tc>
          <w:tcPr>
            <w:tcW w:w="5170" w:type="dxa"/>
            <w:vAlign w:val="center"/>
          </w:tcPr>
          <w:p w14:paraId="75A3D0A2">
            <w:pPr>
              <w:adjustRightInd w:val="0"/>
              <w:snapToGrid w:val="0"/>
              <w:jc w:val="left"/>
              <w:outlineLvl w:val="9"/>
              <w:rPr>
                <w:rFonts w:ascii="宋体" w:hAnsi="宋体" w:eastAsia="宋体" w:cs="Times New Roman"/>
                <w:kern w:val="2"/>
                <w:sz w:val="21"/>
                <w:szCs w:val="21"/>
                <w:lang w:val="en-US" w:eastAsia="zh-CN" w:bidi="ar-SA"/>
              </w:rPr>
            </w:pPr>
          </w:p>
        </w:tc>
      </w:tr>
      <w:tr w14:paraId="3A20A7B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0EE5BD10">
            <w:pPr>
              <w:adjustRightInd w:val="0"/>
              <w:snapToGrid w:val="0"/>
              <w:jc w:val="center"/>
              <w:outlineLvl w:val="9"/>
              <w:rPr>
                <w:rFonts w:ascii="宋体" w:hAnsi="宋体" w:eastAsia="宋体" w:cs="Times New Roman"/>
                <w:szCs w:val="21"/>
              </w:rPr>
            </w:pPr>
            <w:r>
              <w:rPr>
                <w:rFonts w:hint="eastAsia" w:ascii="宋体" w:hAnsi="宋体" w:eastAsia="宋体" w:cs="Times New Roman"/>
                <w:szCs w:val="21"/>
              </w:rPr>
              <w:t>第二节</w:t>
            </w:r>
          </w:p>
          <w:p w14:paraId="16F94233">
            <w:pPr>
              <w:adjustRightInd w:val="0"/>
              <w:snapToGrid w:val="0"/>
              <w:jc w:val="center"/>
              <w:outlineLvl w:val="9"/>
              <w:rPr>
                <w:rFonts w:ascii="宋体" w:hAnsi="宋体" w:eastAsia="宋体" w:cs="Times New Roman"/>
                <w:szCs w:val="21"/>
              </w:rPr>
            </w:pPr>
            <w:r>
              <w:rPr>
                <w:rFonts w:hint="eastAsia" w:ascii="宋体" w:hAnsi="宋体" w:eastAsia="宋体" w:cs="Times New Roman"/>
                <w:szCs w:val="21"/>
              </w:rPr>
              <w:t>第</w:t>
            </w:r>
            <w:r>
              <w:rPr>
                <w:rFonts w:hint="eastAsia" w:ascii="宋体" w:hAnsi="宋体" w:eastAsia="宋体" w:cs="Times New Roman"/>
                <w:szCs w:val="21"/>
                <w:lang w:val="en-US" w:eastAsia="zh-CN"/>
              </w:rPr>
              <w:t>7</w:t>
            </w:r>
            <w:r>
              <w:rPr>
                <w:rFonts w:hint="eastAsia" w:ascii="宋体" w:hAnsi="宋体" w:eastAsia="宋体" w:cs="Times New Roman"/>
                <w:szCs w:val="21"/>
              </w:rPr>
              <w:t>.1</w:t>
            </w:r>
            <w:r>
              <w:rPr>
                <w:rFonts w:hint="eastAsia" w:ascii="宋体" w:hAnsi="宋体" w:eastAsia="宋体" w:cs="Times New Roman"/>
                <w:szCs w:val="21"/>
                <w:lang w:val="en-US" w:eastAsia="zh-CN"/>
              </w:rPr>
              <w:t>款</w:t>
            </w:r>
          </w:p>
        </w:tc>
        <w:tc>
          <w:tcPr>
            <w:tcW w:w="1742" w:type="dxa"/>
            <w:vAlign w:val="center"/>
          </w:tcPr>
          <w:p w14:paraId="37B6BF49">
            <w:pPr>
              <w:adjustRightInd w:val="0"/>
              <w:snapToGrid w:val="0"/>
              <w:jc w:val="left"/>
              <w:outlineLvl w:val="9"/>
              <w:rPr>
                <w:rFonts w:ascii="宋体" w:hAnsi="宋体" w:eastAsia="宋体" w:cs="Times New Roman"/>
                <w:szCs w:val="21"/>
              </w:rPr>
            </w:pPr>
            <w:r>
              <w:rPr>
                <w:rFonts w:hint="eastAsia" w:ascii="宋体" w:hAnsi="宋体" w:eastAsia="宋体" w:cs="Times New Roman"/>
                <w:szCs w:val="21"/>
              </w:rPr>
              <w:t>包装</w:t>
            </w:r>
            <w:r>
              <w:rPr>
                <w:rFonts w:hint="eastAsia" w:ascii="宋体" w:hAnsi="宋体" w:eastAsia="宋体" w:cs="Times New Roman"/>
                <w:szCs w:val="21"/>
                <w:lang w:eastAsia="zh-CN"/>
              </w:rPr>
              <w:t>特殊要求</w:t>
            </w:r>
          </w:p>
        </w:tc>
        <w:tc>
          <w:tcPr>
            <w:tcW w:w="5170" w:type="dxa"/>
            <w:vAlign w:val="center"/>
          </w:tcPr>
          <w:p w14:paraId="0F683B63">
            <w:pPr>
              <w:outlineLvl w:val="9"/>
              <w:rPr>
                <w:rFonts w:ascii="Times New Roman" w:hAnsi="Times New Roman" w:eastAsia="宋体" w:cs="Times New Roman"/>
                <w:szCs w:val="24"/>
              </w:rPr>
            </w:pPr>
          </w:p>
        </w:tc>
      </w:tr>
      <w:tr w14:paraId="129A8ED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251B9E12">
            <w:pPr>
              <w:adjustRightInd w:val="0"/>
              <w:snapToGrid w:val="0"/>
              <w:jc w:val="center"/>
              <w:outlineLvl w:val="9"/>
              <w:rPr>
                <w:rFonts w:hint="eastAsia" w:ascii="宋体" w:hAnsi="宋体" w:eastAsia="宋体" w:cs="Times New Roman"/>
                <w:szCs w:val="21"/>
              </w:rPr>
            </w:pPr>
          </w:p>
        </w:tc>
        <w:tc>
          <w:tcPr>
            <w:tcW w:w="1742" w:type="dxa"/>
            <w:vAlign w:val="center"/>
          </w:tcPr>
          <w:p w14:paraId="10D50EEF">
            <w:pPr>
              <w:adjustRightInd w:val="0"/>
              <w:snapToGrid w:val="0"/>
              <w:jc w:val="left"/>
              <w:outlineLvl w:val="9"/>
              <w:rPr>
                <w:rFonts w:hint="eastAsia" w:ascii="宋体" w:hAnsi="宋体" w:eastAsia="宋体" w:cs="Times New Roman"/>
                <w:szCs w:val="21"/>
                <w:lang w:eastAsia="zh-CN"/>
              </w:rPr>
            </w:pPr>
            <w:r>
              <w:rPr>
                <w:rFonts w:hint="eastAsia" w:ascii="宋体" w:hAnsi="宋体" w:eastAsia="宋体" w:cs="Times New Roman"/>
                <w:szCs w:val="21"/>
                <w:lang w:eastAsia="zh-CN"/>
              </w:rPr>
              <w:t>指定现场</w:t>
            </w:r>
          </w:p>
        </w:tc>
        <w:tc>
          <w:tcPr>
            <w:tcW w:w="5170" w:type="dxa"/>
            <w:vAlign w:val="center"/>
          </w:tcPr>
          <w:p w14:paraId="043A9850">
            <w:pPr>
              <w:outlineLvl w:val="9"/>
              <w:rPr>
                <w:rFonts w:hint="eastAsia" w:ascii="Times New Roman" w:hAnsi="Times New Roman" w:eastAsia="宋体" w:cs="Times New Roman"/>
                <w:szCs w:val="24"/>
              </w:rPr>
            </w:pPr>
          </w:p>
        </w:tc>
      </w:tr>
      <w:tr w14:paraId="4A1E3A3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5F1763EC">
            <w:pPr>
              <w:adjustRightInd w:val="0"/>
              <w:snapToGrid w:val="0"/>
              <w:jc w:val="center"/>
              <w:outlineLvl w:val="9"/>
              <w:rPr>
                <w:rFonts w:ascii="宋体" w:hAnsi="宋体" w:eastAsia="宋体" w:cs="Times New Roman"/>
                <w:szCs w:val="21"/>
              </w:rPr>
            </w:pPr>
            <w:r>
              <w:rPr>
                <w:rFonts w:hint="eastAsia" w:ascii="宋体" w:hAnsi="宋体" w:eastAsia="宋体" w:cs="Times New Roman"/>
                <w:szCs w:val="21"/>
              </w:rPr>
              <w:t>第二节</w:t>
            </w:r>
          </w:p>
          <w:p w14:paraId="7090C777">
            <w:pPr>
              <w:adjustRightInd w:val="0"/>
              <w:snapToGrid w:val="0"/>
              <w:jc w:val="center"/>
              <w:outlineLvl w:val="9"/>
              <w:rPr>
                <w:rFonts w:hint="eastAsia" w:ascii="宋体" w:hAnsi="宋体" w:eastAsia="宋体" w:cs="Times New Roman"/>
                <w:szCs w:val="21"/>
              </w:rPr>
            </w:pPr>
            <w:r>
              <w:rPr>
                <w:rFonts w:hint="eastAsia" w:ascii="宋体" w:hAnsi="宋体" w:eastAsia="宋体" w:cs="Times New Roman"/>
                <w:szCs w:val="21"/>
              </w:rPr>
              <w:t>第</w:t>
            </w:r>
            <w:r>
              <w:rPr>
                <w:rFonts w:hint="eastAsia" w:ascii="宋体" w:hAnsi="宋体" w:eastAsia="宋体" w:cs="Times New Roman"/>
                <w:szCs w:val="21"/>
                <w:lang w:val="en-US" w:eastAsia="zh-CN"/>
              </w:rPr>
              <w:t>7</w:t>
            </w:r>
            <w:r>
              <w:rPr>
                <w:rFonts w:hint="eastAsia" w:ascii="宋体" w:hAnsi="宋体" w:eastAsia="宋体" w:cs="Times New Roman"/>
                <w:szCs w:val="21"/>
              </w:rPr>
              <w:t>.2</w:t>
            </w:r>
            <w:r>
              <w:rPr>
                <w:rFonts w:hint="eastAsia" w:ascii="宋体" w:hAnsi="宋体" w:eastAsia="宋体" w:cs="Times New Roman"/>
                <w:szCs w:val="21"/>
                <w:lang w:val="en-US" w:eastAsia="zh-CN"/>
              </w:rPr>
              <w:t>款</w:t>
            </w:r>
          </w:p>
        </w:tc>
        <w:tc>
          <w:tcPr>
            <w:tcW w:w="1742" w:type="dxa"/>
            <w:vAlign w:val="center"/>
          </w:tcPr>
          <w:p w14:paraId="7F017830">
            <w:pPr>
              <w:adjustRightInd w:val="0"/>
              <w:snapToGrid w:val="0"/>
              <w:jc w:val="left"/>
              <w:outlineLvl w:val="9"/>
              <w:rPr>
                <w:rFonts w:hint="eastAsia" w:ascii="宋体" w:hAnsi="宋体" w:eastAsia="宋体" w:cs="Times New Roman"/>
                <w:szCs w:val="21"/>
                <w:lang w:eastAsia="zh-CN"/>
              </w:rPr>
            </w:pPr>
            <w:r>
              <w:rPr>
                <w:rFonts w:hint="eastAsia" w:ascii="宋体" w:hAnsi="宋体" w:eastAsia="宋体" w:cs="Times New Roman"/>
                <w:szCs w:val="21"/>
                <w:lang w:eastAsia="zh-CN"/>
              </w:rPr>
              <w:t>运输特殊要求</w:t>
            </w:r>
          </w:p>
        </w:tc>
        <w:tc>
          <w:tcPr>
            <w:tcW w:w="5170" w:type="dxa"/>
            <w:vAlign w:val="center"/>
          </w:tcPr>
          <w:p w14:paraId="1A1336FB">
            <w:pPr>
              <w:outlineLvl w:val="9"/>
              <w:rPr>
                <w:rFonts w:hint="eastAsia" w:ascii="Times New Roman" w:hAnsi="Times New Roman" w:eastAsia="宋体" w:cs="Times New Roman"/>
                <w:szCs w:val="24"/>
              </w:rPr>
            </w:pPr>
          </w:p>
        </w:tc>
      </w:tr>
      <w:tr w14:paraId="430E4A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1234F653">
            <w:pPr>
              <w:adjustRightInd w:val="0"/>
              <w:snapToGrid w:val="0"/>
              <w:jc w:val="center"/>
              <w:outlineLvl w:val="9"/>
              <w:rPr>
                <w:rFonts w:ascii="宋体" w:hAnsi="宋体" w:eastAsia="宋体" w:cs="Times New Roman"/>
                <w:szCs w:val="21"/>
              </w:rPr>
            </w:pPr>
            <w:r>
              <w:rPr>
                <w:rFonts w:hint="eastAsia" w:ascii="宋体" w:hAnsi="宋体" w:eastAsia="宋体" w:cs="Times New Roman"/>
                <w:szCs w:val="21"/>
              </w:rPr>
              <w:t>第二节</w:t>
            </w:r>
          </w:p>
          <w:p w14:paraId="476B6363">
            <w:pPr>
              <w:adjustRightInd w:val="0"/>
              <w:snapToGrid w:val="0"/>
              <w:jc w:val="center"/>
              <w:outlineLvl w:val="9"/>
              <w:rPr>
                <w:rFonts w:hint="eastAsia" w:ascii="宋体" w:hAnsi="宋体" w:eastAsia="宋体" w:cs="Times New Roman"/>
                <w:szCs w:val="21"/>
              </w:rPr>
            </w:pPr>
            <w:r>
              <w:rPr>
                <w:rFonts w:hint="eastAsia" w:ascii="宋体" w:hAnsi="宋体" w:eastAsia="宋体" w:cs="Times New Roman"/>
                <w:szCs w:val="21"/>
              </w:rPr>
              <w:t>第</w:t>
            </w:r>
            <w:r>
              <w:rPr>
                <w:rFonts w:hint="eastAsia" w:ascii="宋体" w:hAnsi="宋体" w:eastAsia="宋体" w:cs="Times New Roman"/>
                <w:szCs w:val="21"/>
                <w:lang w:val="en-US" w:eastAsia="zh-CN"/>
              </w:rPr>
              <w:t>7</w:t>
            </w:r>
            <w:r>
              <w:rPr>
                <w:rFonts w:hint="eastAsia" w:ascii="宋体" w:hAnsi="宋体" w:eastAsia="宋体" w:cs="Times New Roman"/>
                <w:szCs w:val="21"/>
              </w:rPr>
              <w:t>.3</w:t>
            </w:r>
            <w:r>
              <w:rPr>
                <w:rFonts w:hint="eastAsia" w:ascii="宋体" w:hAnsi="宋体" w:eastAsia="宋体" w:cs="Times New Roman"/>
                <w:szCs w:val="21"/>
                <w:lang w:val="en-US" w:eastAsia="zh-CN"/>
              </w:rPr>
              <w:t>款</w:t>
            </w:r>
          </w:p>
        </w:tc>
        <w:tc>
          <w:tcPr>
            <w:tcW w:w="1742" w:type="dxa"/>
            <w:vAlign w:val="center"/>
          </w:tcPr>
          <w:p w14:paraId="08380551">
            <w:pPr>
              <w:adjustRightInd w:val="0"/>
              <w:snapToGrid w:val="0"/>
              <w:jc w:val="left"/>
              <w:outlineLvl w:val="9"/>
              <w:rPr>
                <w:rFonts w:hint="eastAsia" w:ascii="宋体" w:hAnsi="宋体" w:eastAsia="宋体" w:cs="Times New Roman"/>
                <w:szCs w:val="21"/>
                <w:lang w:eastAsia="zh-CN"/>
              </w:rPr>
            </w:pPr>
            <w:r>
              <w:rPr>
                <w:rFonts w:hint="eastAsia" w:ascii="宋体" w:hAnsi="宋体" w:eastAsia="宋体" w:cs="Times New Roman"/>
                <w:szCs w:val="21"/>
                <w:lang w:eastAsia="zh-CN"/>
              </w:rPr>
              <w:t>保险要求</w:t>
            </w:r>
          </w:p>
        </w:tc>
        <w:tc>
          <w:tcPr>
            <w:tcW w:w="5170" w:type="dxa"/>
            <w:vAlign w:val="center"/>
          </w:tcPr>
          <w:p w14:paraId="7A6719A1">
            <w:pPr>
              <w:outlineLvl w:val="9"/>
              <w:rPr>
                <w:rFonts w:hint="eastAsia" w:ascii="Times New Roman" w:hAnsi="Times New Roman" w:eastAsia="宋体" w:cs="Times New Roman"/>
                <w:szCs w:val="24"/>
              </w:rPr>
            </w:pPr>
          </w:p>
        </w:tc>
      </w:tr>
      <w:tr w14:paraId="6F907A5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A6A9A71">
            <w:pPr>
              <w:adjustRightInd w:val="0"/>
              <w:snapToGrid w:val="0"/>
              <w:jc w:val="center"/>
              <w:outlineLvl w:val="9"/>
              <w:rPr>
                <w:rFonts w:ascii="宋体" w:hAnsi="宋体" w:eastAsia="宋体" w:cs="Times New Roman"/>
                <w:szCs w:val="21"/>
              </w:rPr>
            </w:pPr>
            <w:r>
              <w:rPr>
                <w:rFonts w:hint="eastAsia" w:ascii="宋体" w:hAnsi="宋体" w:eastAsia="宋体" w:cs="Times New Roman"/>
                <w:szCs w:val="21"/>
              </w:rPr>
              <w:t>第二节</w:t>
            </w:r>
          </w:p>
          <w:p w14:paraId="2C96D746">
            <w:pPr>
              <w:adjustRightInd w:val="0"/>
              <w:snapToGrid w:val="0"/>
              <w:jc w:val="center"/>
              <w:outlineLvl w:val="9"/>
              <w:rPr>
                <w:rFonts w:ascii="宋体" w:hAnsi="宋体" w:eastAsia="宋体" w:cs="Times New Roman"/>
                <w:szCs w:val="21"/>
              </w:rPr>
            </w:pPr>
            <w:r>
              <w:rPr>
                <w:rFonts w:hint="eastAsia" w:ascii="宋体" w:hAnsi="宋体" w:eastAsia="宋体" w:cs="Times New Roman"/>
                <w:szCs w:val="21"/>
              </w:rPr>
              <w:t>第</w:t>
            </w:r>
            <w:r>
              <w:rPr>
                <w:rFonts w:hint="eastAsia" w:ascii="宋体" w:hAnsi="宋体" w:eastAsia="宋体" w:cs="Times New Roman"/>
                <w:szCs w:val="21"/>
                <w:lang w:val="en-US" w:eastAsia="zh-CN"/>
              </w:rPr>
              <w:t>8</w:t>
            </w:r>
            <w:r>
              <w:rPr>
                <w:rFonts w:hint="eastAsia" w:ascii="宋体" w:hAnsi="宋体" w:eastAsia="宋体" w:cs="Times New Roman"/>
                <w:szCs w:val="21"/>
              </w:rPr>
              <w:t>.2（1）项</w:t>
            </w:r>
          </w:p>
        </w:tc>
        <w:tc>
          <w:tcPr>
            <w:tcW w:w="1742" w:type="dxa"/>
            <w:vAlign w:val="center"/>
          </w:tcPr>
          <w:p w14:paraId="1DCA7BE2">
            <w:pPr>
              <w:adjustRightInd w:val="0"/>
              <w:snapToGrid w:val="0"/>
              <w:jc w:val="left"/>
              <w:outlineLvl w:val="9"/>
              <w:rPr>
                <w:rFonts w:ascii="宋体" w:hAnsi="宋体" w:eastAsia="宋体" w:cs="Times New Roman"/>
                <w:szCs w:val="21"/>
              </w:rPr>
            </w:pPr>
            <w:r>
              <w:rPr>
                <w:rFonts w:hint="eastAsia" w:ascii="宋体" w:hAnsi="宋体" w:eastAsia="宋体" w:cs="Times New Roman"/>
                <w:szCs w:val="21"/>
              </w:rPr>
              <w:t>质量保证期</w:t>
            </w:r>
          </w:p>
        </w:tc>
        <w:tc>
          <w:tcPr>
            <w:tcW w:w="5170" w:type="dxa"/>
            <w:vAlign w:val="center"/>
          </w:tcPr>
          <w:p w14:paraId="365E4687">
            <w:pPr>
              <w:autoSpaceDE w:val="0"/>
              <w:autoSpaceDN w:val="0"/>
              <w:adjustRightInd w:val="0"/>
              <w:snapToGrid w:val="0"/>
              <w:ind w:firstLine="420" w:firstLineChars="200"/>
              <w:jc w:val="left"/>
              <w:outlineLvl w:val="9"/>
              <w:rPr>
                <w:rFonts w:ascii="宋体" w:hAnsi="宋体" w:eastAsia="宋体" w:cs="Times New Roman"/>
                <w:szCs w:val="21"/>
              </w:rPr>
            </w:pPr>
          </w:p>
        </w:tc>
      </w:tr>
      <w:tr w14:paraId="282616F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F08DF6B">
            <w:pPr>
              <w:adjustRightInd w:val="0"/>
              <w:snapToGrid w:val="0"/>
              <w:jc w:val="center"/>
              <w:outlineLvl w:val="9"/>
              <w:rPr>
                <w:rFonts w:ascii="宋体" w:hAnsi="宋体" w:eastAsia="宋体" w:cs="Times New Roman"/>
                <w:szCs w:val="21"/>
              </w:rPr>
            </w:pPr>
            <w:r>
              <w:rPr>
                <w:rFonts w:hint="eastAsia" w:ascii="宋体" w:hAnsi="宋体" w:eastAsia="宋体" w:cs="Times New Roman"/>
                <w:szCs w:val="21"/>
              </w:rPr>
              <w:t>第二节</w:t>
            </w:r>
          </w:p>
          <w:p w14:paraId="0E5B988B">
            <w:pPr>
              <w:adjustRightInd w:val="0"/>
              <w:snapToGrid w:val="0"/>
              <w:jc w:val="center"/>
              <w:outlineLvl w:val="9"/>
              <w:rPr>
                <w:rFonts w:ascii="宋体" w:hAnsi="宋体" w:eastAsia="宋体" w:cs="Times New Roman"/>
                <w:szCs w:val="21"/>
              </w:rPr>
            </w:pPr>
            <w:r>
              <w:rPr>
                <w:rFonts w:hint="eastAsia" w:ascii="宋体" w:hAnsi="宋体" w:eastAsia="宋体" w:cs="Times New Roman"/>
                <w:szCs w:val="21"/>
              </w:rPr>
              <w:t>第</w:t>
            </w:r>
            <w:r>
              <w:rPr>
                <w:rFonts w:hint="eastAsia" w:ascii="宋体" w:hAnsi="宋体" w:eastAsia="宋体" w:cs="Times New Roman"/>
                <w:szCs w:val="21"/>
                <w:lang w:val="en-US" w:eastAsia="zh-CN"/>
              </w:rPr>
              <w:t>8</w:t>
            </w:r>
            <w:r>
              <w:rPr>
                <w:rFonts w:hint="eastAsia" w:ascii="宋体" w:hAnsi="宋体" w:eastAsia="宋体" w:cs="Times New Roman"/>
                <w:szCs w:val="21"/>
              </w:rPr>
              <w:t>.2（3）项</w:t>
            </w:r>
          </w:p>
        </w:tc>
        <w:tc>
          <w:tcPr>
            <w:tcW w:w="1742" w:type="dxa"/>
            <w:vAlign w:val="center"/>
          </w:tcPr>
          <w:p w14:paraId="29449757">
            <w:pPr>
              <w:adjustRightInd w:val="0"/>
              <w:snapToGrid w:val="0"/>
              <w:jc w:val="left"/>
              <w:outlineLvl w:val="9"/>
              <w:rPr>
                <w:rFonts w:hint="eastAsia" w:ascii="宋体" w:hAnsi="宋体" w:eastAsia="宋体" w:cs="Times New Roman"/>
                <w:szCs w:val="21"/>
                <w:lang w:eastAsia="zh-CN"/>
              </w:rPr>
            </w:pPr>
            <w:r>
              <w:rPr>
                <w:rFonts w:hint="eastAsia" w:ascii="宋体" w:hAnsi="宋体" w:eastAsia="宋体" w:cs="Times New Roman"/>
                <w:szCs w:val="21"/>
                <w:lang w:eastAsia="zh-CN"/>
              </w:rPr>
              <w:t>货物质量缺陷</w:t>
            </w:r>
          </w:p>
          <w:p w14:paraId="436E4696">
            <w:pPr>
              <w:adjustRightInd w:val="0"/>
              <w:snapToGrid w:val="0"/>
              <w:jc w:val="left"/>
              <w:outlineLvl w:val="9"/>
              <w:rPr>
                <w:rFonts w:ascii="宋体" w:hAnsi="宋体" w:eastAsia="宋体" w:cs="Times New Roman"/>
                <w:szCs w:val="21"/>
              </w:rPr>
            </w:pPr>
            <w:r>
              <w:rPr>
                <w:rFonts w:hint="eastAsia" w:ascii="宋体" w:hAnsi="宋体" w:eastAsia="宋体" w:cs="Times New Roman"/>
                <w:szCs w:val="21"/>
              </w:rPr>
              <w:t>响应时间</w:t>
            </w:r>
          </w:p>
        </w:tc>
        <w:tc>
          <w:tcPr>
            <w:tcW w:w="5170" w:type="dxa"/>
            <w:vAlign w:val="center"/>
          </w:tcPr>
          <w:p w14:paraId="69229BB5">
            <w:pPr>
              <w:adjustRightInd w:val="0"/>
              <w:snapToGrid w:val="0"/>
              <w:jc w:val="left"/>
              <w:outlineLvl w:val="9"/>
              <w:rPr>
                <w:rFonts w:ascii="宋体" w:hAnsi="宋体" w:eastAsia="宋体" w:cs="Times New Roman"/>
                <w:szCs w:val="21"/>
              </w:rPr>
            </w:pPr>
          </w:p>
        </w:tc>
      </w:tr>
      <w:tr w14:paraId="259C64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DA0D436">
            <w:pPr>
              <w:snapToGrid w:val="0"/>
              <w:jc w:val="center"/>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第二节</w:t>
            </w:r>
          </w:p>
          <w:p w14:paraId="2C7B0FC8">
            <w:pPr>
              <w:autoSpaceDE w:val="0"/>
              <w:autoSpaceDN w:val="0"/>
              <w:adjustRightInd w:val="0"/>
              <w:spacing w:line="400" w:lineRule="exact"/>
              <w:ind w:firstLine="0" w:firstLineChars="0"/>
              <w:jc w:val="center"/>
              <w:outlineLvl w:val="9"/>
              <w:rPr>
                <w:rFonts w:hint="default" w:ascii="华文楷体" w:hAnsi="华文楷体" w:eastAsia="华文楷体" w:cs="华文楷体"/>
                <w:sz w:val="22"/>
                <w:szCs w:val="21"/>
                <w:lang w:val="en-US" w:eastAsia="zh-CN" w:bidi="ar-SA"/>
              </w:rPr>
            </w:pPr>
            <w:r>
              <w:rPr>
                <w:rFonts w:hint="eastAsia" w:ascii="宋体" w:hAnsi="宋体" w:eastAsia="宋体" w:cs="宋体"/>
                <w:sz w:val="22"/>
                <w:szCs w:val="21"/>
                <w:lang w:val="en-US" w:eastAsia="zh-CN" w:bidi="ar-SA"/>
              </w:rPr>
              <w:t>第11.1款</w:t>
            </w:r>
          </w:p>
        </w:tc>
        <w:tc>
          <w:tcPr>
            <w:tcW w:w="1742" w:type="dxa"/>
            <w:vAlign w:val="center"/>
          </w:tcPr>
          <w:p w14:paraId="5819218E">
            <w:pPr>
              <w:adjustRightInd w:val="0"/>
              <w:snapToGrid w:val="0"/>
              <w:jc w:val="both"/>
              <w:outlineLvl w:val="9"/>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其他应当保密的信息</w:t>
            </w:r>
          </w:p>
        </w:tc>
        <w:tc>
          <w:tcPr>
            <w:tcW w:w="5170" w:type="dxa"/>
            <w:vAlign w:val="center"/>
          </w:tcPr>
          <w:p w14:paraId="0965C31E">
            <w:pPr>
              <w:adjustRightInd w:val="0"/>
              <w:snapToGrid w:val="0"/>
              <w:jc w:val="left"/>
              <w:outlineLvl w:val="9"/>
              <w:rPr>
                <w:rFonts w:ascii="宋体" w:hAnsi="宋体" w:eastAsia="宋体" w:cs="Times New Roman"/>
                <w:szCs w:val="21"/>
              </w:rPr>
            </w:pPr>
          </w:p>
        </w:tc>
      </w:tr>
      <w:tr w14:paraId="1ED96C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02450179">
            <w:pPr>
              <w:adjustRightInd w:val="0"/>
              <w:snapToGrid w:val="0"/>
              <w:jc w:val="center"/>
              <w:outlineLvl w:val="9"/>
              <w:rPr>
                <w:rFonts w:ascii="宋体" w:hAnsi="宋体" w:eastAsia="宋体" w:cs="Times New Roman"/>
                <w:szCs w:val="21"/>
              </w:rPr>
            </w:pPr>
            <w:r>
              <w:rPr>
                <w:rFonts w:hint="eastAsia" w:ascii="宋体" w:hAnsi="宋体" w:eastAsia="宋体" w:cs="Times New Roman"/>
                <w:szCs w:val="21"/>
              </w:rPr>
              <w:t>第二节</w:t>
            </w:r>
          </w:p>
          <w:p w14:paraId="665DBD73">
            <w:pPr>
              <w:adjustRightInd w:val="0"/>
              <w:snapToGrid w:val="0"/>
              <w:jc w:val="center"/>
              <w:outlineLvl w:val="9"/>
              <w:rPr>
                <w:rFonts w:ascii="宋体" w:hAnsi="宋体" w:eastAsia="宋体" w:cs="Times New Roman"/>
                <w:szCs w:val="21"/>
              </w:rPr>
            </w:pPr>
            <w:r>
              <w:rPr>
                <w:rFonts w:hint="eastAsia" w:ascii="宋体" w:hAnsi="宋体" w:eastAsia="宋体" w:cs="Times New Roman"/>
                <w:szCs w:val="21"/>
              </w:rPr>
              <w:t>第1</w:t>
            </w:r>
            <w:r>
              <w:rPr>
                <w:rFonts w:hint="eastAsia" w:ascii="宋体" w:hAnsi="宋体" w:eastAsia="宋体" w:cs="Times New Roman"/>
                <w:szCs w:val="21"/>
                <w:lang w:val="en-US" w:eastAsia="zh-CN"/>
              </w:rPr>
              <w:t>2</w:t>
            </w:r>
            <w:r>
              <w:rPr>
                <w:rFonts w:hint="eastAsia" w:ascii="宋体" w:hAnsi="宋体" w:eastAsia="宋体" w:cs="Times New Roman"/>
                <w:szCs w:val="21"/>
              </w:rPr>
              <w:t>.2款</w:t>
            </w:r>
          </w:p>
        </w:tc>
        <w:tc>
          <w:tcPr>
            <w:tcW w:w="1742" w:type="dxa"/>
            <w:vAlign w:val="center"/>
          </w:tcPr>
          <w:p w14:paraId="6CC7B467">
            <w:pPr>
              <w:adjustRightInd w:val="0"/>
              <w:snapToGrid w:val="0"/>
              <w:jc w:val="left"/>
              <w:outlineLvl w:val="9"/>
              <w:rPr>
                <w:rFonts w:hint="eastAsia" w:ascii="宋体" w:hAnsi="宋体" w:eastAsia="宋体" w:cs="Times New Roman"/>
                <w:szCs w:val="21"/>
                <w:lang w:eastAsia="zh-CN"/>
              </w:rPr>
            </w:pPr>
            <w:r>
              <w:rPr>
                <w:rFonts w:hint="eastAsia" w:ascii="宋体" w:hAnsi="宋体" w:eastAsia="宋体" w:cs="Times New Roman"/>
                <w:szCs w:val="21"/>
              </w:rPr>
              <w:t>合同价款支付</w:t>
            </w:r>
            <w:r>
              <w:rPr>
                <w:rFonts w:hint="eastAsia" w:ascii="宋体" w:hAnsi="宋体" w:eastAsia="宋体" w:cs="Times New Roman"/>
                <w:szCs w:val="21"/>
                <w:lang w:eastAsia="zh-CN"/>
              </w:rPr>
              <w:t>时间</w:t>
            </w:r>
          </w:p>
        </w:tc>
        <w:tc>
          <w:tcPr>
            <w:tcW w:w="5170" w:type="dxa"/>
            <w:vAlign w:val="center"/>
          </w:tcPr>
          <w:p w14:paraId="2064D866">
            <w:pPr>
              <w:adjustRightInd w:val="0"/>
              <w:snapToGrid w:val="0"/>
              <w:jc w:val="left"/>
              <w:outlineLvl w:val="9"/>
              <w:rPr>
                <w:rFonts w:ascii="宋体" w:hAnsi="宋体" w:eastAsia="宋体" w:cs="Times New Roman"/>
                <w:szCs w:val="21"/>
              </w:rPr>
            </w:pPr>
          </w:p>
        </w:tc>
      </w:tr>
      <w:tr w14:paraId="4F49055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76400918">
            <w:pPr>
              <w:adjustRightInd w:val="0"/>
              <w:snapToGrid w:val="0"/>
              <w:jc w:val="center"/>
              <w:outlineLvl w:val="9"/>
              <w:rPr>
                <w:rFonts w:hint="eastAsia" w:ascii="宋体" w:hAnsi="宋体" w:eastAsia="宋体" w:cs="Times New Roman"/>
                <w:szCs w:val="21"/>
              </w:rPr>
            </w:pPr>
            <w:r>
              <w:rPr>
                <w:rFonts w:hint="eastAsia" w:ascii="宋体" w:hAnsi="宋体" w:eastAsia="宋体" w:cs="Times New Roman"/>
                <w:szCs w:val="21"/>
              </w:rPr>
              <w:t>第二节</w:t>
            </w:r>
          </w:p>
          <w:p w14:paraId="6B743D44">
            <w:pPr>
              <w:adjustRightInd w:val="0"/>
              <w:snapToGrid w:val="0"/>
              <w:jc w:val="center"/>
              <w:outlineLvl w:val="9"/>
              <w:rPr>
                <w:rFonts w:hint="eastAsia" w:ascii="宋体" w:hAnsi="宋体" w:eastAsia="宋体" w:cs="Times New Roman"/>
                <w:szCs w:val="21"/>
              </w:rPr>
            </w:pPr>
            <w:r>
              <w:rPr>
                <w:rFonts w:hint="eastAsia" w:ascii="宋体" w:hAnsi="宋体" w:eastAsia="宋体" w:cs="Times New Roman"/>
                <w:szCs w:val="21"/>
              </w:rPr>
              <w:t>第</w:t>
            </w:r>
            <w:r>
              <w:rPr>
                <w:rFonts w:hint="eastAsia" w:ascii="宋体" w:hAnsi="宋体" w:eastAsia="宋体" w:cs="Times New Roman"/>
                <w:szCs w:val="21"/>
                <w:lang w:val="en-US" w:eastAsia="zh-CN"/>
              </w:rPr>
              <w:t>13.2</w:t>
            </w:r>
            <w:r>
              <w:rPr>
                <w:rFonts w:hint="eastAsia" w:ascii="宋体" w:hAnsi="宋体" w:eastAsia="宋体" w:cs="Times New Roman"/>
                <w:szCs w:val="21"/>
              </w:rPr>
              <w:t>款</w:t>
            </w:r>
          </w:p>
        </w:tc>
        <w:tc>
          <w:tcPr>
            <w:tcW w:w="1742" w:type="dxa"/>
            <w:vAlign w:val="center"/>
          </w:tcPr>
          <w:p w14:paraId="67AB525C">
            <w:pPr>
              <w:adjustRightInd w:val="0"/>
              <w:snapToGrid w:val="0"/>
              <w:jc w:val="left"/>
              <w:outlineLvl w:val="9"/>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履约保证金不予退还的情形</w:t>
            </w:r>
          </w:p>
        </w:tc>
        <w:tc>
          <w:tcPr>
            <w:tcW w:w="5170" w:type="dxa"/>
            <w:vAlign w:val="center"/>
          </w:tcPr>
          <w:p w14:paraId="7F91A5E0">
            <w:pPr>
              <w:adjustRightInd w:val="0"/>
              <w:snapToGrid w:val="0"/>
              <w:jc w:val="left"/>
              <w:outlineLvl w:val="9"/>
              <w:rPr>
                <w:rFonts w:ascii="宋体" w:hAnsi="宋体" w:eastAsia="宋体" w:cs="Times New Roman"/>
                <w:szCs w:val="21"/>
              </w:rPr>
            </w:pPr>
          </w:p>
        </w:tc>
      </w:tr>
      <w:tr w14:paraId="566B603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ACB5F63">
            <w:pPr>
              <w:adjustRightInd w:val="0"/>
              <w:snapToGrid w:val="0"/>
              <w:jc w:val="center"/>
              <w:outlineLvl w:val="9"/>
              <w:rPr>
                <w:rFonts w:hint="eastAsia" w:ascii="宋体" w:hAnsi="宋体" w:eastAsia="宋体" w:cs="Times New Roman"/>
                <w:szCs w:val="21"/>
              </w:rPr>
            </w:pPr>
            <w:r>
              <w:rPr>
                <w:rFonts w:hint="eastAsia" w:ascii="宋体" w:hAnsi="宋体" w:eastAsia="宋体" w:cs="Times New Roman"/>
                <w:szCs w:val="21"/>
              </w:rPr>
              <w:t>第二节</w:t>
            </w:r>
          </w:p>
          <w:p w14:paraId="3E41D4A8">
            <w:pPr>
              <w:adjustRightInd w:val="0"/>
              <w:snapToGrid w:val="0"/>
              <w:jc w:val="center"/>
              <w:outlineLvl w:val="9"/>
              <w:rPr>
                <w:rFonts w:hint="eastAsia" w:ascii="宋体" w:hAnsi="宋体" w:eastAsia="宋体" w:cs="Times New Roman"/>
                <w:szCs w:val="21"/>
              </w:rPr>
            </w:pPr>
            <w:r>
              <w:rPr>
                <w:rFonts w:hint="eastAsia" w:ascii="宋体" w:hAnsi="宋体" w:eastAsia="宋体" w:cs="Times New Roman"/>
                <w:szCs w:val="21"/>
              </w:rPr>
              <w:t>第</w:t>
            </w:r>
            <w:r>
              <w:rPr>
                <w:rFonts w:hint="eastAsia" w:ascii="宋体" w:hAnsi="宋体" w:eastAsia="宋体" w:cs="Times New Roman"/>
                <w:szCs w:val="21"/>
                <w:lang w:val="en-US" w:eastAsia="zh-CN"/>
              </w:rPr>
              <w:t>13.3</w:t>
            </w:r>
            <w:r>
              <w:rPr>
                <w:rFonts w:hint="eastAsia" w:ascii="宋体" w:hAnsi="宋体" w:eastAsia="宋体" w:cs="Times New Roman"/>
                <w:szCs w:val="21"/>
              </w:rPr>
              <w:t>款</w:t>
            </w:r>
          </w:p>
        </w:tc>
        <w:tc>
          <w:tcPr>
            <w:tcW w:w="1742" w:type="dxa"/>
            <w:vAlign w:val="center"/>
          </w:tcPr>
          <w:p w14:paraId="30F5F21D">
            <w:pPr>
              <w:adjustRightInd w:val="0"/>
              <w:snapToGrid w:val="0"/>
              <w:jc w:val="left"/>
              <w:outlineLvl w:val="9"/>
              <w:rPr>
                <w:rFonts w:ascii="宋体" w:hAnsi="宋体" w:eastAsia="宋体" w:cs="Times New Roman"/>
                <w:szCs w:val="21"/>
              </w:rPr>
            </w:pPr>
            <w:r>
              <w:rPr>
                <w:rFonts w:hint="eastAsia" w:ascii="宋体" w:hAnsi="宋体" w:eastAsia="宋体" w:cs="Times New Roman"/>
                <w:szCs w:val="21"/>
              </w:rPr>
              <w:t>履约保证金退还时间及</w:t>
            </w:r>
            <w:r>
              <w:rPr>
                <w:rFonts w:hint="eastAsia" w:ascii="宋体" w:hAnsi="宋体" w:eastAsia="宋体" w:cs="Times New Roman"/>
                <w:szCs w:val="21"/>
                <w:lang w:eastAsia="zh-CN"/>
              </w:rPr>
              <w:t>逾期退还的</w:t>
            </w:r>
            <w:r>
              <w:rPr>
                <w:rFonts w:hint="eastAsia" w:ascii="宋体" w:hAnsi="宋体" w:eastAsia="宋体" w:cs="Times New Roman"/>
                <w:szCs w:val="21"/>
              </w:rPr>
              <w:t>违约金</w:t>
            </w:r>
          </w:p>
        </w:tc>
        <w:tc>
          <w:tcPr>
            <w:tcW w:w="5170" w:type="dxa"/>
            <w:vAlign w:val="center"/>
          </w:tcPr>
          <w:p w14:paraId="047C86A9">
            <w:pPr>
              <w:adjustRightInd w:val="0"/>
              <w:snapToGrid w:val="0"/>
              <w:jc w:val="left"/>
              <w:outlineLvl w:val="9"/>
              <w:rPr>
                <w:rFonts w:ascii="宋体" w:hAnsi="宋体" w:eastAsia="宋体" w:cs="Times New Roman"/>
                <w:szCs w:val="21"/>
              </w:rPr>
            </w:pPr>
          </w:p>
        </w:tc>
      </w:tr>
      <w:tr w14:paraId="32965A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5C33691B">
            <w:pPr>
              <w:adjustRightInd w:val="0"/>
              <w:snapToGrid w:val="0"/>
              <w:jc w:val="center"/>
              <w:outlineLvl w:val="9"/>
              <w:rPr>
                <w:rFonts w:ascii="宋体" w:hAnsi="宋体" w:eastAsia="宋体" w:cs="Times New Roman"/>
                <w:szCs w:val="21"/>
              </w:rPr>
            </w:pPr>
            <w:r>
              <w:rPr>
                <w:rFonts w:hint="eastAsia" w:ascii="宋体" w:hAnsi="宋体" w:eastAsia="宋体" w:cs="Times New Roman"/>
                <w:szCs w:val="21"/>
              </w:rPr>
              <w:t>第二节</w:t>
            </w:r>
          </w:p>
          <w:p w14:paraId="40EAF7A3">
            <w:pPr>
              <w:adjustRightInd w:val="0"/>
              <w:snapToGrid w:val="0"/>
              <w:jc w:val="center"/>
              <w:outlineLvl w:val="9"/>
              <w:rPr>
                <w:rFonts w:hint="eastAsia" w:ascii="宋体" w:hAnsi="宋体" w:eastAsia="宋体" w:cs="Times New Roman"/>
                <w:szCs w:val="21"/>
              </w:rPr>
            </w:pPr>
            <w:r>
              <w:rPr>
                <w:rFonts w:hint="eastAsia" w:ascii="宋体" w:hAnsi="宋体" w:eastAsia="宋体" w:cs="Times New Roman"/>
                <w:szCs w:val="21"/>
              </w:rPr>
              <w:t>第1</w:t>
            </w:r>
            <w:r>
              <w:rPr>
                <w:rFonts w:hint="eastAsia" w:ascii="宋体" w:hAnsi="宋体" w:eastAsia="宋体" w:cs="Times New Roman"/>
                <w:szCs w:val="21"/>
                <w:lang w:val="en-US" w:eastAsia="zh-CN"/>
              </w:rPr>
              <w:t>4</w:t>
            </w:r>
            <w:r>
              <w:rPr>
                <w:rFonts w:hint="eastAsia" w:ascii="宋体" w:hAnsi="宋体" w:eastAsia="宋体" w:cs="Times New Roman"/>
                <w:szCs w:val="21"/>
              </w:rPr>
              <w:t>.1（</w:t>
            </w:r>
            <w:r>
              <w:rPr>
                <w:rFonts w:hint="eastAsia" w:ascii="宋体" w:hAnsi="宋体" w:eastAsia="宋体" w:cs="Times New Roman"/>
                <w:szCs w:val="21"/>
                <w:lang w:val="en-US" w:eastAsia="zh-CN"/>
              </w:rPr>
              <w:t>3</w:t>
            </w:r>
            <w:r>
              <w:rPr>
                <w:rFonts w:hint="eastAsia" w:ascii="宋体" w:hAnsi="宋体" w:eastAsia="宋体" w:cs="Times New Roman"/>
                <w:szCs w:val="21"/>
              </w:rPr>
              <w:t>）项</w:t>
            </w:r>
          </w:p>
        </w:tc>
        <w:tc>
          <w:tcPr>
            <w:tcW w:w="1742" w:type="dxa"/>
            <w:vAlign w:val="center"/>
          </w:tcPr>
          <w:p w14:paraId="22EB8F4D">
            <w:pPr>
              <w:adjustRightInd w:val="0"/>
              <w:snapToGrid w:val="0"/>
              <w:jc w:val="left"/>
              <w:outlineLvl w:val="9"/>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运行监督、维修期限</w:t>
            </w:r>
          </w:p>
        </w:tc>
        <w:tc>
          <w:tcPr>
            <w:tcW w:w="5170" w:type="dxa"/>
            <w:vAlign w:val="center"/>
          </w:tcPr>
          <w:p w14:paraId="691B9850">
            <w:pPr>
              <w:adjustRightInd w:val="0"/>
              <w:snapToGrid w:val="0"/>
              <w:jc w:val="left"/>
              <w:outlineLvl w:val="9"/>
              <w:rPr>
                <w:rFonts w:ascii="宋体" w:hAnsi="宋体" w:eastAsia="宋体" w:cs="Times New Roman"/>
                <w:szCs w:val="21"/>
              </w:rPr>
            </w:pPr>
          </w:p>
        </w:tc>
      </w:tr>
      <w:tr w14:paraId="3FA8E9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5424403E">
            <w:pPr>
              <w:adjustRightInd w:val="0"/>
              <w:snapToGrid w:val="0"/>
              <w:jc w:val="center"/>
              <w:outlineLvl w:val="9"/>
              <w:rPr>
                <w:rFonts w:ascii="宋体" w:hAnsi="宋体" w:eastAsia="宋体" w:cs="Times New Roman"/>
                <w:szCs w:val="21"/>
              </w:rPr>
            </w:pPr>
            <w:r>
              <w:rPr>
                <w:rFonts w:hint="eastAsia" w:ascii="宋体" w:hAnsi="宋体" w:eastAsia="宋体" w:cs="Times New Roman"/>
                <w:szCs w:val="21"/>
              </w:rPr>
              <w:t>第二节</w:t>
            </w:r>
          </w:p>
          <w:p w14:paraId="621FDBE2">
            <w:pPr>
              <w:adjustRightInd w:val="0"/>
              <w:snapToGrid w:val="0"/>
              <w:jc w:val="center"/>
              <w:outlineLvl w:val="9"/>
              <w:rPr>
                <w:rFonts w:hint="eastAsia" w:ascii="宋体" w:hAnsi="宋体" w:eastAsia="宋体" w:cs="Times New Roman"/>
                <w:szCs w:val="21"/>
              </w:rPr>
            </w:pPr>
            <w:r>
              <w:rPr>
                <w:rFonts w:hint="eastAsia" w:ascii="宋体" w:hAnsi="宋体" w:eastAsia="宋体" w:cs="Times New Roman"/>
                <w:szCs w:val="21"/>
              </w:rPr>
              <w:t>第1</w:t>
            </w:r>
            <w:r>
              <w:rPr>
                <w:rFonts w:hint="eastAsia" w:ascii="宋体" w:hAnsi="宋体" w:eastAsia="宋体" w:cs="Times New Roman"/>
                <w:szCs w:val="21"/>
                <w:lang w:val="en-US" w:eastAsia="zh-CN"/>
              </w:rPr>
              <w:t>4</w:t>
            </w:r>
            <w:r>
              <w:rPr>
                <w:rFonts w:hint="eastAsia" w:ascii="宋体" w:hAnsi="宋体" w:eastAsia="宋体" w:cs="Times New Roman"/>
                <w:szCs w:val="21"/>
              </w:rPr>
              <w:t>.1（</w:t>
            </w:r>
            <w:r>
              <w:rPr>
                <w:rFonts w:hint="eastAsia" w:ascii="宋体" w:hAnsi="宋体" w:eastAsia="宋体" w:cs="Times New Roman"/>
                <w:szCs w:val="21"/>
                <w:lang w:val="en-US" w:eastAsia="zh-CN"/>
              </w:rPr>
              <w:t>5</w:t>
            </w:r>
            <w:r>
              <w:rPr>
                <w:rFonts w:hint="eastAsia" w:ascii="宋体" w:hAnsi="宋体" w:eastAsia="宋体" w:cs="Times New Roman"/>
                <w:szCs w:val="21"/>
              </w:rPr>
              <w:t>）项</w:t>
            </w:r>
          </w:p>
        </w:tc>
        <w:tc>
          <w:tcPr>
            <w:tcW w:w="1742" w:type="dxa"/>
            <w:vAlign w:val="center"/>
          </w:tcPr>
          <w:p w14:paraId="503E29C2">
            <w:pPr>
              <w:adjustRightInd w:val="0"/>
              <w:snapToGrid w:val="0"/>
              <w:jc w:val="left"/>
              <w:outlineLvl w:val="9"/>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货物回收的约定</w:t>
            </w:r>
          </w:p>
        </w:tc>
        <w:tc>
          <w:tcPr>
            <w:tcW w:w="5170" w:type="dxa"/>
            <w:vAlign w:val="center"/>
          </w:tcPr>
          <w:p w14:paraId="6D9BEAEE">
            <w:pPr>
              <w:adjustRightInd w:val="0"/>
              <w:snapToGrid w:val="0"/>
              <w:jc w:val="left"/>
              <w:outlineLvl w:val="9"/>
              <w:rPr>
                <w:rFonts w:ascii="宋体" w:hAnsi="宋体" w:eastAsia="宋体" w:cs="Times New Roman"/>
                <w:szCs w:val="21"/>
              </w:rPr>
            </w:pPr>
          </w:p>
        </w:tc>
      </w:tr>
      <w:tr w14:paraId="7C95B9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21F4698">
            <w:pPr>
              <w:adjustRightInd w:val="0"/>
              <w:snapToGrid w:val="0"/>
              <w:jc w:val="center"/>
              <w:outlineLvl w:val="9"/>
              <w:rPr>
                <w:rFonts w:ascii="宋体" w:hAnsi="宋体" w:eastAsia="宋体" w:cs="Times New Roman"/>
                <w:szCs w:val="21"/>
              </w:rPr>
            </w:pPr>
            <w:r>
              <w:rPr>
                <w:rFonts w:hint="eastAsia" w:ascii="宋体" w:hAnsi="宋体" w:eastAsia="宋体" w:cs="Times New Roman"/>
                <w:szCs w:val="21"/>
              </w:rPr>
              <w:t>第二节</w:t>
            </w:r>
          </w:p>
          <w:p w14:paraId="57E7BFF9">
            <w:pPr>
              <w:adjustRightInd w:val="0"/>
              <w:snapToGrid w:val="0"/>
              <w:jc w:val="center"/>
              <w:outlineLvl w:val="9"/>
              <w:rPr>
                <w:rFonts w:ascii="宋体" w:hAnsi="宋体" w:eastAsia="宋体" w:cs="Times New Roman"/>
                <w:szCs w:val="21"/>
              </w:rPr>
            </w:pPr>
            <w:r>
              <w:rPr>
                <w:rFonts w:hint="eastAsia" w:ascii="宋体" w:hAnsi="宋体" w:eastAsia="宋体" w:cs="Times New Roman"/>
                <w:szCs w:val="21"/>
              </w:rPr>
              <w:t>第1</w:t>
            </w:r>
            <w:r>
              <w:rPr>
                <w:rFonts w:hint="eastAsia" w:ascii="宋体" w:hAnsi="宋体" w:eastAsia="宋体" w:cs="Times New Roman"/>
                <w:szCs w:val="21"/>
                <w:lang w:val="en-US" w:eastAsia="zh-CN"/>
              </w:rPr>
              <w:t>4</w:t>
            </w:r>
            <w:r>
              <w:rPr>
                <w:rFonts w:hint="eastAsia" w:ascii="宋体" w:hAnsi="宋体" w:eastAsia="宋体" w:cs="Times New Roman"/>
                <w:szCs w:val="21"/>
              </w:rPr>
              <w:t>.1（</w:t>
            </w:r>
            <w:r>
              <w:rPr>
                <w:rFonts w:hint="eastAsia" w:ascii="宋体" w:hAnsi="宋体" w:eastAsia="宋体" w:cs="Times New Roman"/>
                <w:szCs w:val="21"/>
                <w:lang w:val="en-US" w:eastAsia="zh-CN"/>
              </w:rPr>
              <w:t>6</w:t>
            </w:r>
            <w:r>
              <w:rPr>
                <w:rFonts w:hint="eastAsia" w:ascii="宋体" w:hAnsi="宋体" w:eastAsia="宋体" w:cs="Times New Roman"/>
                <w:szCs w:val="21"/>
              </w:rPr>
              <w:t>）项</w:t>
            </w:r>
          </w:p>
        </w:tc>
        <w:tc>
          <w:tcPr>
            <w:tcW w:w="1742" w:type="dxa"/>
            <w:vAlign w:val="center"/>
          </w:tcPr>
          <w:p w14:paraId="4436A439">
            <w:pPr>
              <w:adjustRightInd w:val="0"/>
              <w:snapToGrid w:val="0"/>
              <w:jc w:val="left"/>
              <w:outlineLvl w:val="9"/>
              <w:rPr>
                <w:rFonts w:ascii="宋体" w:hAnsi="宋体" w:eastAsia="宋体" w:cs="Times New Roman"/>
                <w:szCs w:val="21"/>
              </w:rPr>
            </w:pPr>
            <w:r>
              <w:rPr>
                <w:rFonts w:hint="eastAsia" w:ascii="宋体" w:hAnsi="宋体" w:eastAsia="宋体" w:cs="Times New Roman"/>
                <w:szCs w:val="21"/>
              </w:rPr>
              <w:t>乙方提供的其他服务</w:t>
            </w:r>
          </w:p>
        </w:tc>
        <w:tc>
          <w:tcPr>
            <w:tcW w:w="5170" w:type="dxa"/>
            <w:vAlign w:val="center"/>
          </w:tcPr>
          <w:p w14:paraId="51845449">
            <w:pPr>
              <w:adjustRightInd w:val="0"/>
              <w:snapToGrid w:val="0"/>
              <w:jc w:val="left"/>
              <w:outlineLvl w:val="9"/>
              <w:rPr>
                <w:rFonts w:ascii="宋体" w:hAnsi="宋体" w:eastAsia="宋体" w:cs="Times New Roman"/>
                <w:szCs w:val="21"/>
              </w:rPr>
            </w:pPr>
          </w:p>
        </w:tc>
      </w:tr>
      <w:tr w14:paraId="55BFAF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532BDA2">
            <w:pPr>
              <w:adjustRightInd w:val="0"/>
              <w:snapToGrid w:val="0"/>
              <w:jc w:val="center"/>
              <w:outlineLvl w:val="9"/>
              <w:rPr>
                <w:rFonts w:ascii="宋体" w:hAnsi="宋体" w:eastAsia="宋体" w:cs="Times New Roman"/>
                <w:szCs w:val="21"/>
              </w:rPr>
            </w:pPr>
            <w:r>
              <w:rPr>
                <w:rFonts w:hint="eastAsia" w:ascii="宋体" w:hAnsi="宋体" w:eastAsia="宋体" w:cs="Times New Roman"/>
                <w:szCs w:val="21"/>
              </w:rPr>
              <w:t>第二节</w:t>
            </w:r>
          </w:p>
          <w:p w14:paraId="6E11AF76">
            <w:pPr>
              <w:adjustRightInd w:val="0"/>
              <w:snapToGrid w:val="0"/>
              <w:jc w:val="center"/>
              <w:outlineLvl w:val="9"/>
              <w:rPr>
                <w:rFonts w:hint="default" w:ascii="宋体" w:hAnsi="宋体" w:eastAsia="宋体" w:cs="Times New Roman"/>
                <w:szCs w:val="21"/>
                <w:lang w:val="en-US" w:eastAsia="zh-CN"/>
              </w:rPr>
            </w:pPr>
            <w:r>
              <w:rPr>
                <w:rFonts w:hint="eastAsia" w:ascii="宋体" w:hAnsi="宋体" w:eastAsia="宋体" w:cs="Times New Roman"/>
                <w:szCs w:val="21"/>
              </w:rPr>
              <w:t>第1</w:t>
            </w:r>
            <w:r>
              <w:rPr>
                <w:rFonts w:hint="eastAsia" w:ascii="宋体" w:hAnsi="宋体" w:eastAsia="宋体" w:cs="Times New Roman"/>
                <w:szCs w:val="21"/>
                <w:lang w:val="en-US" w:eastAsia="zh-CN"/>
              </w:rPr>
              <w:t>5</w:t>
            </w:r>
            <w:r>
              <w:rPr>
                <w:rFonts w:hint="eastAsia" w:ascii="宋体" w:hAnsi="宋体" w:eastAsia="宋体" w:cs="Times New Roman"/>
                <w:szCs w:val="21"/>
              </w:rPr>
              <w:t>.</w:t>
            </w:r>
            <w:r>
              <w:rPr>
                <w:rFonts w:hint="eastAsia" w:ascii="宋体" w:hAnsi="宋体" w:eastAsia="宋体" w:cs="Times New Roman"/>
                <w:szCs w:val="21"/>
                <w:lang w:val="en-US" w:eastAsia="zh-CN"/>
              </w:rPr>
              <w:t>1款</w:t>
            </w:r>
          </w:p>
        </w:tc>
        <w:tc>
          <w:tcPr>
            <w:tcW w:w="1742" w:type="dxa"/>
            <w:vAlign w:val="center"/>
          </w:tcPr>
          <w:p w14:paraId="3AFA64A4">
            <w:pPr>
              <w:adjustRightInd w:val="0"/>
              <w:snapToGrid w:val="0"/>
              <w:jc w:val="left"/>
              <w:outlineLvl w:val="9"/>
              <w:rPr>
                <w:rFonts w:hint="eastAsia" w:ascii="宋体" w:hAnsi="宋体" w:eastAsia="宋体" w:cs="Times New Roman"/>
                <w:szCs w:val="21"/>
              </w:rPr>
            </w:pPr>
            <w:r>
              <w:rPr>
                <w:rFonts w:hint="eastAsia" w:ascii="宋体" w:hAnsi="宋体" w:eastAsia="宋体" w:cs="Times New Roman"/>
                <w:color w:val="auto"/>
                <w:szCs w:val="21"/>
                <w:highlight w:val="none"/>
                <w:lang w:eastAsia="zh-CN"/>
              </w:rPr>
              <w:t>修理、重作、更换相关具体规定</w:t>
            </w:r>
          </w:p>
        </w:tc>
        <w:tc>
          <w:tcPr>
            <w:tcW w:w="5170" w:type="dxa"/>
            <w:vAlign w:val="center"/>
          </w:tcPr>
          <w:p w14:paraId="2C21D616">
            <w:pPr>
              <w:adjustRightInd w:val="0"/>
              <w:snapToGrid w:val="0"/>
              <w:jc w:val="left"/>
              <w:outlineLvl w:val="9"/>
              <w:rPr>
                <w:rFonts w:ascii="宋体" w:hAnsi="宋体" w:eastAsia="宋体" w:cs="Times New Roman"/>
                <w:szCs w:val="21"/>
              </w:rPr>
            </w:pPr>
          </w:p>
        </w:tc>
      </w:tr>
      <w:tr w14:paraId="326B39A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11B334D">
            <w:pPr>
              <w:adjustRightInd w:val="0"/>
              <w:snapToGrid w:val="0"/>
              <w:jc w:val="center"/>
              <w:outlineLvl w:val="9"/>
              <w:rPr>
                <w:rFonts w:ascii="宋体" w:hAnsi="宋体" w:eastAsia="宋体" w:cs="Times New Roman"/>
                <w:szCs w:val="21"/>
              </w:rPr>
            </w:pPr>
            <w:r>
              <w:rPr>
                <w:rFonts w:hint="eastAsia" w:ascii="宋体" w:hAnsi="宋体" w:eastAsia="宋体" w:cs="Times New Roman"/>
                <w:szCs w:val="21"/>
              </w:rPr>
              <w:t>第二节</w:t>
            </w:r>
          </w:p>
          <w:p w14:paraId="5BE70ACC">
            <w:pPr>
              <w:adjustRightInd w:val="0"/>
              <w:snapToGrid w:val="0"/>
              <w:jc w:val="center"/>
              <w:outlineLvl w:val="9"/>
              <w:rPr>
                <w:rFonts w:ascii="宋体" w:hAnsi="宋体" w:eastAsia="宋体" w:cs="Times New Roman"/>
                <w:szCs w:val="21"/>
              </w:rPr>
            </w:pPr>
            <w:r>
              <w:rPr>
                <w:rFonts w:hint="eastAsia" w:ascii="宋体" w:hAnsi="宋体" w:eastAsia="宋体" w:cs="Times New Roman"/>
                <w:szCs w:val="21"/>
              </w:rPr>
              <w:t>第1</w:t>
            </w:r>
            <w:r>
              <w:rPr>
                <w:rFonts w:hint="eastAsia" w:ascii="宋体" w:hAnsi="宋体" w:eastAsia="宋体" w:cs="Times New Roman"/>
                <w:szCs w:val="21"/>
                <w:lang w:val="en-US" w:eastAsia="zh-CN"/>
              </w:rPr>
              <w:t>5</w:t>
            </w:r>
            <w:r>
              <w:rPr>
                <w:rFonts w:hint="eastAsia" w:ascii="宋体" w:hAnsi="宋体" w:eastAsia="宋体" w:cs="Times New Roman"/>
                <w:szCs w:val="21"/>
              </w:rPr>
              <w:t>.2（2）项</w:t>
            </w:r>
          </w:p>
        </w:tc>
        <w:tc>
          <w:tcPr>
            <w:tcW w:w="1742" w:type="dxa"/>
            <w:vAlign w:val="center"/>
          </w:tcPr>
          <w:p w14:paraId="28DE66B3">
            <w:pPr>
              <w:adjustRightInd w:val="0"/>
              <w:snapToGrid w:val="0"/>
              <w:jc w:val="left"/>
              <w:outlineLvl w:val="9"/>
              <w:rPr>
                <w:rFonts w:ascii="宋体" w:hAnsi="宋体" w:eastAsia="宋体" w:cs="Times New Roman"/>
                <w:szCs w:val="21"/>
              </w:rPr>
            </w:pPr>
            <w:r>
              <w:rPr>
                <w:rFonts w:hint="eastAsia" w:ascii="宋体" w:hAnsi="宋体" w:eastAsia="宋体" w:cs="Times New Roman"/>
                <w:szCs w:val="21"/>
              </w:rPr>
              <w:t>迟延交货赔偿费</w:t>
            </w:r>
          </w:p>
        </w:tc>
        <w:tc>
          <w:tcPr>
            <w:tcW w:w="5170" w:type="dxa"/>
            <w:vAlign w:val="center"/>
          </w:tcPr>
          <w:p w14:paraId="0D3A99C2">
            <w:pPr>
              <w:adjustRightInd w:val="0"/>
              <w:snapToGrid w:val="0"/>
              <w:jc w:val="left"/>
              <w:outlineLvl w:val="9"/>
              <w:rPr>
                <w:rFonts w:ascii="宋体" w:hAnsi="宋体" w:eastAsia="宋体" w:cs="Times New Roman"/>
                <w:szCs w:val="21"/>
                <w:u w:val="single"/>
              </w:rPr>
            </w:pPr>
          </w:p>
        </w:tc>
      </w:tr>
      <w:tr w14:paraId="066DB8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3F76F29">
            <w:pPr>
              <w:adjustRightInd w:val="0"/>
              <w:snapToGrid w:val="0"/>
              <w:jc w:val="center"/>
              <w:outlineLvl w:val="9"/>
              <w:rPr>
                <w:rFonts w:ascii="宋体" w:hAnsi="宋体" w:eastAsia="宋体" w:cs="Times New Roman"/>
                <w:szCs w:val="21"/>
              </w:rPr>
            </w:pPr>
            <w:r>
              <w:rPr>
                <w:rFonts w:hint="eastAsia" w:ascii="宋体" w:hAnsi="宋体" w:eastAsia="宋体" w:cs="Times New Roman"/>
                <w:szCs w:val="21"/>
              </w:rPr>
              <w:t>第二节</w:t>
            </w:r>
          </w:p>
          <w:p w14:paraId="7AA0CFC9">
            <w:pPr>
              <w:adjustRightInd w:val="0"/>
              <w:snapToGrid w:val="0"/>
              <w:jc w:val="center"/>
              <w:outlineLvl w:val="9"/>
              <w:rPr>
                <w:rFonts w:hint="eastAsia" w:ascii="宋体" w:hAnsi="宋体" w:eastAsia="宋体" w:cs="Times New Roman"/>
                <w:szCs w:val="21"/>
              </w:rPr>
            </w:pPr>
            <w:r>
              <w:rPr>
                <w:rFonts w:hint="eastAsia" w:ascii="宋体" w:hAnsi="宋体" w:eastAsia="宋体" w:cs="Times New Roman"/>
                <w:szCs w:val="21"/>
              </w:rPr>
              <w:t>第1</w:t>
            </w:r>
            <w:r>
              <w:rPr>
                <w:rFonts w:hint="eastAsia" w:ascii="宋体" w:hAnsi="宋体" w:eastAsia="宋体" w:cs="Times New Roman"/>
                <w:szCs w:val="21"/>
                <w:lang w:val="en-US" w:eastAsia="zh-CN"/>
              </w:rPr>
              <w:t>5</w:t>
            </w:r>
            <w:r>
              <w:rPr>
                <w:rFonts w:hint="eastAsia" w:ascii="宋体" w:hAnsi="宋体" w:eastAsia="宋体" w:cs="Times New Roman"/>
                <w:szCs w:val="21"/>
              </w:rPr>
              <w:t>.</w:t>
            </w:r>
            <w:r>
              <w:rPr>
                <w:rFonts w:hint="eastAsia" w:ascii="宋体" w:hAnsi="宋体" w:eastAsia="宋体" w:cs="Times New Roman"/>
                <w:szCs w:val="21"/>
                <w:lang w:val="en-US" w:eastAsia="zh-CN"/>
              </w:rPr>
              <w:t>3款</w:t>
            </w:r>
          </w:p>
        </w:tc>
        <w:tc>
          <w:tcPr>
            <w:tcW w:w="1742" w:type="dxa"/>
            <w:vAlign w:val="center"/>
          </w:tcPr>
          <w:p w14:paraId="295538AC">
            <w:pPr>
              <w:adjustRightInd w:val="0"/>
              <w:snapToGrid w:val="0"/>
              <w:jc w:val="left"/>
              <w:outlineLvl w:val="9"/>
              <w:rPr>
                <w:rFonts w:hint="eastAsia" w:ascii="宋体" w:hAnsi="宋体" w:eastAsia="宋体" w:cs="Times New Roman"/>
                <w:szCs w:val="21"/>
              </w:rPr>
            </w:pPr>
            <w:r>
              <w:rPr>
                <w:rFonts w:hint="eastAsia" w:ascii="宋体" w:hAnsi="宋体" w:eastAsia="宋体" w:cs="Times New Roman"/>
                <w:szCs w:val="21"/>
              </w:rPr>
              <w:t>逾期付款利息</w:t>
            </w:r>
          </w:p>
        </w:tc>
        <w:tc>
          <w:tcPr>
            <w:tcW w:w="5170" w:type="dxa"/>
            <w:vAlign w:val="center"/>
          </w:tcPr>
          <w:p w14:paraId="2DABE94F">
            <w:pPr>
              <w:adjustRightInd w:val="0"/>
              <w:snapToGrid w:val="0"/>
              <w:jc w:val="left"/>
              <w:outlineLvl w:val="9"/>
              <w:rPr>
                <w:rFonts w:ascii="宋体" w:hAnsi="宋体" w:eastAsia="宋体" w:cs="Times New Roman"/>
                <w:szCs w:val="21"/>
                <w:u w:val="single"/>
              </w:rPr>
            </w:pPr>
          </w:p>
        </w:tc>
      </w:tr>
      <w:tr w14:paraId="382FCC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080EEFC2">
            <w:pPr>
              <w:adjustRightInd w:val="0"/>
              <w:snapToGrid w:val="0"/>
              <w:jc w:val="center"/>
              <w:outlineLvl w:val="9"/>
              <w:rPr>
                <w:rFonts w:ascii="宋体" w:hAnsi="宋体" w:eastAsia="宋体" w:cs="Times New Roman"/>
                <w:szCs w:val="21"/>
              </w:rPr>
            </w:pPr>
            <w:r>
              <w:rPr>
                <w:rFonts w:hint="eastAsia" w:ascii="宋体" w:hAnsi="宋体" w:eastAsia="宋体" w:cs="Times New Roman"/>
                <w:szCs w:val="21"/>
              </w:rPr>
              <w:t>第二节</w:t>
            </w:r>
          </w:p>
          <w:p w14:paraId="77DC5B01">
            <w:pPr>
              <w:adjustRightInd w:val="0"/>
              <w:snapToGrid w:val="0"/>
              <w:jc w:val="center"/>
              <w:outlineLvl w:val="9"/>
              <w:rPr>
                <w:rFonts w:ascii="宋体" w:hAnsi="宋体" w:eastAsia="宋体" w:cs="Times New Roman"/>
                <w:szCs w:val="21"/>
              </w:rPr>
            </w:pPr>
            <w:r>
              <w:rPr>
                <w:rFonts w:hint="eastAsia" w:ascii="宋体" w:hAnsi="宋体" w:eastAsia="宋体" w:cs="Times New Roman"/>
                <w:szCs w:val="21"/>
              </w:rPr>
              <w:t>第1</w:t>
            </w:r>
            <w:r>
              <w:rPr>
                <w:rFonts w:hint="eastAsia" w:ascii="宋体" w:hAnsi="宋体" w:eastAsia="宋体" w:cs="Times New Roman"/>
                <w:szCs w:val="21"/>
                <w:lang w:val="en-US" w:eastAsia="zh-CN"/>
              </w:rPr>
              <w:t>5</w:t>
            </w:r>
            <w:r>
              <w:rPr>
                <w:rFonts w:hint="eastAsia" w:ascii="宋体" w:hAnsi="宋体" w:eastAsia="宋体" w:cs="Times New Roman"/>
                <w:szCs w:val="21"/>
              </w:rPr>
              <w:t>.4</w:t>
            </w:r>
            <w:r>
              <w:rPr>
                <w:rFonts w:hint="eastAsia" w:ascii="宋体" w:hAnsi="宋体" w:eastAsia="宋体" w:cs="Times New Roman"/>
                <w:szCs w:val="21"/>
                <w:lang w:val="en-US" w:eastAsia="zh-CN"/>
              </w:rPr>
              <w:t>款</w:t>
            </w:r>
          </w:p>
        </w:tc>
        <w:tc>
          <w:tcPr>
            <w:tcW w:w="1742" w:type="dxa"/>
            <w:tcBorders>
              <w:left w:val="single" w:color="auto" w:sz="2" w:space="0"/>
              <w:bottom w:val="single" w:color="auto" w:sz="2" w:space="0"/>
              <w:right w:val="single" w:color="auto" w:sz="2" w:space="0"/>
            </w:tcBorders>
            <w:vAlign w:val="center"/>
          </w:tcPr>
          <w:p w14:paraId="2791C043">
            <w:pPr>
              <w:adjustRightInd w:val="0"/>
              <w:snapToGrid w:val="0"/>
              <w:jc w:val="left"/>
              <w:outlineLvl w:val="9"/>
              <w:rPr>
                <w:rFonts w:ascii="宋体" w:hAnsi="宋体" w:eastAsia="宋体" w:cs="Times New Roman"/>
                <w:szCs w:val="21"/>
              </w:rPr>
            </w:pPr>
            <w:r>
              <w:rPr>
                <w:rFonts w:hint="eastAsia" w:ascii="宋体" w:hAnsi="宋体" w:eastAsia="宋体" w:cs="Times New Roman"/>
                <w:szCs w:val="21"/>
              </w:rPr>
              <w:t>其他违约责任</w:t>
            </w:r>
          </w:p>
        </w:tc>
        <w:tc>
          <w:tcPr>
            <w:tcW w:w="5170" w:type="dxa"/>
            <w:tcBorders>
              <w:left w:val="single" w:color="auto" w:sz="2" w:space="0"/>
              <w:bottom w:val="single" w:color="auto" w:sz="2" w:space="0"/>
            </w:tcBorders>
            <w:vAlign w:val="center"/>
          </w:tcPr>
          <w:p w14:paraId="531B5794">
            <w:pPr>
              <w:adjustRightInd w:val="0"/>
              <w:snapToGrid w:val="0"/>
              <w:jc w:val="left"/>
              <w:outlineLvl w:val="9"/>
              <w:rPr>
                <w:rFonts w:ascii="宋体" w:hAnsi="宋体" w:eastAsia="宋体" w:cs="Times New Roman"/>
                <w:szCs w:val="21"/>
                <w:u w:val="single"/>
              </w:rPr>
            </w:pPr>
          </w:p>
        </w:tc>
      </w:tr>
      <w:tr w14:paraId="0CF5D4F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7EFAB947">
            <w:pPr>
              <w:adjustRightInd w:val="0"/>
              <w:snapToGrid w:val="0"/>
              <w:jc w:val="center"/>
              <w:outlineLvl w:val="9"/>
              <w:rPr>
                <w:rFonts w:ascii="宋体" w:hAnsi="宋体" w:eastAsia="宋体" w:cs="Times New Roman"/>
                <w:szCs w:val="21"/>
              </w:rPr>
            </w:pPr>
            <w:r>
              <w:rPr>
                <w:rFonts w:hint="eastAsia" w:ascii="宋体" w:hAnsi="宋体" w:eastAsia="宋体" w:cs="Times New Roman"/>
                <w:szCs w:val="21"/>
              </w:rPr>
              <w:t>第二节</w:t>
            </w:r>
          </w:p>
          <w:p w14:paraId="38992C8C">
            <w:pPr>
              <w:adjustRightInd w:val="0"/>
              <w:snapToGrid w:val="0"/>
              <w:jc w:val="center"/>
              <w:outlineLvl w:val="9"/>
              <w:rPr>
                <w:rFonts w:ascii="宋体" w:hAnsi="宋体" w:eastAsia="宋体" w:cs="Times New Roman"/>
                <w:szCs w:val="21"/>
              </w:rPr>
            </w:pPr>
            <w:r>
              <w:rPr>
                <w:rFonts w:hint="eastAsia" w:ascii="宋体" w:hAnsi="宋体" w:eastAsia="宋体" w:cs="Times New Roman"/>
                <w:szCs w:val="21"/>
              </w:rPr>
              <w:t>第</w:t>
            </w:r>
            <w:r>
              <w:rPr>
                <w:rFonts w:hint="eastAsia" w:ascii="宋体" w:hAnsi="宋体" w:eastAsia="宋体" w:cs="Times New Roman"/>
                <w:szCs w:val="21"/>
                <w:lang w:val="en-US" w:eastAsia="zh-CN"/>
              </w:rPr>
              <w:t>19</w:t>
            </w:r>
            <w:r>
              <w:rPr>
                <w:rFonts w:hint="eastAsia" w:ascii="宋体" w:hAnsi="宋体" w:eastAsia="宋体" w:cs="Times New Roman"/>
                <w:szCs w:val="21"/>
              </w:rPr>
              <w:t>.2</w:t>
            </w:r>
            <w:r>
              <w:rPr>
                <w:rFonts w:hint="eastAsia" w:ascii="宋体" w:hAnsi="宋体" w:eastAsia="宋体" w:cs="Times New Roman"/>
                <w:szCs w:val="21"/>
                <w:lang w:val="en-US" w:eastAsia="zh-CN"/>
              </w:rPr>
              <w:t>款</w:t>
            </w:r>
          </w:p>
        </w:tc>
        <w:tc>
          <w:tcPr>
            <w:tcW w:w="1742" w:type="dxa"/>
            <w:tcBorders>
              <w:top w:val="single" w:color="auto" w:sz="2" w:space="0"/>
              <w:left w:val="single" w:color="auto" w:sz="2" w:space="0"/>
              <w:right w:val="single" w:color="auto" w:sz="2" w:space="0"/>
            </w:tcBorders>
            <w:vAlign w:val="center"/>
          </w:tcPr>
          <w:p w14:paraId="7D1715DC">
            <w:pPr>
              <w:adjustRightInd w:val="0"/>
              <w:snapToGrid w:val="0"/>
              <w:jc w:val="left"/>
              <w:outlineLvl w:val="9"/>
              <w:rPr>
                <w:rFonts w:ascii="宋体" w:hAnsi="宋体" w:eastAsia="宋体" w:cs="Times New Roman"/>
                <w:szCs w:val="21"/>
              </w:rPr>
            </w:pPr>
            <w:r>
              <w:rPr>
                <w:rFonts w:hint="eastAsia" w:ascii="宋体" w:hAnsi="宋体" w:eastAsia="宋体" w:cs="Times New Roman"/>
                <w:szCs w:val="21"/>
                <w:lang w:val="en-US" w:eastAsia="zh-CN"/>
              </w:rPr>
              <w:t>解决争议的方法</w:t>
            </w:r>
          </w:p>
        </w:tc>
        <w:tc>
          <w:tcPr>
            <w:tcW w:w="5170" w:type="dxa"/>
            <w:tcBorders>
              <w:top w:val="single" w:color="auto" w:sz="2" w:space="0"/>
              <w:left w:val="single" w:color="auto" w:sz="2" w:space="0"/>
            </w:tcBorders>
            <w:vAlign w:val="center"/>
          </w:tcPr>
          <w:p w14:paraId="7B8CA380">
            <w:pPr>
              <w:autoSpaceDE w:val="0"/>
              <w:autoSpaceDN w:val="0"/>
              <w:adjustRightInd w:val="0"/>
              <w:snapToGrid w:val="0"/>
              <w:spacing w:line="400" w:lineRule="exact"/>
              <w:jc w:val="left"/>
              <w:outlineLvl w:val="9"/>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14:paraId="4A134625">
            <w:pPr>
              <w:autoSpaceDE w:val="0"/>
              <w:autoSpaceDN w:val="0"/>
              <w:adjustRightInd w:val="0"/>
              <w:snapToGrid w:val="0"/>
              <w:spacing w:line="400" w:lineRule="exact"/>
              <w:jc w:val="left"/>
              <w:outlineLvl w:val="9"/>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14:paraId="265BB520">
            <w:pPr>
              <w:adjustRightInd w:val="0"/>
              <w:snapToGrid w:val="0"/>
              <w:ind w:firstLine="0" w:firstLineChars="0"/>
              <w:jc w:val="left"/>
              <w:outlineLvl w:val="9"/>
              <w:rPr>
                <w:rFonts w:ascii="宋体" w:hAnsi="宋体" w:eastAsia="宋体" w:cs="Times New Roman"/>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14:paraId="2556B6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04E5FB24">
            <w:pPr>
              <w:adjustRightInd w:val="0"/>
              <w:snapToGrid w:val="0"/>
              <w:jc w:val="center"/>
              <w:outlineLvl w:val="9"/>
              <w:rPr>
                <w:rFonts w:ascii="宋体" w:hAnsi="宋体" w:eastAsia="宋体" w:cs="Times New Roman"/>
                <w:szCs w:val="21"/>
              </w:rPr>
            </w:pPr>
            <w:r>
              <w:rPr>
                <w:rFonts w:hint="eastAsia" w:ascii="宋体" w:hAnsi="宋体" w:eastAsia="宋体" w:cs="Times New Roman"/>
                <w:szCs w:val="21"/>
              </w:rPr>
              <w:t>第二节</w:t>
            </w:r>
          </w:p>
          <w:p w14:paraId="59A014DD">
            <w:pPr>
              <w:adjustRightInd w:val="0"/>
              <w:snapToGrid w:val="0"/>
              <w:jc w:val="center"/>
              <w:outlineLvl w:val="9"/>
              <w:rPr>
                <w:rFonts w:ascii="宋体" w:hAnsi="宋体" w:eastAsia="宋体" w:cs="Times New Roman"/>
                <w:szCs w:val="21"/>
              </w:rPr>
            </w:pPr>
            <w:r>
              <w:rPr>
                <w:rFonts w:hint="eastAsia" w:ascii="宋体" w:hAnsi="宋体" w:eastAsia="宋体" w:cs="Times New Roman"/>
                <w:szCs w:val="21"/>
              </w:rPr>
              <w:t>第2</w:t>
            </w:r>
            <w:r>
              <w:rPr>
                <w:rFonts w:hint="eastAsia" w:ascii="宋体" w:hAnsi="宋体" w:eastAsia="宋体" w:cs="Times New Roman"/>
                <w:szCs w:val="21"/>
                <w:lang w:val="en-US" w:eastAsia="zh-CN"/>
              </w:rPr>
              <w:t>3.1</w:t>
            </w:r>
            <w:r>
              <w:rPr>
                <w:rFonts w:hint="eastAsia" w:ascii="宋体" w:hAnsi="宋体" w:eastAsia="宋体" w:cs="Times New Roman"/>
                <w:szCs w:val="21"/>
                <w:lang w:eastAsia="zh-CN"/>
              </w:rPr>
              <w:t>款</w:t>
            </w:r>
          </w:p>
        </w:tc>
        <w:tc>
          <w:tcPr>
            <w:tcW w:w="1742" w:type="dxa"/>
            <w:vAlign w:val="center"/>
          </w:tcPr>
          <w:p w14:paraId="67037478">
            <w:pPr>
              <w:adjustRightInd w:val="0"/>
              <w:snapToGrid w:val="0"/>
              <w:jc w:val="left"/>
              <w:outlineLvl w:val="9"/>
              <w:rPr>
                <w:rFonts w:ascii="宋体" w:hAnsi="宋体" w:eastAsia="宋体" w:cs="Times New Roman"/>
                <w:szCs w:val="21"/>
              </w:rPr>
            </w:pPr>
            <w:r>
              <w:rPr>
                <w:rFonts w:hint="eastAsia" w:ascii="宋体" w:hAnsi="宋体" w:eastAsia="宋体" w:cs="Times New Roman"/>
                <w:bCs/>
                <w:color w:val="auto"/>
                <w:szCs w:val="21"/>
                <w:highlight w:val="none"/>
                <w:lang w:eastAsia="zh-CN"/>
              </w:rPr>
              <w:t>其他专用条款</w:t>
            </w:r>
          </w:p>
        </w:tc>
        <w:tc>
          <w:tcPr>
            <w:tcW w:w="5170" w:type="dxa"/>
            <w:vAlign w:val="center"/>
          </w:tcPr>
          <w:p w14:paraId="44F5E907">
            <w:pPr>
              <w:adjustRightInd w:val="0"/>
              <w:snapToGrid w:val="0"/>
              <w:jc w:val="left"/>
              <w:outlineLvl w:val="9"/>
              <w:rPr>
                <w:rFonts w:hint="default" w:ascii="宋体" w:hAnsi="宋体" w:eastAsia="宋体" w:cs="Times New Roman"/>
                <w:szCs w:val="21"/>
                <w:lang w:val="en-US" w:eastAsia="zh-CN"/>
              </w:rPr>
            </w:pPr>
          </w:p>
        </w:tc>
      </w:tr>
    </w:tbl>
    <w:p w14:paraId="652DB065">
      <w:pPr>
        <w:outlineLvl w:val="9"/>
        <w:rPr>
          <w:rFonts w:ascii="Times New Roman" w:hAnsi="Times New Roman" w:eastAsia="宋体" w:cs="Times New Roman"/>
          <w:szCs w:val="24"/>
        </w:rPr>
      </w:pPr>
    </w:p>
    <w:p w14:paraId="69ED2745">
      <w:pPr>
        <w:outlineLvl w:val="9"/>
        <w:rPr>
          <w:rFonts w:ascii="Times New Roman" w:hAnsi="Times New Roman" w:eastAsia="宋体" w:cs="Times New Roman"/>
          <w:szCs w:val="24"/>
        </w:rPr>
      </w:pPr>
    </w:p>
    <w:p w14:paraId="62528F9B">
      <w:pPr>
        <w:pStyle w:val="17"/>
        <w:ind w:left="0"/>
        <w:outlineLvl w:val="9"/>
        <w:rPr>
          <w:rFonts w:ascii="宋体" w:cs="Times New Roman"/>
        </w:rPr>
      </w:pPr>
    </w:p>
    <w:sectPr>
      <w:headerReference r:id="rId9" w:type="default"/>
      <w:footerReference r:id="rId10"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BC796">
    <w:pPr>
      <w:pStyle w:val="2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4788A97">
                          <w:pPr>
                            <w:pStyle w:val="2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vZYhMoBAACcAwAADgAAAGRycy9lMm9Eb2MueG1srVPNjtMwEL4j8Q6W&#10;79RpB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1lW&#10;q1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bvZYhMoBAACcAwAADgAAAAAAAAABACAAAAAeAQAAZHJzL2Uyb0Rv&#10;Yy54bWxQSwUGAAAAAAYABgBZAQAAWgUAAAAA&#10;">
              <v:fill on="f" focussize="0,0"/>
              <v:stroke on="f"/>
              <v:imagedata o:title=""/>
              <o:lock v:ext="edit" aspectratio="f"/>
              <v:textbox inset="0mm,0mm,0mm,0mm" style="mso-fit-shape-to-text:t;">
                <w:txbxContent>
                  <w:p w14:paraId="14788A97">
                    <w:pPr>
                      <w:pStyle w:val="2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5C75B">
    <w:pPr>
      <w:spacing w:line="125" w:lineRule="exact"/>
      <w:rPr>
        <w:rFonts w:eastAsia="Times New Roman"/>
        <w:sz w:val="18"/>
        <w:szCs w:val="18"/>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D58A646">
                          <w:pPr>
                            <w:pStyle w:val="28"/>
                          </w:pPr>
                          <w:r>
                            <w:t xml:space="preserve">第 </w:t>
                          </w:r>
                          <w:r>
                            <w:fldChar w:fldCharType="begin"/>
                          </w:r>
                          <w:r>
                            <w:instrText xml:space="preserve"> PAGE  \* MERGEFORMAT </w:instrText>
                          </w:r>
                          <w:r>
                            <w:fldChar w:fldCharType="separate"/>
                          </w:r>
                          <w:r>
                            <w:t>47</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wrap="none" lIns="0" tIns="0" rIns="0" bIns="0" upright="1">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FbS0ckBAACaAwAADgAAAGRycy9lMm9Eb2MueG1srVPNjtMwEL4j8Q6W&#10;79Rpk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mJ4xYHfvn+7fLj1+XnV7J8&#10;nfvTB6gx7S5gYhre+gG3ZvYDOrPsQUWbvyiIYBy7e752Vw6JiPxovVqvKwwJjM0XxGcPz0OE9E56&#10;S7LR0IjjK13lpw+QxtQ5JVdz/lYbU0Zo3F8OxMwelrmPHLOVhv0wCdr79ox6epx8Qx0uOiXmvcPG&#10;5iWZjTgb+9k4hqgPHVJbFl4Q3hwTkijccoURdiqMIyvqpvXKO/HnvWQ9/FLb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AVtLRyQEAAJoDAAAOAAAAAAAAAAEAIAAAAB4BAABkcnMvZTJvRG9j&#10;LnhtbFBLBQYAAAAABgAGAFkBAABZBQAAAAA=&#10;">
              <v:fill on="f" focussize="0,0"/>
              <v:stroke on="f"/>
              <v:imagedata o:title=""/>
              <o:lock v:ext="edit" aspectratio="f"/>
              <v:textbox inset="0mm,0mm,0mm,0mm" style="mso-fit-shape-to-text:t;">
                <w:txbxContent>
                  <w:p w14:paraId="3D58A646">
                    <w:pPr>
                      <w:pStyle w:val="28"/>
                    </w:pPr>
                    <w:r>
                      <w:t xml:space="preserve">第 </w:t>
                    </w:r>
                    <w:r>
                      <w:fldChar w:fldCharType="begin"/>
                    </w:r>
                    <w:r>
                      <w:instrText xml:space="preserve"> PAGE  \* MERGEFORMAT </w:instrText>
                    </w:r>
                    <w:r>
                      <w:fldChar w:fldCharType="separate"/>
                    </w:r>
                    <w:r>
                      <w:t>47</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36EFBF1">
                          <w:pPr>
                            <w:pStyle w:val="28"/>
                          </w:pP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&#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ARghFq0QEAAKMDAAAOAAAAAAAAAAEAIAAAACIB&#10;AABkcnMvZTJvRG9jLnhtbFBLBQYAAAAABgAGAFkBAABlBQAAAAA=&#10;">
              <v:fill on="f" focussize="0,0"/>
              <v:stroke on="f" weight="1.25pt"/>
              <v:imagedata o:title=""/>
              <o:lock v:ext="edit" aspectratio="f"/>
              <v:textbox inset="0mm,0mm,0mm,0mm" style="mso-fit-shape-to-text:t;">
                <w:txbxContent>
                  <w:p w14:paraId="736EFBF1">
                    <w:pPr>
                      <w:pStyle w:val="28"/>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87861">
    <w:pPr>
      <w:widowControl w:val="0"/>
      <w:tabs>
        <w:tab w:val="center" w:pos="4153"/>
        <w:tab w:val="right" w:pos="8306"/>
      </w:tabs>
      <w:snapToGrid w:val="0"/>
      <w:jc w:val="left"/>
      <w:rPr>
        <w:rFonts w:ascii="Times New Roman" w:hAnsi="Times New Roman" w:eastAsia="宋体" w:cs="Times New Roman"/>
        <w:kern w:val="2"/>
        <w:sz w:val="18"/>
        <w:szCs w:val="24"/>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15943">
    <w:pPr>
      <w:widowControl w:val="0"/>
      <w:tabs>
        <w:tab w:val="center" w:pos="4153"/>
        <w:tab w:val="right" w:pos="8306"/>
      </w:tabs>
      <w:snapToGrid w:val="0"/>
      <w:jc w:val="left"/>
      <w:rPr>
        <w:rFonts w:ascii="Times New Roman" w:hAnsi="Times New Roman" w:eastAsia="宋体" w:cs="Times New Roman"/>
        <w:kern w:val="2"/>
        <w:sz w:val="18"/>
        <w:szCs w:val="24"/>
        <w:lang w:val="en-US" w:eastAsia="zh-CN" w:bidi="ar-SA"/>
      </w:rPr>
    </w:pPr>
    <w:r>
      <w:rPr>
        <w:rFonts w:ascii="Times New Roman" w:hAnsi="Times New Roman" w:eastAsia="宋体"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43087DE">
                          <w:pPr>
                            <w:widowControl w:val="0"/>
                            <w:tabs>
                              <w:tab w:val="center" w:pos="4153"/>
                              <w:tab w:val="right" w:pos="8306"/>
                            </w:tabs>
                            <w:snapToGrid w:val="0"/>
                            <w:jc w:val="left"/>
                            <w:rPr>
                              <w:rFonts w:ascii="Times New Roman" w:hAnsi="Times New Roman" w:eastAsia="宋体" w:cs="Times New Roman"/>
                              <w:kern w:val="2"/>
                              <w:sz w:val="18"/>
                              <w:szCs w:val="24"/>
                              <w:lang w:val="en-US" w:eastAsia="zh-CN" w:bidi="ar-SA"/>
                            </w:rPr>
                          </w:pPr>
                          <w:r>
                            <w:rPr>
                              <w:rFonts w:ascii="Times New Roman" w:hAnsi="Times New Roman" w:eastAsia="宋体" w:cs="Times New Roman"/>
                              <w:kern w:val="2"/>
                              <w:sz w:val="18"/>
                              <w:szCs w:val="24"/>
                              <w:lang w:val="en-US" w:eastAsia="zh-CN" w:bidi="ar-SA"/>
                            </w:rPr>
                            <w:fldChar w:fldCharType="begin"/>
                          </w:r>
                          <w:r>
                            <w:rPr>
                              <w:rFonts w:ascii="Times New Roman" w:hAnsi="Times New Roman" w:eastAsia="宋体" w:cs="Times New Roman"/>
                              <w:kern w:val="2"/>
                              <w:sz w:val="18"/>
                              <w:szCs w:val="24"/>
                              <w:lang w:val="en-US" w:eastAsia="zh-CN" w:bidi="ar-SA"/>
                            </w:rPr>
                            <w:instrText xml:space="preserve"> PAGE  \* MERGEFORMAT </w:instrText>
                          </w:r>
                          <w:r>
                            <w:rPr>
                              <w:rFonts w:ascii="Times New Roman" w:hAnsi="Times New Roman" w:eastAsia="宋体" w:cs="Times New Roman"/>
                              <w:kern w:val="2"/>
                              <w:sz w:val="18"/>
                              <w:szCs w:val="24"/>
                              <w:lang w:val="en-US" w:eastAsia="zh-CN" w:bidi="ar-SA"/>
                            </w:rPr>
                            <w:fldChar w:fldCharType="separate"/>
                          </w:r>
                          <w:r>
                            <w:rPr>
                              <w:rFonts w:ascii="Times New Roman" w:hAnsi="Times New Roman" w:eastAsia="宋体" w:cs="Times New Roman"/>
                              <w:kern w:val="2"/>
                              <w:sz w:val="18"/>
                              <w:szCs w:val="24"/>
                              <w:lang w:val="en-US" w:eastAsia="zh-CN" w:bidi="ar-SA"/>
                            </w:rPr>
                            <w:t>2</w:t>
                          </w:r>
                          <w:r>
                            <w:rPr>
                              <w:rFonts w:ascii="Times New Roman" w:hAnsi="Times New Roman" w:eastAsia="宋体" w:cs="Times New Roman"/>
                              <w:kern w:val="2"/>
                              <w:sz w:val="18"/>
                              <w:szCs w:val="24"/>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luSI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J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BGW5IjgCAABvBAAADgAAAAAAAAABACAAAAAfAQAAZHJzL2Uyb0RvYy54&#10;bWxQSwUGAAAAAAYABgBZAQAAyQUAAAAA&#10;">
              <v:fill on="f" focussize="0,0"/>
              <v:stroke on="f" weight="0.5pt"/>
              <v:imagedata o:title=""/>
              <o:lock v:ext="edit" aspectratio="f"/>
              <v:textbox inset="0mm,0mm,0mm,0mm" style="mso-fit-shape-to-text:t;">
                <w:txbxContent>
                  <w:p w14:paraId="443087DE">
                    <w:pPr>
                      <w:widowControl w:val="0"/>
                      <w:tabs>
                        <w:tab w:val="center" w:pos="4153"/>
                        <w:tab w:val="right" w:pos="8306"/>
                      </w:tabs>
                      <w:snapToGrid w:val="0"/>
                      <w:jc w:val="left"/>
                      <w:rPr>
                        <w:rFonts w:ascii="Times New Roman" w:hAnsi="Times New Roman" w:eastAsia="宋体" w:cs="Times New Roman"/>
                        <w:kern w:val="2"/>
                        <w:sz w:val="18"/>
                        <w:szCs w:val="24"/>
                        <w:lang w:val="en-US" w:eastAsia="zh-CN" w:bidi="ar-SA"/>
                      </w:rPr>
                    </w:pPr>
                    <w:r>
                      <w:rPr>
                        <w:rFonts w:ascii="Times New Roman" w:hAnsi="Times New Roman" w:eastAsia="宋体" w:cs="Times New Roman"/>
                        <w:kern w:val="2"/>
                        <w:sz w:val="18"/>
                        <w:szCs w:val="24"/>
                        <w:lang w:val="en-US" w:eastAsia="zh-CN" w:bidi="ar-SA"/>
                      </w:rPr>
                      <w:fldChar w:fldCharType="begin"/>
                    </w:r>
                    <w:r>
                      <w:rPr>
                        <w:rFonts w:ascii="Times New Roman" w:hAnsi="Times New Roman" w:eastAsia="宋体" w:cs="Times New Roman"/>
                        <w:kern w:val="2"/>
                        <w:sz w:val="18"/>
                        <w:szCs w:val="24"/>
                        <w:lang w:val="en-US" w:eastAsia="zh-CN" w:bidi="ar-SA"/>
                      </w:rPr>
                      <w:instrText xml:space="preserve"> PAGE  \* MERGEFORMAT </w:instrText>
                    </w:r>
                    <w:r>
                      <w:rPr>
                        <w:rFonts w:ascii="Times New Roman" w:hAnsi="Times New Roman" w:eastAsia="宋体" w:cs="Times New Roman"/>
                        <w:kern w:val="2"/>
                        <w:sz w:val="18"/>
                        <w:szCs w:val="24"/>
                        <w:lang w:val="en-US" w:eastAsia="zh-CN" w:bidi="ar-SA"/>
                      </w:rPr>
                      <w:fldChar w:fldCharType="separate"/>
                    </w:r>
                    <w:r>
                      <w:rPr>
                        <w:rFonts w:ascii="Times New Roman" w:hAnsi="Times New Roman" w:eastAsia="宋体" w:cs="Times New Roman"/>
                        <w:kern w:val="2"/>
                        <w:sz w:val="18"/>
                        <w:szCs w:val="24"/>
                        <w:lang w:val="en-US" w:eastAsia="zh-CN" w:bidi="ar-SA"/>
                      </w:rPr>
                      <w:t>2</w:t>
                    </w:r>
                    <w:r>
                      <w:rPr>
                        <w:rFonts w:ascii="Times New Roman" w:hAnsi="Times New Roman" w:eastAsia="宋体" w:cs="Times New Roman"/>
                        <w:kern w:val="2"/>
                        <w:sz w:val="18"/>
                        <w:szCs w:val="24"/>
                        <w:lang w:val="en-US" w:eastAsia="zh-CN" w:bidi="ar-S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A2078">
    <w:pPr>
      <w:pStyle w:val="30"/>
      <w:pBdr>
        <w:bottom w:val="none" w:color="auto" w:sz="0" w:space="0"/>
      </w:pBdr>
    </w:pPr>
  </w:p>
  <w:p w14:paraId="2DE371EE">
    <w:pPr>
      <w:pStyle w:val="30"/>
      <w:pBdr>
        <w:bottom w:val="none" w:color="auto" w:sz="0" w:space="0"/>
      </w:pBdr>
    </w:pPr>
  </w:p>
  <w:p w14:paraId="30B3604E">
    <w:pPr>
      <w:pStyle w:val="30"/>
      <w:pBdr>
        <w:bottom w:val="none" w:color="auto" w:sz="0" w:space="0"/>
      </w:pBdr>
    </w:pPr>
  </w:p>
  <w:p w14:paraId="3FD7D032">
    <w:pPr>
      <w:pStyle w:val="30"/>
      <w:pBdr>
        <w:bottom w:val="none" w:color="auto" w:sz="0" w:space="0"/>
      </w:pBdr>
      <w:tabs>
        <w:tab w:val="left" w:pos="2881"/>
      </w:tabs>
      <w:jc w:val="left"/>
      <w:rPr>
        <w:rFonts w:hint="default" w:eastAsia="宋体"/>
        <w:lang w:val="en-US" w:eastAsia="zh-CN"/>
      </w:rPr>
    </w:pPr>
    <w:r>
      <w:rPr>
        <w:rFonts w:hint="eastAsia"/>
        <w:lang w:val="en-US" w:eastAsia="zh-CN"/>
      </w:rPr>
      <w:t>陇南市公共资源交易中心</w:t>
    </w:r>
    <w:r>
      <w:rPr>
        <w:rFonts w:hint="eastAsia"/>
        <w:lang w:eastAsia="zh-CN"/>
      </w:rPr>
      <w:tab/>
    </w:r>
    <w:r>
      <w:rPr>
        <w:rFonts w:hint="eastAsia"/>
        <w:lang w:val="en-US" w:eastAsia="zh-CN"/>
      </w:rPr>
      <w:t xml:space="preserve">                                                 招标文件</w:t>
    </w:r>
  </w:p>
  <w:p w14:paraId="2EBF4A93">
    <w:pPr>
      <w:pStyle w:val="30"/>
      <w:pBdr>
        <w:bottom w:val="double" w:color="auto" w:sz="8" w:space="1"/>
      </w:pBdr>
      <w:jc w:val="left"/>
    </w:pPr>
    <w:r>
      <w:t xml:space="preserve">                                                          </w:t>
    </w:r>
  </w:p>
  <w:p w14:paraId="1368D22E">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F727B">
    <w:pPr>
      <w:pStyle w:val="30"/>
      <w:pBdr>
        <w:bottom w:val="double" w:color="auto" w:sz="8" w:space="1"/>
      </w:pBdr>
      <w:jc w:val="left"/>
    </w:pPr>
    <w:r>
      <w:rPr>
        <w:rFonts w:hint="eastAsia" w:cs="宋体"/>
      </w:rPr>
      <w:t>陇南市公共资源交易中心</w:t>
    </w:r>
    <w:r>
      <w:t xml:space="preserve">                                                              </w:t>
    </w:r>
    <w:r>
      <w:rPr>
        <w:rFonts w:hint="eastAsia" w:cs="宋体"/>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C9C8D">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rPr>
        <w:rFonts w:ascii="Times New Roman" w:hAnsi="Times New Roman" w:eastAsia="宋体" w:cs="Times New Roman"/>
        <w:kern w:val="2"/>
        <w:sz w:val="18"/>
        <w:szCs w:val="24"/>
        <w:lang w:val="en-US" w:eastAsia="zh-CN" w:bidi="ar-S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B40B3">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rPr>
        <w:rFonts w:ascii="Times New Roman" w:hAnsi="Times New Roman" w:eastAsia="宋体" w:cs="Times New Roman"/>
        <w:kern w:val="2"/>
        <w:sz w:val="18"/>
        <w:szCs w:val="24"/>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FFEFC674"/>
    <w:multiLevelType w:val="singleLevel"/>
    <w:tmpl w:val="FFEFC674"/>
    <w:lvl w:ilvl="0" w:tentative="0">
      <w:start w:val="1"/>
      <w:numFmt w:val="decimal"/>
      <w:suff w:val="nothing"/>
      <w:lvlText w:val="（%1）"/>
      <w:lvlJc w:val="left"/>
    </w:lvl>
  </w:abstractNum>
  <w:abstractNum w:abstractNumId="6">
    <w:nsid w:val="0B44F91A"/>
    <w:multiLevelType w:val="singleLevel"/>
    <w:tmpl w:val="0B44F91A"/>
    <w:lvl w:ilvl="0" w:tentative="0">
      <w:start w:val="3"/>
      <w:numFmt w:val="chineseCounting"/>
      <w:suff w:val="space"/>
      <w:lvlText w:val="第%1章"/>
      <w:lvlJc w:val="left"/>
      <w:rPr>
        <w:rFonts w:hint="eastAsia"/>
      </w:rPr>
    </w:lvl>
  </w:abstractNum>
  <w:abstractNum w:abstractNumId="7">
    <w:nsid w:val="0DED69D9"/>
    <w:multiLevelType w:val="multilevel"/>
    <w:tmpl w:val="0DED69D9"/>
    <w:lvl w:ilvl="0" w:tentative="0">
      <w:start w:val="1"/>
      <w:numFmt w:val="decimal"/>
      <w:lvlText w:val="%1."/>
      <w:lvlJc w:val="left"/>
      <w:pPr>
        <w:tabs>
          <w:tab w:val="left" w:pos="425"/>
        </w:tabs>
        <w:ind w:left="425" w:hanging="425"/>
      </w:pPr>
      <w:rPr>
        <w:rFonts w:hint="default" w:ascii="Times New Roman" w:hAnsi="Times New Roman" w:cs="Times New Roman"/>
        <w:b/>
        <w:bCs/>
        <w:color w:val="auto"/>
      </w:rPr>
    </w:lvl>
    <w:lvl w:ilvl="1" w:tentative="0">
      <w:start w:val="1"/>
      <w:numFmt w:val="decimal"/>
      <w:lvlText w:val="%1.%2."/>
      <w:lvlJc w:val="left"/>
      <w:pPr>
        <w:tabs>
          <w:tab w:val="left" w:pos="567"/>
        </w:tabs>
        <w:ind w:left="567" w:hanging="567"/>
      </w:pPr>
      <w:rPr>
        <w:rFonts w:hint="default" w:ascii="Times New Roman" w:hAnsi="Times New Roman" w:cs="Times New Roman"/>
        <w:b w:val="0"/>
        <w:bCs w:val="0"/>
        <w:color w:val="auto"/>
        <w:sz w:val="21"/>
        <w:szCs w:val="21"/>
      </w:rPr>
    </w:lvl>
    <w:lvl w:ilvl="2" w:tentative="0">
      <w:start w:val="1"/>
      <w:numFmt w:val="decimal"/>
      <w:lvlText w:val="%1.%2.%3."/>
      <w:lvlJc w:val="left"/>
      <w:pPr>
        <w:tabs>
          <w:tab w:val="left" w:pos="709"/>
        </w:tabs>
        <w:ind w:left="709" w:hanging="709"/>
      </w:pPr>
      <w:rPr>
        <w:rFonts w:hint="default" w:ascii="Times New Roman" w:hAnsi="Times New Roman" w:cs="Times New Roman"/>
        <w:b w:val="0"/>
        <w:bCs w:val="0"/>
      </w:r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8">
    <w:nsid w:val="1F8145B2"/>
    <w:multiLevelType w:val="multilevel"/>
    <w:tmpl w:val="1F8145B2"/>
    <w:lvl w:ilvl="0" w:tentative="0">
      <w:start w:val="1"/>
      <w:numFmt w:val="decimal"/>
      <w:lvlText w:val="%1."/>
      <w:lvlJc w:val="left"/>
      <w:pPr>
        <w:tabs>
          <w:tab w:val="left" w:pos="425"/>
        </w:tabs>
        <w:ind w:left="425" w:hanging="425"/>
      </w:pPr>
      <w:rPr>
        <w:rFonts w:hint="default" w:ascii="Times New Roman" w:hAnsi="Times New Roman" w:cs="Times New Roman"/>
        <w:b/>
        <w:bCs/>
        <w:color w:val="auto"/>
        <w:sz w:val="24"/>
        <w:szCs w:val="24"/>
      </w:rPr>
    </w:lvl>
    <w:lvl w:ilvl="1" w:tentative="0">
      <w:start w:val="1"/>
      <w:numFmt w:val="decimal"/>
      <w:lvlText w:val="%1.%2."/>
      <w:lvlJc w:val="left"/>
      <w:pPr>
        <w:tabs>
          <w:tab w:val="left" w:pos="567"/>
        </w:tabs>
        <w:ind w:left="567" w:hanging="567"/>
      </w:pPr>
      <w:rPr>
        <w:rFonts w:hint="default" w:ascii="Times New Roman" w:hAnsi="Times New Roman" w:cs="Times New Roman"/>
        <w:b w:val="0"/>
        <w:bCs w:val="0"/>
        <w:color w:val="auto"/>
        <w:sz w:val="21"/>
        <w:szCs w:val="21"/>
      </w:rPr>
    </w:lvl>
    <w:lvl w:ilvl="2" w:tentative="0">
      <w:start w:val="1"/>
      <w:numFmt w:val="decimal"/>
      <w:lvlText w:val="%1.%2.%3."/>
      <w:lvlJc w:val="left"/>
      <w:pPr>
        <w:tabs>
          <w:tab w:val="left" w:pos="709"/>
        </w:tabs>
        <w:ind w:left="709" w:hanging="709"/>
      </w:pPr>
      <w:rPr>
        <w:rFonts w:hint="default" w:ascii="Times New Roman" w:hAnsi="Times New Roman" w:cs="Times New Roman"/>
        <w:b w:val="0"/>
        <w:bCs w:val="0"/>
      </w:r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9">
    <w:nsid w:val="2FD98577"/>
    <w:multiLevelType w:val="singleLevel"/>
    <w:tmpl w:val="2FD98577"/>
    <w:lvl w:ilvl="0" w:tentative="0">
      <w:start w:val="1"/>
      <w:numFmt w:val="chineseCounting"/>
      <w:suff w:val="space"/>
      <w:lvlText w:val="第%1章"/>
      <w:lvlJc w:val="left"/>
      <w:rPr>
        <w:rFonts w:hint="eastAsia"/>
      </w:rPr>
    </w:lvl>
  </w:abstractNum>
  <w:abstractNum w:abstractNumId="10">
    <w:nsid w:val="3EB27E52"/>
    <w:multiLevelType w:val="multilevel"/>
    <w:tmpl w:val="3EB27E52"/>
    <w:lvl w:ilvl="0" w:tentative="0">
      <w:start w:val="1"/>
      <w:numFmt w:val="japaneseCounting"/>
      <w:lvlText w:val="（%1）"/>
      <w:lvlJc w:val="left"/>
      <w:pPr>
        <w:tabs>
          <w:tab w:val="left" w:pos="1350"/>
        </w:tabs>
        <w:ind w:left="1350" w:hanging="720"/>
      </w:pPr>
      <w:rPr>
        <w:rFonts w:hint="default"/>
      </w:rPr>
    </w:lvl>
    <w:lvl w:ilvl="1" w:tentative="0">
      <w:start w:val="1"/>
      <w:numFmt w:val="lowerLetter"/>
      <w:lvlText w:val="%2)"/>
      <w:lvlJc w:val="left"/>
      <w:pPr>
        <w:tabs>
          <w:tab w:val="left" w:pos="1470"/>
        </w:tabs>
        <w:ind w:left="1470" w:hanging="420"/>
      </w:pPr>
    </w:lvl>
    <w:lvl w:ilvl="2" w:tentative="0">
      <w:start w:val="1"/>
      <w:numFmt w:val="lowerRoman"/>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11">
    <w:nsid w:val="3F6C4BCB"/>
    <w:multiLevelType w:val="multilevel"/>
    <w:tmpl w:val="3F6C4BCB"/>
    <w:lvl w:ilvl="0" w:tentative="0">
      <w:start w:val="1"/>
      <w:numFmt w:val="japaneseCounting"/>
      <w:lvlText w:val="（%1）"/>
      <w:lvlJc w:val="left"/>
      <w:pPr>
        <w:tabs>
          <w:tab w:val="left" w:pos="1140"/>
        </w:tabs>
        <w:ind w:left="1140" w:hanging="72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2">
    <w:nsid w:val="407EA0BE"/>
    <w:multiLevelType w:val="singleLevel"/>
    <w:tmpl w:val="407EA0BE"/>
    <w:lvl w:ilvl="0" w:tentative="0">
      <w:start w:val="1"/>
      <w:numFmt w:val="chineseCounting"/>
      <w:suff w:val="nothing"/>
      <w:lvlText w:val="%1、"/>
      <w:lvlJc w:val="left"/>
      <w:rPr>
        <w:rFonts w:hint="eastAsia"/>
      </w:rPr>
    </w:lvl>
  </w:abstractNum>
  <w:abstractNum w:abstractNumId="13">
    <w:nsid w:val="4C398EAC"/>
    <w:multiLevelType w:val="singleLevel"/>
    <w:tmpl w:val="4C398EAC"/>
    <w:lvl w:ilvl="0" w:tentative="0">
      <w:start w:val="2"/>
      <w:numFmt w:val="chineseCounting"/>
      <w:suff w:val="space"/>
      <w:lvlText w:val="第%1部分"/>
      <w:lvlJc w:val="left"/>
      <w:rPr>
        <w:rFonts w:hint="eastAsia"/>
      </w:rPr>
    </w:lvl>
  </w:abstractNum>
  <w:abstractNum w:abstractNumId="14">
    <w:nsid w:val="55FCC359"/>
    <w:multiLevelType w:val="singleLevel"/>
    <w:tmpl w:val="55FCC359"/>
    <w:lvl w:ilvl="0" w:tentative="0">
      <w:start w:val="8"/>
      <w:numFmt w:val="chineseCounting"/>
      <w:suff w:val="nothing"/>
      <w:lvlText w:val="%1、"/>
      <w:lvlJc w:val="left"/>
      <w:pPr>
        <w:ind w:left="522" w:leftChars="0" w:firstLine="0" w:firstLineChars="0"/>
      </w:pPr>
      <w:rPr>
        <w:rFonts w:hint="eastAsia"/>
      </w:rPr>
    </w:lvl>
  </w:abstractNum>
  <w:abstractNum w:abstractNumId="15">
    <w:nsid w:val="57D370C4"/>
    <w:multiLevelType w:val="multilevel"/>
    <w:tmpl w:val="57D370C4"/>
    <w:lvl w:ilvl="0" w:tentative="0">
      <w:start w:val="1"/>
      <w:numFmt w:val="decimal"/>
      <w:lvlText w:val="%1."/>
      <w:lvlJc w:val="left"/>
      <w:pPr>
        <w:tabs>
          <w:tab w:val="left" w:pos="425"/>
        </w:tabs>
        <w:ind w:left="425" w:hanging="425"/>
      </w:pPr>
      <w:rPr>
        <w:rFonts w:hint="default" w:ascii="Times New Roman" w:hAnsi="Times New Roman" w:cs="Times New Roman"/>
        <w:b/>
        <w:bCs/>
        <w:color w:val="auto"/>
      </w:rPr>
    </w:lvl>
    <w:lvl w:ilvl="1" w:tentative="0">
      <w:start w:val="1"/>
      <w:numFmt w:val="decimal"/>
      <w:lvlText w:val="%1.%2."/>
      <w:lvlJc w:val="left"/>
      <w:pPr>
        <w:tabs>
          <w:tab w:val="left" w:pos="567"/>
        </w:tabs>
        <w:ind w:left="567" w:hanging="567"/>
      </w:pPr>
      <w:rPr>
        <w:rFonts w:hint="default" w:ascii="Times New Roman" w:hAnsi="Times New Roman" w:cs="Times New Roman"/>
        <w:b w:val="0"/>
        <w:bCs w:val="0"/>
        <w:color w:val="auto"/>
        <w:sz w:val="21"/>
        <w:szCs w:val="21"/>
      </w:rPr>
    </w:lvl>
    <w:lvl w:ilvl="2" w:tentative="0">
      <w:start w:val="1"/>
      <w:numFmt w:val="decimal"/>
      <w:lvlText w:val="%1.%2.%3."/>
      <w:lvlJc w:val="left"/>
      <w:pPr>
        <w:tabs>
          <w:tab w:val="left" w:pos="709"/>
        </w:tabs>
        <w:ind w:left="709" w:hanging="709"/>
      </w:pPr>
      <w:rPr>
        <w:rFonts w:hint="default" w:ascii="Times New Roman" w:hAnsi="Times New Roman" w:cs="Times New Roman"/>
        <w:b w:val="0"/>
        <w:bCs w:val="0"/>
      </w:r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6">
    <w:nsid w:val="57D4D560"/>
    <w:multiLevelType w:val="multilevel"/>
    <w:tmpl w:val="57D4D560"/>
    <w:lvl w:ilvl="0" w:tentative="0">
      <w:start w:val="35"/>
      <w:numFmt w:val="decimal"/>
      <w:lvlText w:val="%1."/>
      <w:lvlJc w:val="left"/>
      <w:pPr>
        <w:ind w:left="425" w:hanging="425"/>
      </w:pPr>
      <w:rPr>
        <w:rFonts w:hint="default" w:ascii="Times New Roman" w:hAnsi="Times New Roman" w:cs="Times New Roman"/>
        <w:b/>
        <w:bCs/>
        <w:color w:val="auto"/>
      </w:rPr>
    </w:lvl>
    <w:lvl w:ilvl="1" w:tentative="0">
      <w:start w:val="1"/>
      <w:numFmt w:val="decimal"/>
      <w:lvlText w:val="%1.%2."/>
      <w:lvlJc w:val="left"/>
      <w:pPr>
        <w:ind w:left="567" w:hanging="567"/>
      </w:pPr>
      <w:rPr>
        <w:rFonts w:hint="default" w:ascii="宋体" w:hAnsi="宋体" w:eastAsia="宋体"/>
        <w:b w:val="0"/>
        <w:bCs w:val="0"/>
        <w:color w:val="auto"/>
        <w:sz w:val="21"/>
        <w:szCs w:val="21"/>
      </w:rPr>
    </w:lvl>
    <w:lvl w:ilvl="2" w:tentative="0">
      <w:start w:val="1"/>
      <w:numFmt w:val="decimal"/>
      <w:lvlText w:val="%1.%2.%3."/>
      <w:lvlJc w:val="left"/>
      <w:pPr>
        <w:ind w:left="709" w:hanging="709"/>
      </w:pPr>
      <w:rPr>
        <w:rFonts w:hint="default" w:ascii="宋体" w:hAnsi="宋体" w:eastAsia="宋体"/>
        <w:b w:val="0"/>
        <w:bCs w:val="0"/>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7">
    <w:nsid w:val="57D4D604"/>
    <w:multiLevelType w:val="multilevel"/>
    <w:tmpl w:val="57D4D604"/>
    <w:lvl w:ilvl="0" w:tentative="0">
      <w:start w:val="33"/>
      <w:numFmt w:val="decimal"/>
      <w:lvlText w:val="%1."/>
      <w:lvlJc w:val="left"/>
      <w:pPr>
        <w:ind w:left="425" w:hanging="425"/>
      </w:pPr>
      <w:rPr>
        <w:rFonts w:hint="default" w:ascii="Times New Roman" w:hAnsi="Times New Roman" w:cs="Times New Roman"/>
        <w:b/>
        <w:bCs/>
        <w:color w:val="auto"/>
      </w:rPr>
    </w:lvl>
    <w:lvl w:ilvl="1" w:tentative="0">
      <w:start w:val="1"/>
      <w:numFmt w:val="decimal"/>
      <w:lvlText w:val="%1.%2."/>
      <w:lvlJc w:val="left"/>
      <w:pPr>
        <w:ind w:left="567" w:hanging="567"/>
      </w:pPr>
      <w:rPr>
        <w:rFonts w:hint="default" w:ascii="Times New Roman" w:hAnsi="Times New Roman" w:cs="Times New Roman"/>
        <w:b w:val="0"/>
        <w:bCs w:val="0"/>
        <w:color w:val="auto"/>
        <w:sz w:val="21"/>
        <w:szCs w:val="21"/>
      </w:rPr>
    </w:lvl>
    <w:lvl w:ilvl="2" w:tentative="0">
      <w:start w:val="1"/>
      <w:numFmt w:val="decimal"/>
      <w:lvlText w:val="%1.%2.%3."/>
      <w:lvlJc w:val="left"/>
      <w:pPr>
        <w:ind w:left="709" w:hanging="709"/>
      </w:pPr>
      <w:rPr>
        <w:rFonts w:hint="default" w:ascii="Times New Roman" w:hAnsi="Times New Roman" w:cs="Times New Roman"/>
        <w:b w:val="0"/>
        <w:bCs w:val="0"/>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8">
    <w:nsid w:val="5C74B834"/>
    <w:multiLevelType w:val="singleLevel"/>
    <w:tmpl w:val="5C74B834"/>
    <w:lvl w:ilvl="0" w:tentative="0">
      <w:start w:val="1"/>
      <w:numFmt w:val="decimal"/>
      <w:suff w:val="space"/>
      <w:lvlText w:val="%1."/>
      <w:lvlJc w:val="left"/>
    </w:lvl>
  </w:abstractNum>
  <w:abstractNum w:abstractNumId="19">
    <w:nsid w:val="60643E30"/>
    <w:multiLevelType w:val="singleLevel"/>
    <w:tmpl w:val="60643E30"/>
    <w:lvl w:ilvl="0" w:tentative="0">
      <w:start w:val="1"/>
      <w:numFmt w:val="decimal"/>
      <w:suff w:val="nothing"/>
      <w:lvlText w:val="%1."/>
      <w:lvlJc w:val="left"/>
    </w:lvl>
  </w:abstractNum>
  <w:abstractNum w:abstractNumId="20">
    <w:nsid w:val="6F7B0A6F"/>
    <w:multiLevelType w:val="multilevel"/>
    <w:tmpl w:val="6F7B0A6F"/>
    <w:lvl w:ilvl="0" w:tentative="0">
      <w:start w:val="4"/>
      <w:numFmt w:val="japaneseCounting"/>
      <w:pStyle w:val="109"/>
      <w:lvlText w:val="第%1章"/>
      <w:lvlJc w:val="left"/>
      <w:pPr>
        <w:tabs>
          <w:tab w:val="left" w:pos="1200"/>
        </w:tabs>
        <w:ind w:left="1200" w:hanging="1200"/>
      </w:pPr>
      <w:rPr>
        <w:rFonts w:hint="eastAsia"/>
      </w:rPr>
    </w:lvl>
    <w:lvl w:ilvl="1" w:tentative="0">
      <w:start w:val="5"/>
      <w:numFmt w:val="japaneseCounting"/>
      <w:lvlText w:val="%2）"/>
      <w:lvlJc w:val="left"/>
      <w:pPr>
        <w:tabs>
          <w:tab w:val="left" w:pos="840"/>
        </w:tabs>
        <w:ind w:left="840" w:hanging="420"/>
      </w:pPr>
      <w:rPr>
        <w:rFonts w:hint="default" w:ascii="Times New Roman" w:hAnsi="Times New Roman" w:cs="Times New Roman"/>
        <w:sz w:val="21"/>
        <w:szCs w:val="21"/>
        <w:u w:val="none"/>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7A0F6431"/>
    <w:multiLevelType w:val="singleLevel"/>
    <w:tmpl w:val="7A0F6431"/>
    <w:lvl w:ilvl="0" w:tentative="0">
      <w:start w:val="1"/>
      <w:numFmt w:val="decimal"/>
      <w:suff w:val="space"/>
      <w:lvlText w:val="%1."/>
      <w:lvlJc w:val="left"/>
    </w:lvl>
  </w:abstractNum>
  <w:num w:numId="1">
    <w:abstractNumId w:val="20"/>
  </w:num>
  <w:num w:numId="2">
    <w:abstractNumId w:val="9"/>
  </w:num>
  <w:num w:numId="3">
    <w:abstractNumId w:val="15"/>
  </w:num>
  <w:num w:numId="4">
    <w:abstractNumId w:val="11"/>
  </w:num>
  <w:num w:numId="5">
    <w:abstractNumId w:val="10"/>
  </w:num>
  <w:num w:numId="6">
    <w:abstractNumId w:val="17"/>
  </w:num>
  <w:num w:numId="7">
    <w:abstractNumId w:val="16"/>
  </w:num>
  <w:num w:numId="8">
    <w:abstractNumId w:val="6"/>
  </w:num>
  <w:num w:numId="9">
    <w:abstractNumId w:val="13"/>
  </w:num>
  <w:num w:numId="10">
    <w:abstractNumId w:val="12"/>
  </w:num>
  <w:num w:numId="11">
    <w:abstractNumId w:val="8"/>
  </w:num>
  <w:num w:numId="12">
    <w:abstractNumId w:val="7"/>
  </w:num>
  <w:num w:numId="13">
    <w:abstractNumId w:val="14"/>
  </w:num>
  <w:num w:numId="14">
    <w:abstractNumId w:val="19"/>
  </w:num>
  <w:num w:numId="15">
    <w:abstractNumId w:val="18"/>
  </w:num>
  <w:num w:numId="16">
    <w:abstractNumId w:val="21"/>
  </w:num>
  <w:num w:numId="17">
    <w:abstractNumId w:val="1"/>
  </w:num>
  <w:num w:numId="18">
    <w:abstractNumId w:val="5"/>
  </w:num>
  <w:num w:numId="19">
    <w:abstractNumId w:val="3"/>
  </w:num>
  <w:num w:numId="20">
    <w:abstractNumId w:val="2"/>
  </w:num>
  <w:num w:numId="21">
    <w:abstractNumId w:val="0"/>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hNWU0NjZhOGUzZDczZGY4MDRjZjhmYjdiOTcwZWEifQ=="/>
  </w:docVars>
  <w:rsids>
    <w:rsidRoot w:val="00172A27"/>
    <w:rsid w:val="0000031A"/>
    <w:rsid w:val="0000066E"/>
    <w:rsid w:val="0000207C"/>
    <w:rsid w:val="00003535"/>
    <w:rsid w:val="0000443B"/>
    <w:rsid w:val="00004634"/>
    <w:rsid w:val="000048EA"/>
    <w:rsid w:val="00005F29"/>
    <w:rsid w:val="00007015"/>
    <w:rsid w:val="00011118"/>
    <w:rsid w:val="0001222C"/>
    <w:rsid w:val="00012470"/>
    <w:rsid w:val="00012CB3"/>
    <w:rsid w:val="00013317"/>
    <w:rsid w:val="0001398E"/>
    <w:rsid w:val="00014458"/>
    <w:rsid w:val="000146DB"/>
    <w:rsid w:val="00015314"/>
    <w:rsid w:val="00016EE2"/>
    <w:rsid w:val="00017113"/>
    <w:rsid w:val="0001744E"/>
    <w:rsid w:val="00020C3B"/>
    <w:rsid w:val="00021C9D"/>
    <w:rsid w:val="00022230"/>
    <w:rsid w:val="000225FF"/>
    <w:rsid w:val="0002280F"/>
    <w:rsid w:val="00023015"/>
    <w:rsid w:val="0002378B"/>
    <w:rsid w:val="00023FA0"/>
    <w:rsid w:val="0002468D"/>
    <w:rsid w:val="0002574F"/>
    <w:rsid w:val="0002575B"/>
    <w:rsid w:val="00025B91"/>
    <w:rsid w:val="00025C6F"/>
    <w:rsid w:val="000308D2"/>
    <w:rsid w:val="00030B6E"/>
    <w:rsid w:val="00030C0D"/>
    <w:rsid w:val="00031026"/>
    <w:rsid w:val="000317BE"/>
    <w:rsid w:val="000328F2"/>
    <w:rsid w:val="00032A9E"/>
    <w:rsid w:val="00033261"/>
    <w:rsid w:val="0003333F"/>
    <w:rsid w:val="00036171"/>
    <w:rsid w:val="00036860"/>
    <w:rsid w:val="00036B4D"/>
    <w:rsid w:val="00036C56"/>
    <w:rsid w:val="00036FC7"/>
    <w:rsid w:val="0003738A"/>
    <w:rsid w:val="00037C20"/>
    <w:rsid w:val="00040B47"/>
    <w:rsid w:val="00040FC0"/>
    <w:rsid w:val="00041950"/>
    <w:rsid w:val="00042A62"/>
    <w:rsid w:val="00042B8B"/>
    <w:rsid w:val="00043066"/>
    <w:rsid w:val="0004319F"/>
    <w:rsid w:val="00043CB9"/>
    <w:rsid w:val="00044423"/>
    <w:rsid w:val="00044A12"/>
    <w:rsid w:val="0004652B"/>
    <w:rsid w:val="000474CA"/>
    <w:rsid w:val="00047AE9"/>
    <w:rsid w:val="00050207"/>
    <w:rsid w:val="00050C24"/>
    <w:rsid w:val="00051B9D"/>
    <w:rsid w:val="000527D0"/>
    <w:rsid w:val="00053E50"/>
    <w:rsid w:val="00053EEC"/>
    <w:rsid w:val="00055903"/>
    <w:rsid w:val="0005654A"/>
    <w:rsid w:val="0005667E"/>
    <w:rsid w:val="00056BA7"/>
    <w:rsid w:val="00056C15"/>
    <w:rsid w:val="00057651"/>
    <w:rsid w:val="000576DF"/>
    <w:rsid w:val="00057CC3"/>
    <w:rsid w:val="0006021D"/>
    <w:rsid w:val="00060692"/>
    <w:rsid w:val="000609C4"/>
    <w:rsid w:val="00061CE2"/>
    <w:rsid w:val="000621C5"/>
    <w:rsid w:val="000622C5"/>
    <w:rsid w:val="0006250A"/>
    <w:rsid w:val="00063774"/>
    <w:rsid w:val="00063A0A"/>
    <w:rsid w:val="00063CF3"/>
    <w:rsid w:val="000648A3"/>
    <w:rsid w:val="00065042"/>
    <w:rsid w:val="00065BCC"/>
    <w:rsid w:val="0006603F"/>
    <w:rsid w:val="0006648C"/>
    <w:rsid w:val="00070920"/>
    <w:rsid w:val="00070C29"/>
    <w:rsid w:val="000714DE"/>
    <w:rsid w:val="00071522"/>
    <w:rsid w:val="00071970"/>
    <w:rsid w:val="00072134"/>
    <w:rsid w:val="00072E30"/>
    <w:rsid w:val="0007405C"/>
    <w:rsid w:val="00074502"/>
    <w:rsid w:val="000748CA"/>
    <w:rsid w:val="000756D6"/>
    <w:rsid w:val="00075702"/>
    <w:rsid w:val="00075ED1"/>
    <w:rsid w:val="00076781"/>
    <w:rsid w:val="00077160"/>
    <w:rsid w:val="0007745C"/>
    <w:rsid w:val="00077ABA"/>
    <w:rsid w:val="00077B41"/>
    <w:rsid w:val="00080D6E"/>
    <w:rsid w:val="00081376"/>
    <w:rsid w:val="00081A2B"/>
    <w:rsid w:val="00082B37"/>
    <w:rsid w:val="000833BB"/>
    <w:rsid w:val="000849BF"/>
    <w:rsid w:val="000855D2"/>
    <w:rsid w:val="000904A6"/>
    <w:rsid w:val="0009147B"/>
    <w:rsid w:val="000934B7"/>
    <w:rsid w:val="00093B04"/>
    <w:rsid w:val="00094189"/>
    <w:rsid w:val="00095455"/>
    <w:rsid w:val="00095706"/>
    <w:rsid w:val="000959AC"/>
    <w:rsid w:val="000963A5"/>
    <w:rsid w:val="00096762"/>
    <w:rsid w:val="000973B0"/>
    <w:rsid w:val="00097BD5"/>
    <w:rsid w:val="000A102F"/>
    <w:rsid w:val="000A14EE"/>
    <w:rsid w:val="000A1A8E"/>
    <w:rsid w:val="000A23E4"/>
    <w:rsid w:val="000A2DAF"/>
    <w:rsid w:val="000A41EC"/>
    <w:rsid w:val="000A437F"/>
    <w:rsid w:val="000A639D"/>
    <w:rsid w:val="000A6D3E"/>
    <w:rsid w:val="000A7728"/>
    <w:rsid w:val="000A78D8"/>
    <w:rsid w:val="000A793D"/>
    <w:rsid w:val="000B2449"/>
    <w:rsid w:val="000B28AC"/>
    <w:rsid w:val="000B33EC"/>
    <w:rsid w:val="000B38F9"/>
    <w:rsid w:val="000B3BCD"/>
    <w:rsid w:val="000B6287"/>
    <w:rsid w:val="000B6FC3"/>
    <w:rsid w:val="000B701B"/>
    <w:rsid w:val="000C11EA"/>
    <w:rsid w:val="000C2718"/>
    <w:rsid w:val="000C28AC"/>
    <w:rsid w:val="000C32CF"/>
    <w:rsid w:val="000C34A9"/>
    <w:rsid w:val="000C387F"/>
    <w:rsid w:val="000C3AE9"/>
    <w:rsid w:val="000C3F11"/>
    <w:rsid w:val="000C4184"/>
    <w:rsid w:val="000C430A"/>
    <w:rsid w:val="000C447B"/>
    <w:rsid w:val="000C44EC"/>
    <w:rsid w:val="000C45DD"/>
    <w:rsid w:val="000C5723"/>
    <w:rsid w:val="000C77C2"/>
    <w:rsid w:val="000D14B3"/>
    <w:rsid w:val="000D18F7"/>
    <w:rsid w:val="000D2369"/>
    <w:rsid w:val="000D50E3"/>
    <w:rsid w:val="000D5627"/>
    <w:rsid w:val="000D5C20"/>
    <w:rsid w:val="000D5D94"/>
    <w:rsid w:val="000D5E80"/>
    <w:rsid w:val="000D5EC6"/>
    <w:rsid w:val="000D745D"/>
    <w:rsid w:val="000D758E"/>
    <w:rsid w:val="000E042B"/>
    <w:rsid w:val="000E0776"/>
    <w:rsid w:val="000E0792"/>
    <w:rsid w:val="000E0BE7"/>
    <w:rsid w:val="000E0FCA"/>
    <w:rsid w:val="000E14EC"/>
    <w:rsid w:val="000E184E"/>
    <w:rsid w:val="000E1F85"/>
    <w:rsid w:val="000E490E"/>
    <w:rsid w:val="000E49A1"/>
    <w:rsid w:val="000E52B8"/>
    <w:rsid w:val="000E561E"/>
    <w:rsid w:val="000E6266"/>
    <w:rsid w:val="000E7E6D"/>
    <w:rsid w:val="000E7FBE"/>
    <w:rsid w:val="000F006D"/>
    <w:rsid w:val="000F302A"/>
    <w:rsid w:val="000F391D"/>
    <w:rsid w:val="000F3BFE"/>
    <w:rsid w:val="000F3C07"/>
    <w:rsid w:val="000F517A"/>
    <w:rsid w:val="000F522F"/>
    <w:rsid w:val="000F5484"/>
    <w:rsid w:val="000F58D0"/>
    <w:rsid w:val="000F6636"/>
    <w:rsid w:val="000F70EF"/>
    <w:rsid w:val="000F723E"/>
    <w:rsid w:val="001008F2"/>
    <w:rsid w:val="0010134E"/>
    <w:rsid w:val="001014C4"/>
    <w:rsid w:val="00101C4B"/>
    <w:rsid w:val="0010275B"/>
    <w:rsid w:val="00102B0C"/>
    <w:rsid w:val="00102DAD"/>
    <w:rsid w:val="00103208"/>
    <w:rsid w:val="001047BF"/>
    <w:rsid w:val="00104947"/>
    <w:rsid w:val="00105144"/>
    <w:rsid w:val="001054F7"/>
    <w:rsid w:val="00105510"/>
    <w:rsid w:val="0010563D"/>
    <w:rsid w:val="00106911"/>
    <w:rsid w:val="001072AD"/>
    <w:rsid w:val="001103CB"/>
    <w:rsid w:val="00110AAB"/>
    <w:rsid w:val="00111163"/>
    <w:rsid w:val="00111633"/>
    <w:rsid w:val="0011326A"/>
    <w:rsid w:val="0011337E"/>
    <w:rsid w:val="00113A34"/>
    <w:rsid w:val="00114261"/>
    <w:rsid w:val="00114A75"/>
    <w:rsid w:val="001155F2"/>
    <w:rsid w:val="00115E3A"/>
    <w:rsid w:val="0011743E"/>
    <w:rsid w:val="00120CD5"/>
    <w:rsid w:val="00121E1C"/>
    <w:rsid w:val="00122D49"/>
    <w:rsid w:val="001232AA"/>
    <w:rsid w:val="00123BC4"/>
    <w:rsid w:val="00123D91"/>
    <w:rsid w:val="00124C96"/>
    <w:rsid w:val="00125980"/>
    <w:rsid w:val="00126041"/>
    <w:rsid w:val="00127660"/>
    <w:rsid w:val="00131082"/>
    <w:rsid w:val="0013147A"/>
    <w:rsid w:val="001321FA"/>
    <w:rsid w:val="001325AC"/>
    <w:rsid w:val="00132C61"/>
    <w:rsid w:val="00132F82"/>
    <w:rsid w:val="00133B24"/>
    <w:rsid w:val="00134060"/>
    <w:rsid w:val="001365BD"/>
    <w:rsid w:val="001371F6"/>
    <w:rsid w:val="00137F5F"/>
    <w:rsid w:val="00140C6E"/>
    <w:rsid w:val="00142006"/>
    <w:rsid w:val="00142B53"/>
    <w:rsid w:val="00143FD9"/>
    <w:rsid w:val="00144979"/>
    <w:rsid w:val="001453CA"/>
    <w:rsid w:val="001453FD"/>
    <w:rsid w:val="00145CB5"/>
    <w:rsid w:val="00146191"/>
    <w:rsid w:val="00146627"/>
    <w:rsid w:val="00146708"/>
    <w:rsid w:val="00147E2F"/>
    <w:rsid w:val="00147FBD"/>
    <w:rsid w:val="00150B85"/>
    <w:rsid w:val="00150CDA"/>
    <w:rsid w:val="0015110F"/>
    <w:rsid w:val="001517AD"/>
    <w:rsid w:val="001521B0"/>
    <w:rsid w:val="00152874"/>
    <w:rsid w:val="00152DF3"/>
    <w:rsid w:val="00153D7D"/>
    <w:rsid w:val="001549EE"/>
    <w:rsid w:val="001555D2"/>
    <w:rsid w:val="00155F3D"/>
    <w:rsid w:val="001561A5"/>
    <w:rsid w:val="001567E5"/>
    <w:rsid w:val="00156FED"/>
    <w:rsid w:val="001572FE"/>
    <w:rsid w:val="001579B4"/>
    <w:rsid w:val="001603D6"/>
    <w:rsid w:val="0016077E"/>
    <w:rsid w:val="00161825"/>
    <w:rsid w:val="001630A8"/>
    <w:rsid w:val="00163970"/>
    <w:rsid w:val="0016424C"/>
    <w:rsid w:val="001645C7"/>
    <w:rsid w:val="00164A11"/>
    <w:rsid w:val="00164B62"/>
    <w:rsid w:val="0016517F"/>
    <w:rsid w:val="0016584F"/>
    <w:rsid w:val="001671D3"/>
    <w:rsid w:val="00167AB3"/>
    <w:rsid w:val="00170B08"/>
    <w:rsid w:val="00170C68"/>
    <w:rsid w:val="00171F87"/>
    <w:rsid w:val="001721E0"/>
    <w:rsid w:val="001726A9"/>
    <w:rsid w:val="00172C86"/>
    <w:rsid w:val="00174281"/>
    <w:rsid w:val="001749F8"/>
    <w:rsid w:val="00175C53"/>
    <w:rsid w:val="00180517"/>
    <w:rsid w:val="001813E6"/>
    <w:rsid w:val="001818C0"/>
    <w:rsid w:val="00181966"/>
    <w:rsid w:val="00181BBA"/>
    <w:rsid w:val="00181F6A"/>
    <w:rsid w:val="00182079"/>
    <w:rsid w:val="00182727"/>
    <w:rsid w:val="00182E77"/>
    <w:rsid w:val="00183232"/>
    <w:rsid w:val="00183373"/>
    <w:rsid w:val="001845E3"/>
    <w:rsid w:val="001846F6"/>
    <w:rsid w:val="00184B6D"/>
    <w:rsid w:val="001853E6"/>
    <w:rsid w:val="00185DA8"/>
    <w:rsid w:val="0018687F"/>
    <w:rsid w:val="00186CE8"/>
    <w:rsid w:val="0018705D"/>
    <w:rsid w:val="00190B61"/>
    <w:rsid w:val="001916DC"/>
    <w:rsid w:val="001916E7"/>
    <w:rsid w:val="00193291"/>
    <w:rsid w:val="00194282"/>
    <w:rsid w:val="001945E0"/>
    <w:rsid w:val="0019487E"/>
    <w:rsid w:val="00195948"/>
    <w:rsid w:val="00195B5B"/>
    <w:rsid w:val="00195E8C"/>
    <w:rsid w:val="00196950"/>
    <w:rsid w:val="001A0AB5"/>
    <w:rsid w:val="001A28AF"/>
    <w:rsid w:val="001A2958"/>
    <w:rsid w:val="001A39D6"/>
    <w:rsid w:val="001A6830"/>
    <w:rsid w:val="001A6F34"/>
    <w:rsid w:val="001A77B2"/>
    <w:rsid w:val="001B3AE7"/>
    <w:rsid w:val="001B45B5"/>
    <w:rsid w:val="001B46FF"/>
    <w:rsid w:val="001B493D"/>
    <w:rsid w:val="001B519A"/>
    <w:rsid w:val="001B5C23"/>
    <w:rsid w:val="001B5D86"/>
    <w:rsid w:val="001B6327"/>
    <w:rsid w:val="001B6A3B"/>
    <w:rsid w:val="001B7003"/>
    <w:rsid w:val="001B7433"/>
    <w:rsid w:val="001B7484"/>
    <w:rsid w:val="001C13D0"/>
    <w:rsid w:val="001C176D"/>
    <w:rsid w:val="001C18DA"/>
    <w:rsid w:val="001C2742"/>
    <w:rsid w:val="001C3448"/>
    <w:rsid w:val="001C3838"/>
    <w:rsid w:val="001C39D7"/>
    <w:rsid w:val="001C4095"/>
    <w:rsid w:val="001C4299"/>
    <w:rsid w:val="001C4496"/>
    <w:rsid w:val="001C510A"/>
    <w:rsid w:val="001C5A72"/>
    <w:rsid w:val="001C60DC"/>
    <w:rsid w:val="001C6231"/>
    <w:rsid w:val="001C65F9"/>
    <w:rsid w:val="001C7799"/>
    <w:rsid w:val="001C7A5D"/>
    <w:rsid w:val="001C7AD0"/>
    <w:rsid w:val="001C7C8F"/>
    <w:rsid w:val="001C7EAC"/>
    <w:rsid w:val="001D034A"/>
    <w:rsid w:val="001D14F5"/>
    <w:rsid w:val="001D1F5A"/>
    <w:rsid w:val="001D2301"/>
    <w:rsid w:val="001D27DB"/>
    <w:rsid w:val="001D2C2A"/>
    <w:rsid w:val="001D3040"/>
    <w:rsid w:val="001D3433"/>
    <w:rsid w:val="001D3F7A"/>
    <w:rsid w:val="001D4AD3"/>
    <w:rsid w:val="001D4AE9"/>
    <w:rsid w:val="001D4E51"/>
    <w:rsid w:val="001D58C6"/>
    <w:rsid w:val="001D58EE"/>
    <w:rsid w:val="001D5C49"/>
    <w:rsid w:val="001D6AA6"/>
    <w:rsid w:val="001D6CC0"/>
    <w:rsid w:val="001D7FED"/>
    <w:rsid w:val="001E1D02"/>
    <w:rsid w:val="001E20BF"/>
    <w:rsid w:val="001E39DA"/>
    <w:rsid w:val="001E4181"/>
    <w:rsid w:val="001E4705"/>
    <w:rsid w:val="001E4BB4"/>
    <w:rsid w:val="001E51C3"/>
    <w:rsid w:val="001E52C4"/>
    <w:rsid w:val="001E5705"/>
    <w:rsid w:val="001E6C55"/>
    <w:rsid w:val="001E6F7A"/>
    <w:rsid w:val="001F0424"/>
    <w:rsid w:val="001F0B1E"/>
    <w:rsid w:val="001F0C3F"/>
    <w:rsid w:val="001F1333"/>
    <w:rsid w:val="001F17DC"/>
    <w:rsid w:val="001F19DA"/>
    <w:rsid w:val="001F210F"/>
    <w:rsid w:val="001F2D36"/>
    <w:rsid w:val="001F38D8"/>
    <w:rsid w:val="001F42BE"/>
    <w:rsid w:val="001F4419"/>
    <w:rsid w:val="001F4718"/>
    <w:rsid w:val="001F4C69"/>
    <w:rsid w:val="001F59F7"/>
    <w:rsid w:val="001F604B"/>
    <w:rsid w:val="001F717E"/>
    <w:rsid w:val="001F7DCE"/>
    <w:rsid w:val="00200CDA"/>
    <w:rsid w:val="00200FFF"/>
    <w:rsid w:val="0020156B"/>
    <w:rsid w:val="00201B21"/>
    <w:rsid w:val="00203BAE"/>
    <w:rsid w:val="00204BC5"/>
    <w:rsid w:val="00205319"/>
    <w:rsid w:val="0020634E"/>
    <w:rsid w:val="002065B4"/>
    <w:rsid w:val="00206806"/>
    <w:rsid w:val="002070C7"/>
    <w:rsid w:val="0020751A"/>
    <w:rsid w:val="00210A60"/>
    <w:rsid w:val="0021236E"/>
    <w:rsid w:val="002136F3"/>
    <w:rsid w:val="0021446B"/>
    <w:rsid w:val="002178C3"/>
    <w:rsid w:val="00217C8A"/>
    <w:rsid w:val="00217F65"/>
    <w:rsid w:val="00217FFB"/>
    <w:rsid w:val="0022047C"/>
    <w:rsid w:val="00220BE9"/>
    <w:rsid w:val="00220FC0"/>
    <w:rsid w:val="00221AE3"/>
    <w:rsid w:val="00223716"/>
    <w:rsid w:val="00223A63"/>
    <w:rsid w:val="00223CC4"/>
    <w:rsid w:val="00223D8E"/>
    <w:rsid w:val="0022404A"/>
    <w:rsid w:val="0022434E"/>
    <w:rsid w:val="0022436B"/>
    <w:rsid w:val="00224DC9"/>
    <w:rsid w:val="002256D7"/>
    <w:rsid w:val="00225B30"/>
    <w:rsid w:val="0022603D"/>
    <w:rsid w:val="002271B8"/>
    <w:rsid w:val="00227E8E"/>
    <w:rsid w:val="00230FC2"/>
    <w:rsid w:val="00231BEE"/>
    <w:rsid w:val="002330BD"/>
    <w:rsid w:val="0023469B"/>
    <w:rsid w:val="00235630"/>
    <w:rsid w:val="002359C7"/>
    <w:rsid w:val="00235A36"/>
    <w:rsid w:val="00237184"/>
    <w:rsid w:val="002422C0"/>
    <w:rsid w:val="00242D09"/>
    <w:rsid w:val="00242D25"/>
    <w:rsid w:val="002434E2"/>
    <w:rsid w:val="0024359A"/>
    <w:rsid w:val="002447AA"/>
    <w:rsid w:val="002447DA"/>
    <w:rsid w:val="00245938"/>
    <w:rsid w:val="0024691E"/>
    <w:rsid w:val="00247D12"/>
    <w:rsid w:val="00251622"/>
    <w:rsid w:val="00251B94"/>
    <w:rsid w:val="0025201C"/>
    <w:rsid w:val="002522AA"/>
    <w:rsid w:val="0025237F"/>
    <w:rsid w:val="0025279B"/>
    <w:rsid w:val="0025367B"/>
    <w:rsid w:val="00254367"/>
    <w:rsid w:val="00254615"/>
    <w:rsid w:val="00255194"/>
    <w:rsid w:val="002556BC"/>
    <w:rsid w:val="00255CA5"/>
    <w:rsid w:val="002606CA"/>
    <w:rsid w:val="00260CC2"/>
    <w:rsid w:val="00261108"/>
    <w:rsid w:val="002624A8"/>
    <w:rsid w:val="002624AF"/>
    <w:rsid w:val="00262A23"/>
    <w:rsid w:val="00262E48"/>
    <w:rsid w:val="00262EFE"/>
    <w:rsid w:val="0026510A"/>
    <w:rsid w:val="00265F41"/>
    <w:rsid w:val="002660CC"/>
    <w:rsid w:val="0026693E"/>
    <w:rsid w:val="00267DA0"/>
    <w:rsid w:val="002707F5"/>
    <w:rsid w:val="00270CE1"/>
    <w:rsid w:val="0027244F"/>
    <w:rsid w:val="00272BDE"/>
    <w:rsid w:val="00272D26"/>
    <w:rsid w:val="002734FB"/>
    <w:rsid w:val="00273720"/>
    <w:rsid w:val="00273F66"/>
    <w:rsid w:val="00274268"/>
    <w:rsid w:val="002745DA"/>
    <w:rsid w:val="00274E71"/>
    <w:rsid w:val="002752FE"/>
    <w:rsid w:val="00276836"/>
    <w:rsid w:val="00277170"/>
    <w:rsid w:val="0028033B"/>
    <w:rsid w:val="00280CAE"/>
    <w:rsid w:val="002838CA"/>
    <w:rsid w:val="00284842"/>
    <w:rsid w:val="00285881"/>
    <w:rsid w:val="00286971"/>
    <w:rsid w:val="00287216"/>
    <w:rsid w:val="00291354"/>
    <w:rsid w:val="0029163A"/>
    <w:rsid w:val="00291C45"/>
    <w:rsid w:val="00291D45"/>
    <w:rsid w:val="00292061"/>
    <w:rsid w:val="00292519"/>
    <w:rsid w:val="00292A18"/>
    <w:rsid w:val="002945B5"/>
    <w:rsid w:val="00295F80"/>
    <w:rsid w:val="002A0961"/>
    <w:rsid w:val="002A0A91"/>
    <w:rsid w:val="002A0D42"/>
    <w:rsid w:val="002A0D47"/>
    <w:rsid w:val="002A2194"/>
    <w:rsid w:val="002A29F8"/>
    <w:rsid w:val="002A38E4"/>
    <w:rsid w:val="002A3BAC"/>
    <w:rsid w:val="002A3D55"/>
    <w:rsid w:val="002A573C"/>
    <w:rsid w:val="002A5789"/>
    <w:rsid w:val="002A5DAC"/>
    <w:rsid w:val="002A5E3C"/>
    <w:rsid w:val="002A6847"/>
    <w:rsid w:val="002A78FC"/>
    <w:rsid w:val="002B11FB"/>
    <w:rsid w:val="002B12CF"/>
    <w:rsid w:val="002B15ED"/>
    <w:rsid w:val="002B1831"/>
    <w:rsid w:val="002B2732"/>
    <w:rsid w:val="002B2C71"/>
    <w:rsid w:val="002B33F5"/>
    <w:rsid w:val="002B3AE1"/>
    <w:rsid w:val="002B4358"/>
    <w:rsid w:val="002B454E"/>
    <w:rsid w:val="002B557E"/>
    <w:rsid w:val="002B69FF"/>
    <w:rsid w:val="002B7078"/>
    <w:rsid w:val="002B7A15"/>
    <w:rsid w:val="002C09D7"/>
    <w:rsid w:val="002C0AA8"/>
    <w:rsid w:val="002C184C"/>
    <w:rsid w:val="002C31FA"/>
    <w:rsid w:val="002C34F7"/>
    <w:rsid w:val="002C3AEA"/>
    <w:rsid w:val="002C3B22"/>
    <w:rsid w:val="002C3EDE"/>
    <w:rsid w:val="002C5AF0"/>
    <w:rsid w:val="002D0B79"/>
    <w:rsid w:val="002D2419"/>
    <w:rsid w:val="002D3E79"/>
    <w:rsid w:val="002D4AE9"/>
    <w:rsid w:val="002D4C3F"/>
    <w:rsid w:val="002D6906"/>
    <w:rsid w:val="002D69C2"/>
    <w:rsid w:val="002D69DC"/>
    <w:rsid w:val="002D6B72"/>
    <w:rsid w:val="002D6CF4"/>
    <w:rsid w:val="002E01DA"/>
    <w:rsid w:val="002E058F"/>
    <w:rsid w:val="002E1B81"/>
    <w:rsid w:val="002E2548"/>
    <w:rsid w:val="002E317A"/>
    <w:rsid w:val="002E324C"/>
    <w:rsid w:val="002E386C"/>
    <w:rsid w:val="002E4896"/>
    <w:rsid w:val="002E4E91"/>
    <w:rsid w:val="002E4EA5"/>
    <w:rsid w:val="002E4FC0"/>
    <w:rsid w:val="002E5DAA"/>
    <w:rsid w:val="002E5EC5"/>
    <w:rsid w:val="002E6B15"/>
    <w:rsid w:val="002E75BD"/>
    <w:rsid w:val="002E763A"/>
    <w:rsid w:val="002F026C"/>
    <w:rsid w:val="002F1ACE"/>
    <w:rsid w:val="002F1C1A"/>
    <w:rsid w:val="002F1FCD"/>
    <w:rsid w:val="002F28C2"/>
    <w:rsid w:val="002F33D7"/>
    <w:rsid w:val="002F4015"/>
    <w:rsid w:val="002F4813"/>
    <w:rsid w:val="002F491A"/>
    <w:rsid w:val="002F4F72"/>
    <w:rsid w:val="002F5916"/>
    <w:rsid w:val="003003D2"/>
    <w:rsid w:val="003011AD"/>
    <w:rsid w:val="00301F39"/>
    <w:rsid w:val="00302A80"/>
    <w:rsid w:val="00302DCE"/>
    <w:rsid w:val="00302F4B"/>
    <w:rsid w:val="0030313E"/>
    <w:rsid w:val="00305FF7"/>
    <w:rsid w:val="00306C97"/>
    <w:rsid w:val="0030762F"/>
    <w:rsid w:val="00307697"/>
    <w:rsid w:val="00310027"/>
    <w:rsid w:val="00310AE3"/>
    <w:rsid w:val="00311811"/>
    <w:rsid w:val="00313B80"/>
    <w:rsid w:val="00315082"/>
    <w:rsid w:val="00315427"/>
    <w:rsid w:val="00315B3B"/>
    <w:rsid w:val="00316177"/>
    <w:rsid w:val="003162E4"/>
    <w:rsid w:val="00317554"/>
    <w:rsid w:val="00317C2D"/>
    <w:rsid w:val="00320013"/>
    <w:rsid w:val="003206A8"/>
    <w:rsid w:val="003225F8"/>
    <w:rsid w:val="00322F0F"/>
    <w:rsid w:val="00322F79"/>
    <w:rsid w:val="00323035"/>
    <w:rsid w:val="00323A75"/>
    <w:rsid w:val="00324885"/>
    <w:rsid w:val="00325DB1"/>
    <w:rsid w:val="00326221"/>
    <w:rsid w:val="00326C9E"/>
    <w:rsid w:val="00327C40"/>
    <w:rsid w:val="00330424"/>
    <w:rsid w:val="003313EB"/>
    <w:rsid w:val="00331A0F"/>
    <w:rsid w:val="00333849"/>
    <w:rsid w:val="00334C78"/>
    <w:rsid w:val="00334EAB"/>
    <w:rsid w:val="00336D4B"/>
    <w:rsid w:val="0033710A"/>
    <w:rsid w:val="00341737"/>
    <w:rsid w:val="00341DE7"/>
    <w:rsid w:val="003437B5"/>
    <w:rsid w:val="00344854"/>
    <w:rsid w:val="00344A7F"/>
    <w:rsid w:val="00344DFB"/>
    <w:rsid w:val="00345D5C"/>
    <w:rsid w:val="00345F46"/>
    <w:rsid w:val="003462B4"/>
    <w:rsid w:val="0034658A"/>
    <w:rsid w:val="00346D5F"/>
    <w:rsid w:val="00346E1E"/>
    <w:rsid w:val="00347870"/>
    <w:rsid w:val="00347A9E"/>
    <w:rsid w:val="00347F9B"/>
    <w:rsid w:val="003502A6"/>
    <w:rsid w:val="00351F32"/>
    <w:rsid w:val="00352CC5"/>
    <w:rsid w:val="003533B9"/>
    <w:rsid w:val="00353412"/>
    <w:rsid w:val="00354196"/>
    <w:rsid w:val="003546B3"/>
    <w:rsid w:val="00354842"/>
    <w:rsid w:val="00355B7C"/>
    <w:rsid w:val="00355FDB"/>
    <w:rsid w:val="00356923"/>
    <w:rsid w:val="00356C17"/>
    <w:rsid w:val="003600F3"/>
    <w:rsid w:val="00360D94"/>
    <w:rsid w:val="00362B7B"/>
    <w:rsid w:val="0036362C"/>
    <w:rsid w:val="00364C73"/>
    <w:rsid w:val="00364E1A"/>
    <w:rsid w:val="00364F12"/>
    <w:rsid w:val="0036575E"/>
    <w:rsid w:val="00365D54"/>
    <w:rsid w:val="00366036"/>
    <w:rsid w:val="00367678"/>
    <w:rsid w:val="003679A4"/>
    <w:rsid w:val="00367C49"/>
    <w:rsid w:val="003704BA"/>
    <w:rsid w:val="00370559"/>
    <w:rsid w:val="00371743"/>
    <w:rsid w:val="00371FE4"/>
    <w:rsid w:val="00372B40"/>
    <w:rsid w:val="00372DDE"/>
    <w:rsid w:val="00373163"/>
    <w:rsid w:val="003732C5"/>
    <w:rsid w:val="003751E6"/>
    <w:rsid w:val="0037524D"/>
    <w:rsid w:val="00375419"/>
    <w:rsid w:val="00375C74"/>
    <w:rsid w:val="00377B2E"/>
    <w:rsid w:val="003803C8"/>
    <w:rsid w:val="00380B44"/>
    <w:rsid w:val="00380F5D"/>
    <w:rsid w:val="0038100A"/>
    <w:rsid w:val="00381488"/>
    <w:rsid w:val="00381597"/>
    <w:rsid w:val="00381925"/>
    <w:rsid w:val="003819B1"/>
    <w:rsid w:val="00382115"/>
    <w:rsid w:val="0038299D"/>
    <w:rsid w:val="00382CD0"/>
    <w:rsid w:val="0038495B"/>
    <w:rsid w:val="00384F4D"/>
    <w:rsid w:val="0038535D"/>
    <w:rsid w:val="00386B58"/>
    <w:rsid w:val="0038746D"/>
    <w:rsid w:val="00390B9E"/>
    <w:rsid w:val="00390BC4"/>
    <w:rsid w:val="00390D72"/>
    <w:rsid w:val="003913BA"/>
    <w:rsid w:val="00391A22"/>
    <w:rsid w:val="00391E7B"/>
    <w:rsid w:val="00392606"/>
    <w:rsid w:val="003926BE"/>
    <w:rsid w:val="0039381B"/>
    <w:rsid w:val="00393BA6"/>
    <w:rsid w:val="00394CFB"/>
    <w:rsid w:val="00394D1B"/>
    <w:rsid w:val="00394EE1"/>
    <w:rsid w:val="0039679A"/>
    <w:rsid w:val="0039683C"/>
    <w:rsid w:val="003A079D"/>
    <w:rsid w:val="003A19FA"/>
    <w:rsid w:val="003A21E1"/>
    <w:rsid w:val="003A23E7"/>
    <w:rsid w:val="003A3571"/>
    <w:rsid w:val="003A35A9"/>
    <w:rsid w:val="003A41F9"/>
    <w:rsid w:val="003A50B2"/>
    <w:rsid w:val="003A5116"/>
    <w:rsid w:val="003A52C3"/>
    <w:rsid w:val="003A5F27"/>
    <w:rsid w:val="003A7FBA"/>
    <w:rsid w:val="003B043C"/>
    <w:rsid w:val="003B05E5"/>
    <w:rsid w:val="003B09E4"/>
    <w:rsid w:val="003B0BBF"/>
    <w:rsid w:val="003B0D18"/>
    <w:rsid w:val="003B23D2"/>
    <w:rsid w:val="003B25C7"/>
    <w:rsid w:val="003B26CC"/>
    <w:rsid w:val="003B35B3"/>
    <w:rsid w:val="003B4800"/>
    <w:rsid w:val="003B4CA5"/>
    <w:rsid w:val="003B570C"/>
    <w:rsid w:val="003B6240"/>
    <w:rsid w:val="003B62EC"/>
    <w:rsid w:val="003C1CB7"/>
    <w:rsid w:val="003C1F4B"/>
    <w:rsid w:val="003C28C3"/>
    <w:rsid w:val="003C4C82"/>
    <w:rsid w:val="003C54E3"/>
    <w:rsid w:val="003C6F63"/>
    <w:rsid w:val="003D0093"/>
    <w:rsid w:val="003D029D"/>
    <w:rsid w:val="003D0367"/>
    <w:rsid w:val="003D2485"/>
    <w:rsid w:val="003D33A3"/>
    <w:rsid w:val="003D4006"/>
    <w:rsid w:val="003D4098"/>
    <w:rsid w:val="003D5706"/>
    <w:rsid w:val="003D745B"/>
    <w:rsid w:val="003D7996"/>
    <w:rsid w:val="003E02D7"/>
    <w:rsid w:val="003E07B3"/>
    <w:rsid w:val="003E3739"/>
    <w:rsid w:val="003E379A"/>
    <w:rsid w:val="003E4217"/>
    <w:rsid w:val="003E46B4"/>
    <w:rsid w:val="003E4E93"/>
    <w:rsid w:val="003E61C8"/>
    <w:rsid w:val="003E6542"/>
    <w:rsid w:val="003E6F7B"/>
    <w:rsid w:val="003E7057"/>
    <w:rsid w:val="003E731B"/>
    <w:rsid w:val="003E7751"/>
    <w:rsid w:val="003F08F0"/>
    <w:rsid w:val="003F1DF7"/>
    <w:rsid w:val="003F2C2A"/>
    <w:rsid w:val="003F4072"/>
    <w:rsid w:val="003F5B04"/>
    <w:rsid w:val="003F5C56"/>
    <w:rsid w:val="003F60CD"/>
    <w:rsid w:val="003F66A9"/>
    <w:rsid w:val="003F6ACC"/>
    <w:rsid w:val="00400EEA"/>
    <w:rsid w:val="00401001"/>
    <w:rsid w:val="00403FDA"/>
    <w:rsid w:val="00404C3A"/>
    <w:rsid w:val="00405755"/>
    <w:rsid w:val="00405BDB"/>
    <w:rsid w:val="00405E2E"/>
    <w:rsid w:val="004064D9"/>
    <w:rsid w:val="004066CB"/>
    <w:rsid w:val="00406C7D"/>
    <w:rsid w:val="0040722A"/>
    <w:rsid w:val="004072DE"/>
    <w:rsid w:val="00407E8E"/>
    <w:rsid w:val="0041060D"/>
    <w:rsid w:val="004112B9"/>
    <w:rsid w:val="004117A8"/>
    <w:rsid w:val="00411CAF"/>
    <w:rsid w:val="00412042"/>
    <w:rsid w:val="00412802"/>
    <w:rsid w:val="00413060"/>
    <w:rsid w:val="00413B99"/>
    <w:rsid w:val="00416045"/>
    <w:rsid w:val="004177B4"/>
    <w:rsid w:val="0041780C"/>
    <w:rsid w:val="004178EE"/>
    <w:rsid w:val="0042058A"/>
    <w:rsid w:val="004205CC"/>
    <w:rsid w:val="004232EA"/>
    <w:rsid w:val="00423550"/>
    <w:rsid w:val="004238AF"/>
    <w:rsid w:val="00424651"/>
    <w:rsid w:val="00425C9C"/>
    <w:rsid w:val="0042673E"/>
    <w:rsid w:val="00426889"/>
    <w:rsid w:val="004269A2"/>
    <w:rsid w:val="004278E3"/>
    <w:rsid w:val="00430973"/>
    <w:rsid w:val="00430AE9"/>
    <w:rsid w:val="0043186A"/>
    <w:rsid w:val="00432F61"/>
    <w:rsid w:val="00433AEB"/>
    <w:rsid w:val="00433C62"/>
    <w:rsid w:val="00435494"/>
    <w:rsid w:val="00436493"/>
    <w:rsid w:val="004367E9"/>
    <w:rsid w:val="00436CF2"/>
    <w:rsid w:val="004370AB"/>
    <w:rsid w:val="004373B4"/>
    <w:rsid w:val="00440D55"/>
    <w:rsid w:val="004412B9"/>
    <w:rsid w:val="004414F8"/>
    <w:rsid w:val="004415D1"/>
    <w:rsid w:val="0044238C"/>
    <w:rsid w:val="0044241E"/>
    <w:rsid w:val="00442B2D"/>
    <w:rsid w:val="00442F64"/>
    <w:rsid w:val="00443190"/>
    <w:rsid w:val="004439D3"/>
    <w:rsid w:val="00443E3F"/>
    <w:rsid w:val="00444068"/>
    <w:rsid w:val="004455EC"/>
    <w:rsid w:val="004456BB"/>
    <w:rsid w:val="004459B3"/>
    <w:rsid w:val="0044719B"/>
    <w:rsid w:val="00447836"/>
    <w:rsid w:val="00450BDD"/>
    <w:rsid w:val="00451BCD"/>
    <w:rsid w:val="00451CB7"/>
    <w:rsid w:val="00454CE5"/>
    <w:rsid w:val="00456F68"/>
    <w:rsid w:val="00457E46"/>
    <w:rsid w:val="004608BF"/>
    <w:rsid w:val="00460F03"/>
    <w:rsid w:val="004618DB"/>
    <w:rsid w:val="00461CB0"/>
    <w:rsid w:val="00462277"/>
    <w:rsid w:val="004624D6"/>
    <w:rsid w:val="0046396E"/>
    <w:rsid w:val="0046667E"/>
    <w:rsid w:val="00466AA5"/>
    <w:rsid w:val="00466CF7"/>
    <w:rsid w:val="00466FF7"/>
    <w:rsid w:val="00470129"/>
    <w:rsid w:val="00470283"/>
    <w:rsid w:val="00470774"/>
    <w:rsid w:val="00471053"/>
    <w:rsid w:val="00471627"/>
    <w:rsid w:val="0047189C"/>
    <w:rsid w:val="004730C1"/>
    <w:rsid w:val="004738C9"/>
    <w:rsid w:val="00474D27"/>
    <w:rsid w:val="00475C27"/>
    <w:rsid w:val="00475DB4"/>
    <w:rsid w:val="00475EC0"/>
    <w:rsid w:val="00476384"/>
    <w:rsid w:val="0047660A"/>
    <w:rsid w:val="0047786A"/>
    <w:rsid w:val="00481A79"/>
    <w:rsid w:val="0048242C"/>
    <w:rsid w:val="00482974"/>
    <w:rsid w:val="0048471F"/>
    <w:rsid w:val="00485C83"/>
    <w:rsid w:val="00485EF4"/>
    <w:rsid w:val="004865F5"/>
    <w:rsid w:val="00486999"/>
    <w:rsid w:val="0048724A"/>
    <w:rsid w:val="00487D98"/>
    <w:rsid w:val="00487FDB"/>
    <w:rsid w:val="004905D5"/>
    <w:rsid w:val="004908DC"/>
    <w:rsid w:val="0049166F"/>
    <w:rsid w:val="00491B8C"/>
    <w:rsid w:val="004922CB"/>
    <w:rsid w:val="004932FB"/>
    <w:rsid w:val="004941E2"/>
    <w:rsid w:val="00494E11"/>
    <w:rsid w:val="00495587"/>
    <w:rsid w:val="00495B13"/>
    <w:rsid w:val="00496077"/>
    <w:rsid w:val="00496743"/>
    <w:rsid w:val="00496BA8"/>
    <w:rsid w:val="00497C94"/>
    <w:rsid w:val="00497CA9"/>
    <w:rsid w:val="00497D32"/>
    <w:rsid w:val="004A078B"/>
    <w:rsid w:val="004A1C15"/>
    <w:rsid w:val="004A230C"/>
    <w:rsid w:val="004A2A7A"/>
    <w:rsid w:val="004A31D8"/>
    <w:rsid w:val="004A3923"/>
    <w:rsid w:val="004A3C9A"/>
    <w:rsid w:val="004A4E04"/>
    <w:rsid w:val="004A54CE"/>
    <w:rsid w:val="004A558B"/>
    <w:rsid w:val="004A5936"/>
    <w:rsid w:val="004A60D8"/>
    <w:rsid w:val="004A687A"/>
    <w:rsid w:val="004A6A12"/>
    <w:rsid w:val="004A6DDA"/>
    <w:rsid w:val="004A77CB"/>
    <w:rsid w:val="004A7B27"/>
    <w:rsid w:val="004B0C32"/>
    <w:rsid w:val="004B1EC0"/>
    <w:rsid w:val="004B2F94"/>
    <w:rsid w:val="004B33D8"/>
    <w:rsid w:val="004B4018"/>
    <w:rsid w:val="004B47C6"/>
    <w:rsid w:val="004B4CA3"/>
    <w:rsid w:val="004B4DA1"/>
    <w:rsid w:val="004B5195"/>
    <w:rsid w:val="004B5413"/>
    <w:rsid w:val="004B610B"/>
    <w:rsid w:val="004B632C"/>
    <w:rsid w:val="004B7691"/>
    <w:rsid w:val="004B79A2"/>
    <w:rsid w:val="004B79C8"/>
    <w:rsid w:val="004B79C9"/>
    <w:rsid w:val="004C013A"/>
    <w:rsid w:val="004C14EB"/>
    <w:rsid w:val="004C151A"/>
    <w:rsid w:val="004C22E7"/>
    <w:rsid w:val="004C2D6F"/>
    <w:rsid w:val="004C33F0"/>
    <w:rsid w:val="004C443D"/>
    <w:rsid w:val="004C4469"/>
    <w:rsid w:val="004C55D1"/>
    <w:rsid w:val="004C6551"/>
    <w:rsid w:val="004C662C"/>
    <w:rsid w:val="004C79E3"/>
    <w:rsid w:val="004D042E"/>
    <w:rsid w:val="004D08DC"/>
    <w:rsid w:val="004D0BF0"/>
    <w:rsid w:val="004D2DBC"/>
    <w:rsid w:val="004D3CD6"/>
    <w:rsid w:val="004D3EA6"/>
    <w:rsid w:val="004D4226"/>
    <w:rsid w:val="004D4C0B"/>
    <w:rsid w:val="004D5013"/>
    <w:rsid w:val="004D5549"/>
    <w:rsid w:val="004D5893"/>
    <w:rsid w:val="004D71A5"/>
    <w:rsid w:val="004D754D"/>
    <w:rsid w:val="004E0412"/>
    <w:rsid w:val="004E0C89"/>
    <w:rsid w:val="004E1395"/>
    <w:rsid w:val="004E1978"/>
    <w:rsid w:val="004E227B"/>
    <w:rsid w:val="004E294B"/>
    <w:rsid w:val="004E29FB"/>
    <w:rsid w:val="004E2E56"/>
    <w:rsid w:val="004E31F5"/>
    <w:rsid w:val="004E3BFD"/>
    <w:rsid w:val="004E3D7A"/>
    <w:rsid w:val="004E40F3"/>
    <w:rsid w:val="004E4835"/>
    <w:rsid w:val="004E5DB6"/>
    <w:rsid w:val="004E7546"/>
    <w:rsid w:val="004E7F40"/>
    <w:rsid w:val="004F10B8"/>
    <w:rsid w:val="004F11EE"/>
    <w:rsid w:val="004F1B27"/>
    <w:rsid w:val="004F1B46"/>
    <w:rsid w:val="004F1F96"/>
    <w:rsid w:val="004F23B9"/>
    <w:rsid w:val="004F4C54"/>
    <w:rsid w:val="004F6D49"/>
    <w:rsid w:val="004F7D39"/>
    <w:rsid w:val="004F7E7B"/>
    <w:rsid w:val="00500006"/>
    <w:rsid w:val="005002E7"/>
    <w:rsid w:val="005006C1"/>
    <w:rsid w:val="005015E6"/>
    <w:rsid w:val="00501C79"/>
    <w:rsid w:val="005037DE"/>
    <w:rsid w:val="00503E26"/>
    <w:rsid w:val="00504A5B"/>
    <w:rsid w:val="00504FEF"/>
    <w:rsid w:val="005053AF"/>
    <w:rsid w:val="00505464"/>
    <w:rsid w:val="005054AF"/>
    <w:rsid w:val="00505577"/>
    <w:rsid w:val="005070FA"/>
    <w:rsid w:val="00507F24"/>
    <w:rsid w:val="005101AD"/>
    <w:rsid w:val="0051085F"/>
    <w:rsid w:val="00510C2B"/>
    <w:rsid w:val="00510DEE"/>
    <w:rsid w:val="0051115E"/>
    <w:rsid w:val="005116CA"/>
    <w:rsid w:val="005124C0"/>
    <w:rsid w:val="005129B6"/>
    <w:rsid w:val="00513702"/>
    <w:rsid w:val="005162DD"/>
    <w:rsid w:val="005173B4"/>
    <w:rsid w:val="00520927"/>
    <w:rsid w:val="0052138C"/>
    <w:rsid w:val="0052175F"/>
    <w:rsid w:val="00522153"/>
    <w:rsid w:val="0052218C"/>
    <w:rsid w:val="005228BF"/>
    <w:rsid w:val="00524EA6"/>
    <w:rsid w:val="00524F26"/>
    <w:rsid w:val="0052531C"/>
    <w:rsid w:val="00525B25"/>
    <w:rsid w:val="00525E51"/>
    <w:rsid w:val="00526361"/>
    <w:rsid w:val="00527659"/>
    <w:rsid w:val="00527821"/>
    <w:rsid w:val="005278B9"/>
    <w:rsid w:val="00527A92"/>
    <w:rsid w:val="0053043C"/>
    <w:rsid w:val="00531948"/>
    <w:rsid w:val="00532B1C"/>
    <w:rsid w:val="00533243"/>
    <w:rsid w:val="00535233"/>
    <w:rsid w:val="0053553D"/>
    <w:rsid w:val="005357AC"/>
    <w:rsid w:val="00535939"/>
    <w:rsid w:val="00535FE9"/>
    <w:rsid w:val="00536774"/>
    <w:rsid w:val="00536D38"/>
    <w:rsid w:val="005371D4"/>
    <w:rsid w:val="005378EE"/>
    <w:rsid w:val="0053793D"/>
    <w:rsid w:val="00540383"/>
    <w:rsid w:val="0054068B"/>
    <w:rsid w:val="00545422"/>
    <w:rsid w:val="0054569E"/>
    <w:rsid w:val="0054576B"/>
    <w:rsid w:val="00546002"/>
    <w:rsid w:val="00546149"/>
    <w:rsid w:val="005464CB"/>
    <w:rsid w:val="00547379"/>
    <w:rsid w:val="005479D3"/>
    <w:rsid w:val="00550BDC"/>
    <w:rsid w:val="00550EC2"/>
    <w:rsid w:val="005515FF"/>
    <w:rsid w:val="0055469A"/>
    <w:rsid w:val="005551B0"/>
    <w:rsid w:val="00555A72"/>
    <w:rsid w:val="00556514"/>
    <w:rsid w:val="00556E30"/>
    <w:rsid w:val="005606BE"/>
    <w:rsid w:val="005609F6"/>
    <w:rsid w:val="00561ECF"/>
    <w:rsid w:val="005621C5"/>
    <w:rsid w:val="00562AE6"/>
    <w:rsid w:val="00562E37"/>
    <w:rsid w:val="00562F7A"/>
    <w:rsid w:val="00563250"/>
    <w:rsid w:val="005640B2"/>
    <w:rsid w:val="00564DAE"/>
    <w:rsid w:val="00565418"/>
    <w:rsid w:val="005659F5"/>
    <w:rsid w:val="00565B7F"/>
    <w:rsid w:val="00571389"/>
    <w:rsid w:val="0057182E"/>
    <w:rsid w:val="00571955"/>
    <w:rsid w:val="005727A5"/>
    <w:rsid w:val="00576E67"/>
    <w:rsid w:val="0057714F"/>
    <w:rsid w:val="005773E2"/>
    <w:rsid w:val="005776C9"/>
    <w:rsid w:val="0058203F"/>
    <w:rsid w:val="00583836"/>
    <w:rsid w:val="005849C7"/>
    <w:rsid w:val="00585FF5"/>
    <w:rsid w:val="005868A0"/>
    <w:rsid w:val="00586FC3"/>
    <w:rsid w:val="00587FBD"/>
    <w:rsid w:val="0059195D"/>
    <w:rsid w:val="00591EAD"/>
    <w:rsid w:val="0059241C"/>
    <w:rsid w:val="00593016"/>
    <w:rsid w:val="005931D0"/>
    <w:rsid w:val="00593516"/>
    <w:rsid w:val="00593C3A"/>
    <w:rsid w:val="00594A0A"/>
    <w:rsid w:val="005952AF"/>
    <w:rsid w:val="00596EE7"/>
    <w:rsid w:val="005971F6"/>
    <w:rsid w:val="005973BD"/>
    <w:rsid w:val="005A0015"/>
    <w:rsid w:val="005A1F8C"/>
    <w:rsid w:val="005A26CE"/>
    <w:rsid w:val="005A294D"/>
    <w:rsid w:val="005A2BC2"/>
    <w:rsid w:val="005A2CB3"/>
    <w:rsid w:val="005A4167"/>
    <w:rsid w:val="005A43D2"/>
    <w:rsid w:val="005A4D5D"/>
    <w:rsid w:val="005A5C99"/>
    <w:rsid w:val="005A6748"/>
    <w:rsid w:val="005A78FD"/>
    <w:rsid w:val="005A7921"/>
    <w:rsid w:val="005A7C6D"/>
    <w:rsid w:val="005B1E67"/>
    <w:rsid w:val="005B3442"/>
    <w:rsid w:val="005B3C9B"/>
    <w:rsid w:val="005B67DC"/>
    <w:rsid w:val="005B7AC2"/>
    <w:rsid w:val="005C0B34"/>
    <w:rsid w:val="005C218F"/>
    <w:rsid w:val="005C2578"/>
    <w:rsid w:val="005C3C4F"/>
    <w:rsid w:val="005C3F1F"/>
    <w:rsid w:val="005C4DC3"/>
    <w:rsid w:val="005C5C22"/>
    <w:rsid w:val="005C64BA"/>
    <w:rsid w:val="005C68B5"/>
    <w:rsid w:val="005C726A"/>
    <w:rsid w:val="005D03CB"/>
    <w:rsid w:val="005D0E01"/>
    <w:rsid w:val="005D0EC8"/>
    <w:rsid w:val="005D1537"/>
    <w:rsid w:val="005D4080"/>
    <w:rsid w:val="005D62CD"/>
    <w:rsid w:val="005D63C7"/>
    <w:rsid w:val="005D647B"/>
    <w:rsid w:val="005D6D1F"/>
    <w:rsid w:val="005D77D2"/>
    <w:rsid w:val="005D7DF8"/>
    <w:rsid w:val="005E0479"/>
    <w:rsid w:val="005E084C"/>
    <w:rsid w:val="005E0EF2"/>
    <w:rsid w:val="005E2496"/>
    <w:rsid w:val="005E293A"/>
    <w:rsid w:val="005E29DF"/>
    <w:rsid w:val="005E2AE0"/>
    <w:rsid w:val="005E3A61"/>
    <w:rsid w:val="005E3DEF"/>
    <w:rsid w:val="005E432B"/>
    <w:rsid w:val="005E44A1"/>
    <w:rsid w:val="005E617E"/>
    <w:rsid w:val="005E65BD"/>
    <w:rsid w:val="005E66AA"/>
    <w:rsid w:val="005E6F78"/>
    <w:rsid w:val="005F03C7"/>
    <w:rsid w:val="005F2D58"/>
    <w:rsid w:val="005F4171"/>
    <w:rsid w:val="005F57FC"/>
    <w:rsid w:val="005F625B"/>
    <w:rsid w:val="00601078"/>
    <w:rsid w:val="006014E3"/>
    <w:rsid w:val="0060150A"/>
    <w:rsid w:val="00601D28"/>
    <w:rsid w:val="00601D43"/>
    <w:rsid w:val="006020B7"/>
    <w:rsid w:val="00602C37"/>
    <w:rsid w:val="006032FC"/>
    <w:rsid w:val="00603824"/>
    <w:rsid w:val="00603E69"/>
    <w:rsid w:val="00604CB5"/>
    <w:rsid w:val="00604D7F"/>
    <w:rsid w:val="00604E83"/>
    <w:rsid w:val="00604F77"/>
    <w:rsid w:val="0060579F"/>
    <w:rsid w:val="00605925"/>
    <w:rsid w:val="00606B50"/>
    <w:rsid w:val="006070B1"/>
    <w:rsid w:val="00607E40"/>
    <w:rsid w:val="00610632"/>
    <w:rsid w:val="00610759"/>
    <w:rsid w:val="00611091"/>
    <w:rsid w:val="0061129D"/>
    <w:rsid w:val="0061147E"/>
    <w:rsid w:val="00612C9F"/>
    <w:rsid w:val="00612D85"/>
    <w:rsid w:val="00612EB0"/>
    <w:rsid w:val="006134D5"/>
    <w:rsid w:val="0061362F"/>
    <w:rsid w:val="006139F3"/>
    <w:rsid w:val="006140D1"/>
    <w:rsid w:val="006142CF"/>
    <w:rsid w:val="0061509B"/>
    <w:rsid w:val="00615A1C"/>
    <w:rsid w:val="00615B50"/>
    <w:rsid w:val="006170A9"/>
    <w:rsid w:val="00617391"/>
    <w:rsid w:val="0062014C"/>
    <w:rsid w:val="006213CE"/>
    <w:rsid w:val="006233B8"/>
    <w:rsid w:val="00627154"/>
    <w:rsid w:val="006273CF"/>
    <w:rsid w:val="00627653"/>
    <w:rsid w:val="006276CA"/>
    <w:rsid w:val="00627B90"/>
    <w:rsid w:val="006307D7"/>
    <w:rsid w:val="00631429"/>
    <w:rsid w:val="00631EA8"/>
    <w:rsid w:val="00633FD2"/>
    <w:rsid w:val="006341EA"/>
    <w:rsid w:val="00634227"/>
    <w:rsid w:val="00634B99"/>
    <w:rsid w:val="006356B4"/>
    <w:rsid w:val="00635712"/>
    <w:rsid w:val="00635764"/>
    <w:rsid w:val="00635978"/>
    <w:rsid w:val="00635A34"/>
    <w:rsid w:val="006373C7"/>
    <w:rsid w:val="006377FF"/>
    <w:rsid w:val="00637C46"/>
    <w:rsid w:val="00641593"/>
    <w:rsid w:val="006417CC"/>
    <w:rsid w:val="0064258F"/>
    <w:rsid w:val="00643968"/>
    <w:rsid w:val="006443D9"/>
    <w:rsid w:val="0064442C"/>
    <w:rsid w:val="00645566"/>
    <w:rsid w:val="00646C70"/>
    <w:rsid w:val="00647A27"/>
    <w:rsid w:val="00647CFD"/>
    <w:rsid w:val="006508CD"/>
    <w:rsid w:val="0065177C"/>
    <w:rsid w:val="006527B4"/>
    <w:rsid w:val="00655F14"/>
    <w:rsid w:val="006565AA"/>
    <w:rsid w:val="006572A4"/>
    <w:rsid w:val="00657466"/>
    <w:rsid w:val="00657955"/>
    <w:rsid w:val="00661F03"/>
    <w:rsid w:val="00661F7C"/>
    <w:rsid w:val="00662B47"/>
    <w:rsid w:val="00662BD0"/>
    <w:rsid w:val="0066360A"/>
    <w:rsid w:val="0066450E"/>
    <w:rsid w:val="0066462B"/>
    <w:rsid w:val="0066483A"/>
    <w:rsid w:val="00664C80"/>
    <w:rsid w:val="006654CB"/>
    <w:rsid w:val="00666147"/>
    <w:rsid w:val="00666224"/>
    <w:rsid w:val="00666AB9"/>
    <w:rsid w:val="00666DB8"/>
    <w:rsid w:val="00666EF4"/>
    <w:rsid w:val="00667655"/>
    <w:rsid w:val="00671092"/>
    <w:rsid w:val="006721EC"/>
    <w:rsid w:val="00672356"/>
    <w:rsid w:val="00672A42"/>
    <w:rsid w:val="00673352"/>
    <w:rsid w:val="00673936"/>
    <w:rsid w:val="00674E78"/>
    <w:rsid w:val="0067555D"/>
    <w:rsid w:val="00675AB5"/>
    <w:rsid w:val="00675FC5"/>
    <w:rsid w:val="0067643E"/>
    <w:rsid w:val="00676930"/>
    <w:rsid w:val="00676D17"/>
    <w:rsid w:val="00677278"/>
    <w:rsid w:val="006774B3"/>
    <w:rsid w:val="006800AF"/>
    <w:rsid w:val="00680B13"/>
    <w:rsid w:val="00680D5E"/>
    <w:rsid w:val="0068244E"/>
    <w:rsid w:val="00682C43"/>
    <w:rsid w:val="0068338D"/>
    <w:rsid w:val="0068347E"/>
    <w:rsid w:val="00683C65"/>
    <w:rsid w:val="006843FA"/>
    <w:rsid w:val="00684C24"/>
    <w:rsid w:val="00684EC2"/>
    <w:rsid w:val="00684F62"/>
    <w:rsid w:val="00685538"/>
    <w:rsid w:val="00685DF5"/>
    <w:rsid w:val="0068688D"/>
    <w:rsid w:val="0068783D"/>
    <w:rsid w:val="00687906"/>
    <w:rsid w:val="00687BB9"/>
    <w:rsid w:val="00690437"/>
    <w:rsid w:val="00690A06"/>
    <w:rsid w:val="006911AF"/>
    <w:rsid w:val="006923D6"/>
    <w:rsid w:val="00692822"/>
    <w:rsid w:val="00695133"/>
    <w:rsid w:val="00695464"/>
    <w:rsid w:val="00695680"/>
    <w:rsid w:val="0069578E"/>
    <w:rsid w:val="006961C4"/>
    <w:rsid w:val="00697512"/>
    <w:rsid w:val="00697F65"/>
    <w:rsid w:val="006A04DA"/>
    <w:rsid w:val="006A129C"/>
    <w:rsid w:val="006A134A"/>
    <w:rsid w:val="006A1975"/>
    <w:rsid w:val="006A1C30"/>
    <w:rsid w:val="006A2B56"/>
    <w:rsid w:val="006A2DA9"/>
    <w:rsid w:val="006A2EBD"/>
    <w:rsid w:val="006A32B3"/>
    <w:rsid w:val="006A38FC"/>
    <w:rsid w:val="006A4BD7"/>
    <w:rsid w:val="006A5E85"/>
    <w:rsid w:val="006A6070"/>
    <w:rsid w:val="006A67BA"/>
    <w:rsid w:val="006B0B35"/>
    <w:rsid w:val="006B0DAE"/>
    <w:rsid w:val="006B1BB2"/>
    <w:rsid w:val="006B2C4D"/>
    <w:rsid w:val="006B31D1"/>
    <w:rsid w:val="006B35FE"/>
    <w:rsid w:val="006B392D"/>
    <w:rsid w:val="006B4196"/>
    <w:rsid w:val="006B45BE"/>
    <w:rsid w:val="006B4A2E"/>
    <w:rsid w:val="006B4BD6"/>
    <w:rsid w:val="006B5DC8"/>
    <w:rsid w:val="006B5E46"/>
    <w:rsid w:val="006B632B"/>
    <w:rsid w:val="006B6853"/>
    <w:rsid w:val="006B6DC1"/>
    <w:rsid w:val="006B6F95"/>
    <w:rsid w:val="006B74C1"/>
    <w:rsid w:val="006C033A"/>
    <w:rsid w:val="006C04F8"/>
    <w:rsid w:val="006C0B1C"/>
    <w:rsid w:val="006C257B"/>
    <w:rsid w:val="006C2746"/>
    <w:rsid w:val="006C280F"/>
    <w:rsid w:val="006C3A55"/>
    <w:rsid w:val="006C41C4"/>
    <w:rsid w:val="006C46BF"/>
    <w:rsid w:val="006C53AE"/>
    <w:rsid w:val="006C54A0"/>
    <w:rsid w:val="006C7B23"/>
    <w:rsid w:val="006D022E"/>
    <w:rsid w:val="006D0964"/>
    <w:rsid w:val="006D0ECD"/>
    <w:rsid w:val="006D1C4F"/>
    <w:rsid w:val="006D264A"/>
    <w:rsid w:val="006D3002"/>
    <w:rsid w:val="006D3276"/>
    <w:rsid w:val="006D425A"/>
    <w:rsid w:val="006D43ED"/>
    <w:rsid w:val="006D4F01"/>
    <w:rsid w:val="006D52C5"/>
    <w:rsid w:val="006D5A8E"/>
    <w:rsid w:val="006D5C0D"/>
    <w:rsid w:val="006D71F3"/>
    <w:rsid w:val="006D7B46"/>
    <w:rsid w:val="006E0C63"/>
    <w:rsid w:val="006E15C8"/>
    <w:rsid w:val="006E196A"/>
    <w:rsid w:val="006E1A2E"/>
    <w:rsid w:val="006E24CE"/>
    <w:rsid w:val="006E32FA"/>
    <w:rsid w:val="006E395D"/>
    <w:rsid w:val="006E42EC"/>
    <w:rsid w:val="006E4CC0"/>
    <w:rsid w:val="006E519E"/>
    <w:rsid w:val="006E61F2"/>
    <w:rsid w:val="006E6926"/>
    <w:rsid w:val="006E6D8B"/>
    <w:rsid w:val="006E7799"/>
    <w:rsid w:val="006F099C"/>
    <w:rsid w:val="006F0CE8"/>
    <w:rsid w:val="006F0FE8"/>
    <w:rsid w:val="006F1923"/>
    <w:rsid w:val="006F22D3"/>
    <w:rsid w:val="006F25D7"/>
    <w:rsid w:val="006F40E0"/>
    <w:rsid w:val="006F55B0"/>
    <w:rsid w:val="006F57CC"/>
    <w:rsid w:val="006F5ADA"/>
    <w:rsid w:val="00700066"/>
    <w:rsid w:val="0070147A"/>
    <w:rsid w:val="007020FD"/>
    <w:rsid w:val="00702119"/>
    <w:rsid w:val="00702715"/>
    <w:rsid w:val="007029CC"/>
    <w:rsid w:val="00703766"/>
    <w:rsid w:val="00703808"/>
    <w:rsid w:val="00704508"/>
    <w:rsid w:val="00704BDA"/>
    <w:rsid w:val="00705608"/>
    <w:rsid w:val="00705C2E"/>
    <w:rsid w:val="007060BE"/>
    <w:rsid w:val="007064B2"/>
    <w:rsid w:val="0070672E"/>
    <w:rsid w:val="00706A7C"/>
    <w:rsid w:val="007100F7"/>
    <w:rsid w:val="00711774"/>
    <w:rsid w:val="00711C88"/>
    <w:rsid w:val="00711F51"/>
    <w:rsid w:val="00712188"/>
    <w:rsid w:val="00712BED"/>
    <w:rsid w:val="00713976"/>
    <w:rsid w:val="00713B8F"/>
    <w:rsid w:val="00714281"/>
    <w:rsid w:val="007143BD"/>
    <w:rsid w:val="00714858"/>
    <w:rsid w:val="007151E3"/>
    <w:rsid w:val="00716669"/>
    <w:rsid w:val="00717174"/>
    <w:rsid w:val="0071740E"/>
    <w:rsid w:val="00720C07"/>
    <w:rsid w:val="007210DD"/>
    <w:rsid w:val="007211BA"/>
    <w:rsid w:val="00721509"/>
    <w:rsid w:val="00721E36"/>
    <w:rsid w:val="007226BE"/>
    <w:rsid w:val="00722EC0"/>
    <w:rsid w:val="007237B3"/>
    <w:rsid w:val="00723A6F"/>
    <w:rsid w:val="00724098"/>
    <w:rsid w:val="007247FA"/>
    <w:rsid w:val="007249FA"/>
    <w:rsid w:val="007261FA"/>
    <w:rsid w:val="007267E0"/>
    <w:rsid w:val="0072777D"/>
    <w:rsid w:val="00727BAA"/>
    <w:rsid w:val="00727BD5"/>
    <w:rsid w:val="00730E06"/>
    <w:rsid w:val="007318B1"/>
    <w:rsid w:val="007328A7"/>
    <w:rsid w:val="00732FD7"/>
    <w:rsid w:val="0073325C"/>
    <w:rsid w:val="00734176"/>
    <w:rsid w:val="0073467B"/>
    <w:rsid w:val="0073677A"/>
    <w:rsid w:val="00737B46"/>
    <w:rsid w:val="00737EDA"/>
    <w:rsid w:val="00737F49"/>
    <w:rsid w:val="00740467"/>
    <w:rsid w:val="007407CB"/>
    <w:rsid w:val="00740955"/>
    <w:rsid w:val="0074128F"/>
    <w:rsid w:val="00741A22"/>
    <w:rsid w:val="00742F09"/>
    <w:rsid w:val="0074346B"/>
    <w:rsid w:val="00743762"/>
    <w:rsid w:val="00743EB0"/>
    <w:rsid w:val="00744CA6"/>
    <w:rsid w:val="00745B6C"/>
    <w:rsid w:val="00745C49"/>
    <w:rsid w:val="00745F82"/>
    <w:rsid w:val="007462EC"/>
    <w:rsid w:val="007473B5"/>
    <w:rsid w:val="00747580"/>
    <w:rsid w:val="00747E84"/>
    <w:rsid w:val="00751992"/>
    <w:rsid w:val="0075225D"/>
    <w:rsid w:val="00753B36"/>
    <w:rsid w:val="0075481B"/>
    <w:rsid w:val="00755E78"/>
    <w:rsid w:val="00757A02"/>
    <w:rsid w:val="00757DDB"/>
    <w:rsid w:val="00757FD7"/>
    <w:rsid w:val="00760506"/>
    <w:rsid w:val="00761272"/>
    <w:rsid w:val="0076145B"/>
    <w:rsid w:val="0076199E"/>
    <w:rsid w:val="00761EE0"/>
    <w:rsid w:val="00762785"/>
    <w:rsid w:val="0076281A"/>
    <w:rsid w:val="00762CAD"/>
    <w:rsid w:val="007651C8"/>
    <w:rsid w:val="007654CE"/>
    <w:rsid w:val="00766486"/>
    <w:rsid w:val="00766B06"/>
    <w:rsid w:val="007674E0"/>
    <w:rsid w:val="00767C86"/>
    <w:rsid w:val="007700E2"/>
    <w:rsid w:val="00771005"/>
    <w:rsid w:val="0077225D"/>
    <w:rsid w:val="00772E2C"/>
    <w:rsid w:val="007731D9"/>
    <w:rsid w:val="0077383C"/>
    <w:rsid w:val="00773F47"/>
    <w:rsid w:val="00776167"/>
    <w:rsid w:val="00776700"/>
    <w:rsid w:val="007770B9"/>
    <w:rsid w:val="00777F27"/>
    <w:rsid w:val="00782004"/>
    <w:rsid w:val="00782636"/>
    <w:rsid w:val="00782E31"/>
    <w:rsid w:val="00782F3C"/>
    <w:rsid w:val="0078340C"/>
    <w:rsid w:val="00784C08"/>
    <w:rsid w:val="007859F0"/>
    <w:rsid w:val="00785FE1"/>
    <w:rsid w:val="00786575"/>
    <w:rsid w:val="00786A07"/>
    <w:rsid w:val="007877EC"/>
    <w:rsid w:val="00787999"/>
    <w:rsid w:val="007901BE"/>
    <w:rsid w:val="00790355"/>
    <w:rsid w:val="00790D3C"/>
    <w:rsid w:val="00791AAA"/>
    <w:rsid w:val="0079249B"/>
    <w:rsid w:val="00792EE2"/>
    <w:rsid w:val="00792F1C"/>
    <w:rsid w:val="00793113"/>
    <w:rsid w:val="0079324F"/>
    <w:rsid w:val="007934E1"/>
    <w:rsid w:val="007937C1"/>
    <w:rsid w:val="00794392"/>
    <w:rsid w:val="00794AED"/>
    <w:rsid w:val="00794AF2"/>
    <w:rsid w:val="00794CB6"/>
    <w:rsid w:val="0079557A"/>
    <w:rsid w:val="00797332"/>
    <w:rsid w:val="007A055B"/>
    <w:rsid w:val="007A0C45"/>
    <w:rsid w:val="007A10F3"/>
    <w:rsid w:val="007A16A9"/>
    <w:rsid w:val="007A1D8A"/>
    <w:rsid w:val="007A2B34"/>
    <w:rsid w:val="007A3FF8"/>
    <w:rsid w:val="007A4630"/>
    <w:rsid w:val="007A4AE1"/>
    <w:rsid w:val="007A54C3"/>
    <w:rsid w:val="007A5791"/>
    <w:rsid w:val="007A6BDF"/>
    <w:rsid w:val="007A72B4"/>
    <w:rsid w:val="007A7393"/>
    <w:rsid w:val="007A75EB"/>
    <w:rsid w:val="007A7821"/>
    <w:rsid w:val="007A7A47"/>
    <w:rsid w:val="007B0383"/>
    <w:rsid w:val="007B1075"/>
    <w:rsid w:val="007B1153"/>
    <w:rsid w:val="007B28C5"/>
    <w:rsid w:val="007B4B14"/>
    <w:rsid w:val="007B4DD6"/>
    <w:rsid w:val="007B5C86"/>
    <w:rsid w:val="007B5E6A"/>
    <w:rsid w:val="007B634F"/>
    <w:rsid w:val="007B6734"/>
    <w:rsid w:val="007B6F13"/>
    <w:rsid w:val="007B705F"/>
    <w:rsid w:val="007C0D1A"/>
    <w:rsid w:val="007C0F32"/>
    <w:rsid w:val="007C1B0F"/>
    <w:rsid w:val="007C1F72"/>
    <w:rsid w:val="007C28CD"/>
    <w:rsid w:val="007C34E3"/>
    <w:rsid w:val="007C353F"/>
    <w:rsid w:val="007C42D8"/>
    <w:rsid w:val="007C4A7F"/>
    <w:rsid w:val="007C5153"/>
    <w:rsid w:val="007C5335"/>
    <w:rsid w:val="007C5813"/>
    <w:rsid w:val="007C5CDA"/>
    <w:rsid w:val="007C688A"/>
    <w:rsid w:val="007C6AD4"/>
    <w:rsid w:val="007C7D4A"/>
    <w:rsid w:val="007D03DE"/>
    <w:rsid w:val="007D061B"/>
    <w:rsid w:val="007D0906"/>
    <w:rsid w:val="007D1378"/>
    <w:rsid w:val="007D171B"/>
    <w:rsid w:val="007D21F3"/>
    <w:rsid w:val="007D2AC4"/>
    <w:rsid w:val="007D2B0E"/>
    <w:rsid w:val="007D2F41"/>
    <w:rsid w:val="007D36F0"/>
    <w:rsid w:val="007D4007"/>
    <w:rsid w:val="007D415F"/>
    <w:rsid w:val="007D46C2"/>
    <w:rsid w:val="007D4DAA"/>
    <w:rsid w:val="007D5A55"/>
    <w:rsid w:val="007D5B1D"/>
    <w:rsid w:val="007D647F"/>
    <w:rsid w:val="007E0088"/>
    <w:rsid w:val="007E0ADB"/>
    <w:rsid w:val="007E172F"/>
    <w:rsid w:val="007E1767"/>
    <w:rsid w:val="007E224A"/>
    <w:rsid w:val="007E2ACD"/>
    <w:rsid w:val="007E3BD1"/>
    <w:rsid w:val="007E4028"/>
    <w:rsid w:val="007E4A28"/>
    <w:rsid w:val="007E4D12"/>
    <w:rsid w:val="007E53DD"/>
    <w:rsid w:val="007E5A5A"/>
    <w:rsid w:val="007E5CC6"/>
    <w:rsid w:val="007E638D"/>
    <w:rsid w:val="007E67E8"/>
    <w:rsid w:val="007F0745"/>
    <w:rsid w:val="007F1D01"/>
    <w:rsid w:val="007F20EE"/>
    <w:rsid w:val="007F2FB7"/>
    <w:rsid w:val="007F5A02"/>
    <w:rsid w:val="007F6498"/>
    <w:rsid w:val="007F6C6A"/>
    <w:rsid w:val="007F708D"/>
    <w:rsid w:val="008009A0"/>
    <w:rsid w:val="00800C59"/>
    <w:rsid w:val="00800DFF"/>
    <w:rsid w:val="0080296D"/>
    <w:rsid w:val="00802FD7"/>
    <w:rsid w:val="008030FD"/>
    <w:rsid w:val="00803519"/>
    <w:rsid w:val="008044DD"/>
    <w:rsid w:val="00804D88"/>
    <w:rsid w:val="00805190"/>
    <w:rsid w:val="00807078"/>
    <w:rsid w:val="00810CD6"/>
    <w:rsid w:val="00811720"/>
    <w:rsid w:val="008120DD"/>
    <w:rsid w:val="008123CC"/>
    <w:rsid w:val="00814D30"/>
    <w:rsid w:val="00814F54"/>
    <w:rsid w:val="00815A0B"/>
    <w:rsid w:val="00816A79"/>
    <w:rsid w:val="00816BC0"/>
    <w:rsid w:val="008201F3"/>
    <w:rsid w:val="0082101C"/>
    <w:rsid w:val="00821903"/>
    <w:rsid w:val="00821FB8"/>
    <w:rsid w:val="00822911"/>
    <w:rsid w:val="00822F9A"/>
    <w:rsid w:val="008241F4"/>
    <w:rsid w:val="00824426"/>
    <w:rsid w:val="00824790"/>
    <w:rsid w:val="008247B6"/>
    <w:rsid w:val="008248CE"/>
    <w:rsid w:val="008258C0"/>
    <w:rsid w:val="00825A5E"/>
    <w:rsid w:val="0082680D"/>
    <w:rsid w:val="00827FE5"/>
    <w:rsid w:val="00831602"/>
    <w:rsid w:val="00831730"/>
    <w:rsid w:val="00832165"/>
    <w:rsid w:val="00833B84"/>
    <w:rsid w:val="00833DC9"/>
    <w:rsid w:val="00833E70"/>
    <w:rsid w:val="00834B96"/>
    <w:rsid w:val="00834CD6"/>
    <w:rsid w:val="00835BFB"/>
    <w:rsid w:val="00835C05"/>
    <w:rsid w:val="008363A5"/>
    <w:rsid w:val="00836599"/>
    <w:rsid w:val="008369B5"/>
    <w:rsid w:val="00836EB3"/>
    <w:rsid w:val="00836EC5"/>
    <w:rsid w:val="0083711A"/>
    <w:rsid w:val="00840344"/>
    <w:rsid w:val="00840347"/>
    <w:rsid w:val="008426A1"/>
    <w:rsid w:val="00842D08"/>
    <w:rsid w:val="008432DF"/>
    <w:rsid w:val="008444FF"/>
    <w:rsid w:val="008467EE"/>
    <w:rsid w:val="00847603"/>
    <w:rsid w:val="008478DE"/>
    <w:rsid w:val="00850098"/>
    <w:rsid w:val="008503C3"/>
    <w:rsid w:val="00850D44"/>
    <w:rsid w:val="00852C3D"/>
    <w:rsid w:val="00852F50"/>
    <w:rsid w:val="0085409D"/>
    <w:rsid w:val="00854977"/>
    <w:rsid w:val="00855EB9"/>
    <w:rsid w:val="00856298"/>
    <w:rsid w:val="0085698A"/>
    <w:rsid w:val="008579E2"/>
    <w:rsid w:val="00857E80"/>
    <w:rsid w:val="0086025E"/>
    <w:rsid w:val="00860879"/>
    <w:rsid w:val="00861851"/>
    <w:rsid w:val="00862443"/>
    <w:rsid w:val="00862C5F"/>
    <w:rsid w:val="00862D0A"/>
    <w:rsid w:val="00863005"/>
    <w:rsid w:val="00864B0B"/>
    <w:rsid w:val="0086536B"/>
    <w:rsid w:val="008657C0"/>
    <w:rsid w:val="00866D78"/>
    <w:rsid w:val="008676BE"/>
    <w:rsid w:val="00870551"/>
    <w:rsid w:val="00870F50"/>
    <w:rsid w:val="0087201C"/>
    <w:rsid w:val="00872737"/>
    <w:rsid w:val="00872C2C"/>
    <w:rsid w:val="00873AB0"/>
    <w:rsid w:val="008740D9"/>
    <w:rsid w:val="008741BD"/>
    <w:rsid w:val="00874455"/>
    <w:rsid w:val="00874948"/>
    <w:rsid w:val="0087504E"/>
    <w:rsid w:val="00875069"/>
    <w:rsid w:val="00876524"/>
    <w:rsid w:val="00876852"/>
    <w:rsid w:val="00876ACB"/>
    <w:rsid w:val="00876BB4"/>
    <w:rsid w:val="00876EBD"/>
    <w:rsid w:val="00877664"/>
    <w:rsid w:val="00880D64"/>
    <w:rsid w:val="00881B7B"/>
    <w:rsid w:val="008829C4"/>
    <w:rsid w:val="008834A5"/>
    <w:rsid w:val="00883BBB"/>
    <w:rsid w:val="00883E16"/>
    <w:rsid w:val="00884F43"/>
    <w:rsid w:val="00884F8A"/>
    <w:rsid w:val="00885C37"/>
    <w:rsid w:val="00886C5A"/>
    <w:rsid w:val="00887CB0"/>
    <w:rsid w:val="00890E59"/>
    <w:rsid w:val="008910A7"/>
    <w:rsid w:val="00891C0D"/>
    <w:rsid w:val="00892C12"/>
    <w:rsid w:val="00892E1F"/>
    <w:rsid w:val="00893413"/>
    <w:rsid w:val="00893C63"/>
    <w:rsid w:val="00893F8C"/>
    <w:rsid w:val="008947C3"/>
    <w:rsid w:val="0089492B"/>
    <w:rsid w:val="00894E67"/>
    <w:rsid w:val="00895134"/>
    <w:rsid w:val="00895F2E"/>
    <w:rsid w:val="008964F1"/>
    <w:rsid w:val="00896CE4"/>
    <w:rsid w:val="00896DE8"/>
    <w:rsid w:val="008A0082"/>
    <w:rsid w:val="008A0FAB"/>
    <w:rsid w:val="008A204E"/>
    <w:rsid w:val="008A2806"/>
    <w:rsid w:val="008A2F00"/>
    <w:rsid w:val="008A412A"/>
    <w:rsid w:val="008A43E6"/>
    <w:rsid w:val="008A4703"/>
    <w:rsid w:val="008A4C34"/>
    <w:rsid w:val="008A5143"/>
    <w:rsid w:val="008A60F9"/>
    <w:rsid w:val="008A62DB"/>
    <w:rsid w:val="008A6FA0"/>
    <w:rsid w:val="008A7D21"/>
    <w:rsid w:val="008B01FF"/>
    <w:rsid w:val="008B0AB3"/>
    <w:rsid w:val="008B17EB"/>
    <w:rsid w:val="008B20F4"/>
    <w:rsid w:val="008B235D"/>
    <w:rsid w:val="008B2D42"/>
    <w:rsid w:val="008B305D"/>
    <w:rsid w:val="008B3075"/>
    <w:rsid w:val="008B3D08"/>
    <w:rsid w:val="008B568C"/>
    <w:rsid w:val="008B69BA"/>
    <w:rsid w:val="008B6B01"/>
    <w:rsid w:val="008B79AF"/>
    <w:rsid w:val="008C0317"/>
    <w:rsid w:val="008C1315"/>
    <w:rsid w:val="008C28AF"/>
    <w:rsid w:val="008C3E67"/>
    <w:rsid w:val="008C54ED"/>
    <w:rsid w:val="008C55F8"/>
    <w:rsid w:val="008C5623"/>
    <w:rsid w:val="008C6D1B"/>
    <w:rsid w:val="008C6D9B"/>
    <w:rsid w:val="008C72C7"/>
    <w:rsid w:val="008C74BF"/>
    <w:rsid w:val="008C79C9"/>
    <w:rsid w:val="008C7D50"/>
    <w:rsid w:val="008D031C"/>
    <w:rsid w:val="008D0CAE"/>
    <w:rsid w:val="008D0CCD"/>
    <w:rsid w:val="008D1818"/>
    <w:rsid w:val="008D1B6C"/>
    <w:rsid w:val="008D23AD"/>
    <w:rsid w:val="008D2492"/>
    <w:rsid w:val="008D2771"/>
    <w:rsid w:val="008D2DCA"/>
    <w:rsid w:val="008D3531"/>
    <w:rsid w:val="008D35EE"/>
    <w:rsid w:val="008D3D86"/>
    <w:rsid w:val="008D4B99"/>
    <w:rsid w:val="008D622F"/>
    <w:rsid w:val="008D62D9"/>
    <w:rsid w:val="008D6BEB"/>
    <w:rsid w:val="008D6FBB"/>
    <w:rsid w:val="008D77D3"/>
    <w:rsid w:val="008E09FB"/>
    <w:rsid w:val="008E22EE"/>
    <w:rsid w:val="008E2564"/>
    <w:rsid w:val="008E28C8"/>
    <w:rsid w:val="008E2B14"/>
    <w:rsid w:val="008E2CFF"/>
    <w:rsid w:val="008E3E1A"/>
    <w:rsid w:val="008E49FC"/>
    <w:rsid w:val="008E4F5C"/>
    <w:rsid w:val="008E553F"/>
    <w:rsid w:val="008E5CE5"/>
    <w:rsid w:val="008E7BCB"/>
    <w:rsid w:val="008F10CF"/>
    <w:rsid w:val="008F18A7"/>
    <w:rsid w:val="008F23AC"/>
    <w:rsid w:val="008F2709"/>
    <w:rsid w:val="008F33F6"/>
    <w:rsid w:val="008F39A6"/>
    <w:rsid w:val="008F3AD3"/>
    <w:rsid w:val="008F542A"/>
    <w:rsid w:val="008F6E5C"/>
    <w:rsid w:val="008F6F3E"/>
    <w:rsid w:val="008F7AE7"/>
    <w:rsid w:val="00901689"/>
    <w:rsid w:val="009018C0"/>
    <w:rsid w:val="00903FC1"/>
    <w:rsid w:val="00906390"/>
    <w:rsid w:val="00906969"/>
    <w:rsid w:val="00907E52"/>
    <w:rsid w:val="00907F50"/>
    <w:rsid w:val="00912427"/>
    <w:rsid w:val="00912A31"/>
    <w:rsid w:val="00912AC3"/>
    <w:rsid w:val="0091311D"/>
    <w:rsid w:val="00913230"/>
    <w:rsid w:val="009141BF"/>
    <w:rsid w:val="009141CE"/>
    <w:rsid w:val="00914C0A"/>
    <w:rsid w:val="00915822"/>
    <w:rsid w:val="00915C45"/>
    <w:rsid w:val="009169F7"/>
    <w:rsid w:val="00917884"/>
    <w:rsid w:val="009223FC"/>
    <w:rsid w:val="0092271F"/>
    <w:rsid w:val="009228FA"/>
    <w:rsid w:val="00922C49"/>
    <w:rsid w:val="00923312"/>
    <w:rsid w:val="00923B85"/>
    <w:rsid w:val="00924B33"/>
    <w:rsid w:val="00924FAB"/>
    <w:rsid w:val="00925168"/>
    <w:rsid w:val="0092589C"/>
    <w:rsid w:val="00925D48"/>
    <w:rsid w:val="009273D7"/>
    <w:rsid w:val="00927A1A"/>
    <w:rsid w:val="00930134"/>
    <w:rsid w:val="00930906"/>
    <w:rsid w:val="00930940"/>
    <w:rsid w:val="00930C21"/>
    <w:rsid w:val="00930D7B"/>
    <w:rsid w:val="0093376D"/>
    <w:rsid w:val="00933E6C"/>
    <w:rsid w:val="009342BB"/>
    <w:rsid w:val="00936263"/>
    <w:rsid w:val="00941EA8"/>
    <w:rsid w:val="00942756"/>
    <w:rsid w:val="00942B08"/>
    <w:rsid w:val="0094328A"/>
    <w:rsid w:val="009441EF"/>
    <w:rsid w:val="009443BE"/>
    <w:rsid w:val="00944ED2"/>
    <w:rsid w:val="00946C5B"/>
    <w:rsid w:val="00947157"/>
    <w:rsid w:val="00947B74"/>
    <w:rsid w:val="00947EAC"/>
    <w:rsid w:val="00950383"/>
    <w:rsid w:val="00952037"/>
    <w:rsid w:val="0095219D"/>
    <w:rsid w:val="00953414"/>
    <w:rsid w:val="00956D3F"/>
    <w:rsid w:val="009604C7"/>
    <w:rsid w:val="009616C2"/>
    <w:rsid w:val="00961A67"/>
    <w:rsid w:val="009638D5"/>
    <w:rsid w:val="009640DC"/>
    <w:rsid w:val="00964463"/>
    <w:rsid w:val="00964498"/>
    <w:rsid w:val="00964752"/>
    <w:rsid w:val="00964A01"/>
    <w:rsid w:val="00965112"/>
    <w:rsid w:val="00965615"/>
    <w:rsid w:val="0096659A"/>
    <w:rsid w:val="00971F12"/>
    <w:rsid w:val="0097231B"/>
    <w:rsid w:val="009733E7"/>
    <w:rsid w:val="00974146"/>
    <w:rsid w:val="0097442B"/>
    <w:rsid w:val="009750AE"/>
    <w:rsid w:val="00975FA8"/>
    <w:rsid w:val="009764F9"/>
    <w:rsid w:val="009765B2"/>
    <w:rsid w:val="0097679F"/>
    <w:rsid w:val="009805CB"/>
    <w:rsid w:val="009809CB"/>
    <w:rsid w:val="0098157E"/>
    <w:rsid w:val="009828EF"/>
    <w:rsid w:val="00982E76"/>
    <w:rsid w:val="00982FBD"/>
    <w:rsid w:val="0098365E"/>
    <w:rsid w:val="00983C7A"/>
    <w:rsid w:val="009844FC"/>
    <w:rsid w:val="00984E8D"/>
    <w:rsid w:val="009850BF"/>
    <w:rsid w:val="009853C2"/>
    <w:rsid w:val="00986F52"/>
    <w:rsid w:val="0099004D"/>
    <w:rsid w:val="009902FE"/>
    <w:rsid w:val="00990F1F"/>
    <w:rsid w:val="00991403"/>
    <w:rsid w:val="009915EA"/>
    <w:rsid w:val="00991E3F"/>
    <w:rsid w:val="009926D6"/>
    <w:rsid w:val="00993507"/>
    <w:rsid w:val="009938ED"/>
    <w:rsid w:val="009938F1"/>
    <w:rsid w:val="009939CB"/>
    <w:rsid w:val="0099462E"/>
    <w:rsid w:val="009946FD"/>
    <w:rsid w:val="00994A87"/>
    <w:rsid w:val="0099578F"/>
    <w:rsid w:val="0099587A"/>
    <w:rsid w:val="00995F6D"/>
    <w:rsid w:val="00997295"/>
    <w:rsid w:val="00997ED2"/>
    <w:rsid w:val="009A0AF1"/>
    <w:rsid w:val="009A13C9"/>
    <w:rsid w:val="009A28DE"/>
    <w:rsid w:val="009A2A85"/>
    <w:rsid w:val="009A3760"/>
    <w:rsid w:val="009A388B"/>
    <w:rsid w:val="009A40AD"/>
    <w:rsid w:val="009A4FF3"/>
    <w:rsid w:val="009A6670"/>
    <w:rsid w:val="009A6A82"/>
    <w:rsid w:val="009A6E12"/>
    <w:rsid w:val="009A714C"/>
    <w:rsid w:val="009A7506"/>
    <w:rsid w:val="009A7682"/>
    <w:rsid w:val="009B2514"/>
    <w:rsid w:val="009B2E70"/>
    <w:rsid w:val="009B4321"/>
    <w:rsid w:val="009B4B9C"/>
    <w:rsid w:val="009B5EF8"/>
    <w:rsid w:val="009B7606"/>
    <w:rsid w:val="009B7B50"/>
    <w:rsid w:val="009B7F12"/>
    <w:rsid w:val="009C092E"/>
    <w:rsid w:val="009C1AAD"/>
    <w:rsid w:val="009C2B5F"/>
    <w:rsid w:val="009C3C4E"/>
    <w:rsid w:val="009C4261"/>
    <w:rsid w:val="009C4D27"/>
    <w:rsid w:val="009C5A84"/>
    <w:rsid w:val="009C5DF8"/>
    <w:rsid w:val="009C6180"/>
    <w:rsid w:val="009C765F"/>
    <w:rsid w:val="009C7C12"/>
    <w:rsid w:val="009D03B3"/>
    <w:rsid w:val="009D0C17"/>
    <w:rsid w:val="009D1CD5"/>
    <w:rsid w:val="009D3BE0"/>
    <w:rsid w:val="009D40CC"/>
    <w:rsid w:val="009D4842"/>
    <w:rsid w:val="009D5EDC"/>
    <w:rsid w:val="009D6364"/>
    <w:rsid w:val="009D6879"/>
    <w:rsid w:val="009D6C02"/>
    <w:rsid w:val="009D6EE6"/>
    <w:rsid w:val="009D6F23"/>
    <w:rsid w:val="009D71BE"/>
    <w:rsid w:val="009D782F"/>
    <w:rsid w:val="009D7A73"/>
    <w:rsid w:val="009D7F11"/>
    <w:rsid w:val="009E1C17"/>
    <w:rsid w:val="009E1FAC"/>
    <w:rsid w:val="009E2DD6"/>
    <w:rsid w:val="009E3973"/>
    <w:rsid w:val="009E3C72"/>
    <w:rsid w:val="009E3D3F"/>
    <w:rsid w:val="009E4857"/>
    <w:rsid w:val="009E57ED"/>
    <w:rsid w:val="009F0880"/>
    <w:rsid w:val="009F21A0"/>
    <w:rsid w:val="009F2852"/>
    <w:rsid w:val="009F2AEE"/>
    <w:rsid w:val="009F2E6E"/>
    <w:rsid w:val="009F30C6"/>
    <w:rsid w:val="009F4269"/>
    <w:rsid w:val="009F45E4"/>
    <w:rsid w:val="009F5D48"/>
    <w:rsid w:val="009F5EBA"/>
    <w:rsid w:val="009F6D78"/>
    <w:rsid w:val="009F7F1D"/>
    <w:rsid w:val="00A00579"/>
    <w:rsid w:val="00A01035"/>
    <w:rsid w:val="00A017B9"/>
    <w:rsid w:val="00A01F43"/>
    <w:rsid w:val="00A023FE"/>
    <w:rsid w:val="00A024CC"/>
    <w:rsid w:val="00A036D9"/>
    <w:rsid w:val="00A036E6"/>
    <w:rsid w:val="00A04454"/>
    <w:rsid w:val="00A04B6B"/>
    <w:rsid w:val="00A05062"/>
    <w:rsid w:val="00A06233"/>
    <w:rsid w:val="00A064FC"/>
    <w:rsid w:val="00A0711E"/>
    <w:rsid w:val="00A072CE"/>
    <w:rsid w:val="00A0795D"/>
    <w:rsid w:val="00A1145B"/>
    <w:rsid w:val="00A11DAD"/>
    <w:rsid w:val="00A11E91"/>
    <w:rsid w:val="00A11F46"/>
    <w:rsid w:val="00A12292"/>
    <w:rsid w:val="00A12484"/>
    <w:rsid w:val="00A127A7"/>
    <w:rsid w:val="00A12D40"/>
    <w:rsid w:val="00A13865"/>
    <w:rsid w:val="00A14F05"/>
    <w:rsid w:val="00A158BB"/>
    <w:rsid w:val="00A166EC"/>
    <w:rsid w:val="00A16DC3"/>
    <w:rsid w:val="00A17A33"/>
    <w:rsid w:val="00A2140D"/>
    <w:rsid w:val="00A23321"/>
    <w:rsid w:val="00A2344E"/>
    <w:rsid w:val="00A24030"/>
    <w:rsid w:val="00A240AA"/>
    <w:rsid w:val="00A24F55"/>
    <w:rsid w:val="00A24F9F"/>
    <w:rsid w:val="00A255D1"/>
    <w:rsid w:val="00A26AFF"/>
    <w:rsid w:val="00A277AD"/>
    <w:rsid w:val="00A279C2"/>
    <w:rsid w:val="00A27CDD"/>
    <w:rsid w:val="00A27CEF"/>
    <w:rsid w:val="00A302DF"/>
    <w:rsid w:val="00A30A4F"/>
    <w:rsid w:val="00A30C02"/>
    <w:rsid w:val="00A31314"/>
    <w:rsid w:val="00A32128"/>
    <w:rsid w:val="00A3239F"/>
    <w:rsid w:val="00A32732"/>
    <w:rsid w:val="00A346E1"/>
    <w:rsid w:val="00A357B9"/>
    <w:rsid w:val="00A36BD3"/>
    <w:rsid w:val="00A3762F"/>
    <w:rsid w:val="00A37827"/>
    <w:rsid w:val="00A37837"/>
    <w:rsid w:val="00A378ED"/>
    <w:rsid w:val="00A40574"/>
    <w:rsid w:val="00A41D9C"/>
    <w:rsid w:val="00A426A5"/>
    <w:rsid w:val="00A42BA7"/>
    <w:rsid w:val="00A43789"/>
    <w:rsid w:val="00A439A9"/>
    <w:rsid w:val="00A4424A"/>
    <w:rsid w:val="00A443C1"/>
    <w:rsid w:val="00A44D50"/>
    <w:rsid w:val="00A4767D"/>
    <w:rsid w:val="00A500A4"/>
    <w:rsid w:val="00A505D7"/>
    <w:rsid w:val="00A511BD"/>
    <w:rsid w:val="00A51540"/>
    <w:rsid w:val="00A51C55"/>
    <w:rsid w:val="00A5238F"/>
    <w:rsid w:val="00A52745"/>
    <w:rsid w:val="00A535E1"/>
    <w:rsid w:val="00A53F57"/>
    <w:rsid w:val="00A547A4"/>
    <w:rsid w:val="00A553FB"/>
    <w:rsid w:val="00A5577F"/>
    <w:rsid w:val="00A55F73"/>
    <w:rsid w:val="00A5690F"/>
    <w:rsid w:val="00A57128"/>
    <w:rsid w:val="00A571DE"/>
    <w:rsid w:val="00A57609"/>
    <w:rsid w:val="00A62435"/>
    <w:rsid w:val="00A62655"/>
    <w:rsid w:val="00A62861"/>
    <w:rsid w:val="00A629A7"/>
    <w:rsid w:val="00A62F3A"/>
    <w:rsid w:val="00A62F4D"/>
    <w:rsid w:val="00A633F4"/>
    <w:rsid w:val="00A639F3"/>
    <w:rsid w:val="00A70B05"/>
    <w:rsid w:val="00A70C83"/>
    <w:rsid w:val="00A70F8E"/>
    <w:rsid w:val="00A711AF"/>
    <w:rsid w:val="00A71612"/>
    <w:rsid w:val="00A716EA"/>
    <w:rsid w:val="00A71D03"/>
    <w:rsid w:val="00A71DFD"/>
    <w:rsid w:val="00A745B9"/>
    <w:rsid w:val="00A74682"/>
    <w:rsid w:val="00A76AB2"/>
    <w:rsid w:val="00A772CA"/>
    <w:rsid w:val="00A77613"/>
    <w:rsid w:val="00A77CF5"/>
    <w:rsid w:val="00A77CF7"/>
    <w:rsid w:val="00A81EF1"/>
    <w:rsid w:val="00A81F9E"/>
    <w:rsid w:val="00A83566"/>
    <w:rsid w:val="00A86CFC"/>
    <w:rsid w:val="00A87120"/>
    <w:rsid w:val="00A87251"/>
    <w:rsid w:val="00A8727D"/>
    <w:rsid w:val="00A876D8"/>
    <w:rsid w:val="00A87C04"/>
    <w:rsid w:val="00A9370E"/>
    <w:rsid w:val="00A9528C"/>
    <w:rsid w:val="00A956D1"/>
    <w:rsid w:val="00A9582A"/>
    <w:rsid w:val="00A95AD8"/>
    <w:rsid w:val="00A96C24"/>
    <w:rsid w:val="00A96FA5"/>
    <w:rsid w:val="00A979BD"/>
    <w:rsid w:val="00A97A73"/>
    <w:rsid w:val="00A97C9A"/>
    <w:rsid w:val="00AA01C4"/>
    <w:rsid w:val="00AA09A0"/>
    <w:rsid w:val="00AA11AE"/>
    <w:rsid w:val="00AA1BAD"/>
    <w:rsid w:val="00AA1CAA"/>
    <w:rsid w:val="00AA26C6"/>
    <w:rsid w:val="00AA2EB8"/>
    <w:rsid w:val="00AA328E"/>
    <w:rsid w:val="00AA3D06"/>
    <w:rsid w:val="00AA4015"/>
    <w:rsid w:val="00AA48A3"/>
    <w:rsid w:val="00AA5139"/>
    <w:rsid w:val="00AA6762"/>
    <w:rsid w:val="00AA740D"/>
    <w:rsid w:val="00AA7F53"/>
    <w:rsid w:val="00AB09B7"/>
    <w:rsid w:val="00AB16E1"/>
    <w:rsid w:val="00AB2BC0"/>
    <w:rsid w:val="00AB2CE2"/>
    <w:rsid w:val="00AB2D7D"/>
    <w:rsid w:val="00AB30BB"/>
    <w:rsid w:val="00AB3E24"/>
    <w:rsid w:val="00AB4418"/>
    <w:rsid w:val="00AB521F"/>
    <w:rsid w:val="00AB5DB8"/>
    <w:rsid w:val="00AB7E02"/>
    <w:rsid w:val="00AC0835"/>
    <w:rsid w:val="00AC096C"/>
    <w:rsid w:val="00AC0E3D"/>
    <w:rsid w:val="00AC23F2"/>
    <w:rsid w:val="00AC2779"/>
    <w:rsid w:val="00AC37EA"/>
    <w:rsid w:val="00AC3B88"/>
    <w:rsid w:val="00AC3CD2"/>
    <w:rsid w:val="00AC522E"/>
    <w:rsid w:val="00AC6DD7"/>
    <w:rsid w:val="00AC720A"/>
    <w:rsid w:val="00AD0619"/>
    <w:rsid w:val="00AD13A1"/>
    <w:rsid w:val="00AD1BC8"/>
    <w:rsid w:val="00AD3B6D"/>
    <w:rsid w:val="00AD4727"/>
    <w:rsid w:val="00AD4BA9"/>
    <w:rsid w:val="00AD51F7"/>
    <w:rsid w:val="00AD55A3"/>
    <w:rsid w:val="00AD57E6"/>
    <w:rsid w:val="00AD6254"/>
    <w:rsid w:val="00AD6CF3"/>
    <w:rsid w:val="00AD7184"/>
    <w:rsid w:val="00AE01CD"/>
    <w:rsid w:val="00AE0D37"/>
    <w:rsid w:val="00AE158B"/>
    <w:rsid w:val="00AE1892"/>
    <w:rsid w:val="00AE1AE8"/>
    <w:rsid w:val="00AE2B0B"/>
    <w:rsid w:val="00AE43FC"/>
    <w:rsid w:val="00AE4AD0"/>
    <w:rsid w:val="00AE528F"/>
    <w:rsid w:val="00AE587D"/>
    <w:rsid w:val="00AE7245"/>
    <w:rsid w:val="00AE7927"/>
    <w:rsid w:val="00AE7CDB"/>
    <w:rsid w:val="00AF06D2"/>
    <w:rsid w:val="00AF0A3A"/>
    <w:rsid w:val="00AF16CE"/>
    <w:rsid w:val="00AF1B13"/>
    <w:rsid w:val="00AF1D82"/>
    <w:rsid w:val="00AF2940"/>
    <w:rsid w:val="00AF29D2"/>
    <w:rsid w:val="00AF2E0B"/>
    <w:rsid w:val="00AF3A22"/>
    <w:rsid w:val="00AF4403"/>
    <w:rsid w:val="00AF4822"/>
    <w:rsid w:val="00AF4C2B"/>
    <w:rsid w:val="00AF5D3F"/>
    <w:rsid w:val="00AF5DAD"/>
    <w:rsid w:val="00AF60D5"/>
    <w:rsid w:val="00AF6439"/>
    <w:rsid w:val="00AF7229"/>
    <w:rsid w:val="00AF72EC"/>
    <w:rsid w:val="00AF75A7"/>
    <w:rsid w:val="00B005A8"/>
    <w:rsid w:val="00B0063A"/>
    <w:rsid w:val="00B01523"/>
    <w:rsid w:val="00B02F46"/>
    <w:rsid w:val="00B03085"/>
    <w:rsid w:val="00B03965"/>
    <w:rsid w:val="00B03C2C"/>
    <w:rsid w:val="00B03E1C"/>
    <w:rsid w:val="00B04EE3"/>
    <w:rsid w:val="00B0579B"/>
    <w:rsid w:val="00B05A71"/>
    <w:rsid w:val="00B05F91"/>
    <w:rsid w:val="00B06560"/>
    <w:rsid w:val="00B1047F"/>
    <w:rsid w:val="00B11BE8"/>
    <w:rsid w:val="00B11D90"/>
    <w:rsid w:val="00B11E02"/>
    <w:rsid w:val="00B120D7"/>
    <w:rsid w:val="00B123D8"/>
    <w:rsid w:val="00B12526"/>
    <w:rsid w:val="00B1266E"/>
    <w:rsid w:val="00B14776"/>
    <w:rsid w:val="00B16CD0"/>
    <w:rsid w:val="00B16D08"/>
    <w:rsid w:val="00B17F4A"/>
    <w:rsid w:val="00B20351"/>
    <w:rsid w:val="00B216EF"/>
    <w:rsid w:val="00B21F67"/>
    <w:rsid w:val="00B22667"/>
    <w:rsid w:val="00B234EB"/>
    <w:rsid w:val="00B23523"/>
    <w:rsid w:val="00B23604"/>
    <w:rsid w:val="00B23AB1"/>
    <w:rsid w:val="00B23C36"/>
    <w:rsid w:val="00B24BD3"/>
    <w:rsid w:val="00B24E74"/>
    <w:rsid w:val="00B2503C"/>
    <w:rsid w:val="00B2564D"/>
    <w:rsid w:val="00B257F4"/>
    <w:rsid w:val="00B25860"/>
    <w:rsid w:val="00B26049"/>
    <w:rsid w:val="00B2754D"/>
    <w:rsid w:val="00B30116"/>
    <w:rsid w:val="00B319AC"/>
    <w:rsid w:val="00B32C92"/>
    <w:rsid w:val="00B339C6"/>
    <w:rsid w:val="00B33CA8"/>
    <w:rsid w:val="00B33FC6"/>
    <w:rsid w:val="00B34E63"/>
    <w:rsid w:val="00B36A29"/>
    <w:rsid w:val="00B402E3"/>
    <w:rsid w:val="00B415A1"/>
    <w:rsid w:val="00B4254D"/>
    <w:rsid w:val="00B4284F"/>
    <w:rsid w:val="00B42A5C"/>
    <w:rsid w:val="00B431E0"/>
    <w:rsid w:val="00B459D5"/>
    <w:rsid w:val="00B462E6"/>
    <w:rsid w:val="00B47638"/>
    <w:rsid w:val="00B50057"/>
    <w:rsid w:val="00B51006"/>
    <w:rsid w:val="00B51436"/>
    <w:rsid w:val="00B51C8B"/>
    <w:rsid w:val="00B526EF"/>
    <w:rsid w:val="00B529B5"/>
    <w:rsid w:val="00B53700"/>
    <w:rsid w:val="00B547F7"/>
    <w:rsid w:val="00B54F59"/>
    <w:rsid w:val="00B557FB"/>
    <w:rsid w:val="00B55B59"/>
    <w:rsid w:val="00B61F79"/>
    <w:rsid w:val="00B64139"/>
    <w:rsid w:val="00B64D20"/>
    <w:rsid w:val="00B65BCB"/>
    <w:rsid w:val="00B65E2B"/>
    <w:rsid w:val="00B66659"/>
    <w:rsid w:val="00B66CD1"/>
    <w:rsid w:val="00B66E4C"/>
    <w:rsid w:val="00B6712D"/>
    <w:rsid w:val="00B6750C"/>
    <w:rsid w:val="00B701AA"/>
    <w:rsid w:val="00B70905"/>
    <w:rsid w:val="00B70B3D"/>
    <w:rsid w:val="00B70C4F"/>
    <w:rsid w:val="00B70D13"/>
    <w:rsid w:val="00B729DE"/>
    <w:rsid w:val="00B7375A"/>
    <w:rsid w:val="00B73DB4"/>
    <w:rsid w:val="00B7403E"/>
    <w:rsid w:val="00B74849"/>
    <w:rsid w:val="00B75583"/>
    <w:rsid w:val="00B758C7"/>
    <w:rsid w:val="00B76BE3"/>
    <w:rsid w:val="00B7792E"/>
    <w:rsid w:val="00B800E6"/>
    <w:rsid w:val="00B802F5"/>
    <w:rsid w:val="00B8099D"/>
    <w:rsid w:val="00B81223"/>
    <w:rsid w:val="00B8203B"/>
    <w:rsid w:val="00B84B99"/>
    <w:rsid w:val="00B84EB2"/>
    <w:rsid w:val="00B850D2"/>
    <w:rsid w:val="00B85FC4"/>
    <w:rsid w:val="00B8691C"/>
    <w:rsid w:val="00B86BA1"/>
    <w:rsid w:val="00B86F94"/>
    <w:rsid w:val="00B87AD8"/>
    <w:rsid w:val="00B90359"/>
    <w:rsid w:val="00B90C15"/>
    <w:rsid w:val="00B90C5C"/>
    <w:rsid w:val="00B90EBA"/>
    <w:rsid w:val="00B921FA"/>
    <w:rsid w:val="00B92CE9"/>
    <w:rsid w:val="00B932C5"/>
    <w:rsid w:val="00B94188"/>
    <w:rsid w:val="00B94874"/>
    <w:rsid w:val="00B949E3"/>
    <w:rsid w:val="00B94DD8"/>
    <w:rsid w:val="00B96371"/>
    <w:rsid w:val="00B96A9A"/>
    <w:rsid w:val="00B96B98"/>
    <w:rsid w:val="00B96FF7"/>
    <w:rsid w:val="00BA01FA"/>
    <w:rsid w:val="00BA2616"/>
    <w:rsid w:val="00BA2645"/>
    <w:rsid w:val="00BA276D"/>
    <w:rsid w:val="00BA3AB7"/>
    <w:rsid w:val="00BA4136"/>
    <w:rsid w:val="00BA449C"/>
    <w:rsid w:val="00BA5B29"/>
    <w:rsid w:val="00BA5BAD"/>
    <w:rsid w:val="00BA6B1F"/>
    <w:rsid w:val="00BA6C10"/>
    <w:rsid w:val="00BB05E5"/>
    <w:rsid w:val="00BB08F8"/>
    <w:rsid w:val="00BB1009"/>
    <w:rsid w:val="00BB2656"/>
    <w:rsid w:val="00BB26E8"/>
    <w:rsid w:val="00BB28E0"/>
    <w:rsid w:val="00BB2920"/>
    <w:rsid w:val="00BB2C59"/>
    <w:rsid w:val="00BB4326"/>
    <w:rsid w:val="00BB4330"/>
    <w:rsid w:val="00BB4425"/>
    <w:rsid w:val="00BB4841"/>
    <w:rsid w:val="00BB4B42"/>
    <w:rsid w:val="00BB4D6B"/>
    <w:rsid w:val="00BB55FC"/>
    <w:rsid w:val="00BB5BAE"/>
    <w:rsid w:val="00BB5C6C"/>
    <w:rsid w:val="00BB5C8C"/>
    <w:rsid w:val="00BB64CC"/>
    <w:rsid w:val="00BB7DE6"/>
    <w:rsid w:val="00BB7E64"/>
    <w:rsid w:val="00BC0C22"/>
    <w:rsid w:val="00BC1526"/>
    <w:rsid w:val="00BC19A8"/>
    <w:rsid w:val="00BC2730"/>
    <w:rsid w:val="00BC3495"/>
    <w:rsid w:val="00BC5D97"/>
    <w:rsid w:val="00BC612C"/>
    <w:rsid w:val="00BC6F15"/>
    <w:rsid w:val="00BC7608"/>
    <w:rsid w:val="00BD01A1"/>
    <w:rsid w:val="00BD0D32"/>
    <w:rsid w:val="00BD0FDB"/>
    <w:rsid w:val="00BD15C1"/>
    <w:rsid w:val="00BD160F"/>
    <w:rsid w:val="00BD2697"/>
    <w:rsid w:val="00BD2B28"/>
    <w:rsid w:val="00BD2DF8"/>
    <w:rsid w:val="00BD3700"/>
    <w:rsid w:val="00BD3730"/>
    <w:rsid w:val="00BD3DDB"/>
    <w:rsid w:val="00BD4F17"/>
    <w:rsid w:val="00BD50B2"/>
    <w:rsid w:val="00BD5184"/>
    <w:rsid w:val="00BD7240"/>
    <w:rsid w:val="00BD7737"/>
    <w:rsid w:val="00BE07C9"/>
    <w:rsid w:val="00BE2063"/>
    <w:rsid w:val="00BE2A68"/>
    <w:rsid w:val="00BE2F65"/>
    <w:rsid w:val="00BE46D5"/>
    <w:rsid w:val="00BE477C"/>
    <w:rsid w:val="00BE4A65"/>
    <w:rsid w:val="00BE4B53"/>
    <w:rsid w:val="00BE4DCF"/>
    <w:rsid w:val="00BE5AD7"/>
    <w:rsid w:val="00BF0422"/>
    <w:rsid w:val="00BF08E3"/>
    <w:rsid w:val="00BF1681"/>
    <w:rsid w:val="00BF2A91"/>
    <w:rsid w:val="00BF3680"/>
    <w:rsid w:val="00BF4BE8"/>
    <w:rsid w:val="00BF4C68"/>
    <w:rsid w:val="00BF56D7"/>
    <w:rsid w:val="00BF6023"/>
    <w:rsid w:val="00BF6C97"/>
    <w:rsid w:val="00BF73D8"/>
    <w:rsid w:val="00BF76C6"/>
    <w:rsid w:val="00BF79AE"/>
    <w:rsid w:val="00BF7DD7"/>
    <w:rsid w:val="00C0038C"/>
    <w:rsid w:val="00C0038E"/>
    <w:rsid w:val="00C00474"/>
    <w:rsid w:val="00C0096F"/>
    <w:rsid w:val="00C0120A"/>
    <w:rsid w:val="00C01310"/>
    <w:rsid w:val="00C01DE7"/>
    <w:rsid w:val="00C0219F"/>
    <w:rsid w:val="00C02603"/>
    <w:rsid w:val="00C044B1"/>
    <w:rsid w:val="00C0584C"/>
    <w:rsid w:val="00C05E23"/>
    <w:rsid w:val="00C07159"/>
    <w:rsid w:val="00C0769B"/>
    <w:rsid w:val="00C0772F"/>
    <w:rsid w:val="00C07B68"/>
    <w:rsid w:val="00C111DA"/>
    <w:rsid w:val="00C11267"/>
    <w:rsid w:val="00C116BF"/>
    <w:rsid w:val="00C11C63"/>
    <w:rsid w:val="00C13834"/>
    <w:rsid w:val="00C148F1"/>
    <w:rsid w:val="00C1524F"/>
    <w:rsid w:val="00C1570A"/>
    <w:rsid w:val="00C1619A"/>
    <w:rsid w:val="00C17425"/>
    <w:rsid w:val="00C1776E"/>
    <w:rsid w:val="00C17E06"/>
    <w:rsid w:val="00C2053A"/>
    <w:rsid w:val="00C20796"/>
    <w:rsid w:val="00C20971"/>
    <w:rsid w:val="00C215E3"/>
    <w:rsid w:val="00C218AD"/>
    <w:rsid w:val="00C21D7D"/>
    <w:rsid w:val="00C22CEF"/>
    <w:rsid w:val="00C24A89"/>
    <w:rsid w:val="00C252D4"/>
    <w:rsid w:val="00C2562B"/>
    <w:rsid w:val="00C25760"/>
    <w:rsid w:val="00C2752B"/>
    <w:rsid w:val="00C279E9"/>
    <w:rsid w:val="00C27E71"/>
    <w:rsid w:val="00C27FCC"/>
    <w:rsid w:val="00C30E5A"/>
    <w:rsid w:val="00C31882"/>
    <w:rsid w:val="00C324EE"/>
    <w:rsid w:val="00C329E6"/>
    <w:rsid w:val="00C33353"/>
    <w:rsid w:val="00C3420C"/>
    <w:rsid w:val="00C34B1B"/>
    <w:rsid w:val="00C350BC"/>
    <w:rsid w:val="00C363F0"/>
    <w:rsid w:val="00C374B6"/>
    <w:rsid w:val="00C374D3"/>
    <w:rsid w:val="00C37808"/>
    <w:rsid w:val="00C37A09"/>
    <w:rsid w:val="00C37BF7"/>
    <w:rsid w:val="00C407B0"/>
    <w:rsid w:val="00C412DA"/>
    <w:rsid w:val="00C419F8"/>
    <w:rsid w:val="00C42D21"/>
    <w:rsid w:val="00C43262"/>
    <w:rsid w:val="00C449F2"/>
    <w:rsid w:val="00C44C24"/>
    <w:rsid w:val="00C44EE1"/>
    <w:rsid w:val="00C4689C"/>
    <w:rsid w:val="00C4732C"/>
    <w:rsid w:val="00C501E1"/>
    <w:rsid w:val="00C5108B"/>
    <w:rsid w:val="00C5191E"/>
    <w:rsid w:val="00C5243C"/>
    <w:rsid w:val="00C541E5"/>
    <w:rsid w:val="00C548D1"/>
    <w:rsid w:val="00C56A21"/>
    <w:rsid w:val="00C56F33"/>
    <w:rsid w:val="00C570AB"/>
    <w:rsid w:val="00C5790D"/>
    <w:rsid w:val="00C57E50"/>
    <w:rsid w:val="00C6207A"/>
    <w:rsid w:val="00C62ECA"/>
    <w:rsid w:val="00C635E7"/>
    <w:rsid w:val="00C66502"/>
    <w:rsid w:val="00C66ED6"/>
    <w:rsid w:val="00C72E30"/>
    <w:rsid w:val="00C73A99"/>
    <w:rsid w:val="00C73AA3"/>
    <w:rsid w:val="00C742C5"/>
    <w:rsid w:val="00C74EEB"/>
    <w:rsid w:val="00C75E87"/>
    <w:rsid w:val="00C762F4"/>
    <w:rsid w:val="00C77769"/>
    <w:rsid w:val="00C811A0"/>
    <w:rsid w:val="00C81852"/>
    <w:rsid w:val="00C81AE4"/>
    <w:rsid w:val="00C82377"/>
    <w:rsid w:val="00C823B1"/>
    <w:rsid w:val="00C8317F"/>
    <w:rsid w:val="00C8395D"/>
    <w:rsid w:val="00C83B66"/>
    <w:rsid w:val="00C84745"/>
    <w:rsid w:val="00C85E9F"/>
    <w:rsid w:val="00C86049"/>
    <w:rsid w:val="00C8606C"/>
    <w:rsid w:val="00C876D3"/>
    <w:rsid w:val="00C87C28"/>
    <w:rsid w:val="00C87C52"/>
    <w:rsid w:val="00C910E0"/>
    <w:rsid w:val="00C91918"/>
    <w:rsid w:val="00C930FA"/>
    <w:rsid w:val="00C9337D"/>
    <w:rsid w:val="00C93E91"/>
    <w:rsid w:val="00C94FEE"/>
    <w:rsid w:val="00CA01DA"/>
    <w:rsid w:val="00CA05D9"/>
    <w:rsid w:val="00CA0823"/>
    <w:rsid w:val="00CA162D"/>
    <w:rsid w:val="00CA1AB5"/>
    <w:rsid w:val="00CA1C71"/>
    <w:rsid w:val="00CA3C2E"/>
    <w:rsid w:val="00CA442E"/>
    <w:rsid w:val="00CA4E4C"/>
    <w:rsid w:val="00CA5639"/>
    <w:rsid w:val="00CA5844"/>
    <w:rsid w:val="00CA5AE6"/>
    <w:rsid w:val="00CA6736"/>
    <w:rsid w:val="00CA71BA"/>
    <w:rsid w:val="00CA752E"/>
    <w:rsid w:val="00CA765D"/>
    <w:rsid w:val="00CA790E"/>
    <w:rsid w:val="00CA7D30"/>
    <w:rsid w:val="00CB2CC6"/>
    <w:rsid w:val="00CB38AC"/>
    <w:rsid w:val="00CB3EBA"/>
    <w:rsid w:val="00CB53AF"/>
    <w:rsid w:val="00CB5455"/>
    <w:rsid w:val="00CB61D0"/>
    <w:rsid w:val="00CB7CE3"/>
    <w:rsid w:val="00CB7FFE"/>
    <w:rsid w:val="00CC0E69"/>
    <w:rsid w:val="00CC22B4"/>
    <w:rsid w:val="00CC26DB"/>
    <w:rsid w:val="00CC2EE7"/>
    <w:rsid w:val="00CC3555"/>
    <w:rsid w:val="00CC4056"/>
    <w:rsid w:val="00CC40AA"/>
    <w:rsid w:val="00CC4691"/>
    <w:rsid w:val="00CC4E93"/>
    <w:rsid w:val="00CC4F51"/>
    <w:rsid w:val="00CD0131"/>
    <w:rsid w:val="00CD15C8"/>
    <w:rsid w:val="00CD2C78"/>
    <w:rsid w:val="00CD3EF8"/>
    <w:rsid w:val="00CD4338"/>
    <w:rsid w:val="00CD435F"/>
    <w:rsid w:val="00CD4A0E"/>
    <w:rsid w:val="00CD4F4E"/>
    <w:rsid w:val="00CD4FF9"/>
    <w:rsid w:val="00CD54EA"/>
    <w:rsid w:val="00CD623E"/>
    <w:rsid w:val="00CD69CD"/>
    <w:rsid w:val="00CD78E5"/>
    <w:rsid w:val="00CD79D1"/>
    <w:rsid w:val="00CD7C9D"/>
    <w:rsid w:val="00CD7D6D"/>
    <w:rsid w:val="00CD7E24"/>
    <w:rsid w:val="00CD7E41"/>
    <w:rsid w:val="00CE0223"/>
    <w:rsid w:val="00CE061B"/>
    <w:rsid w:val="00CE1618"/>
    <w:rsid w:val="00CE1BB0"/>
    <w:rsid w:val="00CE1D58"/>
    <w:rsid w:val="00CE22DD"/>
    <w:rsid w:val="00CE246F"/>
    <w:rsid w:val="00CE2B72"/>
    <w:rsid w:val="00CE33F3"/>
    <w:rsid w:val="00CE4607"/>
    <w:rsid w:val="00CE4621"/>
    <w:rsid w:val="00CE4C9A"/>
    <w:rsid w:val="00CE4E6B"/>
    <w:rsid w:val="00CE5F40"/>
    <w:rsid w:val="00CE6CCA"/>
    <w:rsid w:val="00CE7682"/>
    <w:rsid w:val="00CE7C6B"/>
    <w:rsid w:val="00CE7F48"/>
    <w:rsid w:val="00CE7FA1"/>
    <w:rsid w:val="00CF015F"/>
    <w:rsid w:val="00CF0327"/>
    <w:rsid w:val="00CF0557"/>
    <w:rsid w:val="00CF0A68"/>
    <w:rsid w:val="00CF134B"/>
    <w:rsid w:val="00CF1484"/>
    <w:rsid w:val="00CF1AEA"/>
    <w:rsid w:val="00CF1DC0"/>
    <w:rsid w:val="00CF1F27"/>
    <w:rsid w:val="00CF20DD"/>
    <w:rsid w:val="00CF3BD4"/>
    <w:rsid w:val="00CF40E7"/>
    <w:rsid w:val="00CF4152"/>
    <w:rsid w:val="00CF423D"/>
    <w:rsid w:val="00CF4996"/>
    <w:rsid w:val="00CF52FD"/>
    <w:rsid w:val="00CF6C3F"/>
    <w:rsid w:val="00CF7A46"/>
    <w:rsid w:val="00D01EFC"/>
    <w:rsid w:val="00D03F2F"/>
    <w:rsid w:val="00D042C3"/>
    <w:rsid w:val="00D053D1"/>
    <w:rsid w:val="00D05F10"/>
    <w:rsid w:val="00D06B59"/>
    <w:rsid w:val="00D06F66"/>
    <w:rsid w:val="00D0749C"/>
    <w:rsid w:val="00D07ABD"/>
    <w:rsid w:val="00D07EDC"/>
    <w:rsid w:val="00D1132B"/>
    <w:rsid w:val="00D11BFE"/>
    <w:rsid w:val="00D121DE"/>
    <w:rsid w:val="00D12EA0"/>
    <w:rsid w:val="00D133DC"/>
    <w:rsid w:val="00D13B1E"/>
    <w:rsid w:val="00D13B6E"/>
    <w:rsid w:val="00D13E83"/>
    <w:rsid w:val="00D159F7"/>
    <w:rsid w:val="00D15AD0"/>
    <w:rsid w:val="00D161B7"/>
    <w:rsid w:val="00D17B07"/>
    <w:rsid w:val="00D17F18"/>
    <w:rsid w:val="00D2128C"/>
    <w:rsid w:val="00D21EAA"/>
    <w:rsid w:val="00D21F39"/>
    <w:rsid w:val="00D22685"/>
    <w:rsid w:val="00D22A9B"/>
    <w:rsid w:val="00D22AAD"/>
    <w:rsid w:val="00D22EC2"/>
    <w:rsid w:val="00D2607A"/>
    <w:rsid w:val="00D26781"/>
    <w:rsid w:val="00D26C70"/>
    <w:rsid w:val="00D27D21"/>
    <w:rsid w:val="00D31899"/>
    <w:rsid w:val="00D3332F"/>
    <w:rsid w:val="00D33F61"/>
    <w:rsid w:val="00D33F73"/>
    <w:rsid w:val="00D34B88"/>
    <w:rsid w:val="00D353EE"/>
    <w:rsid w:val="00D35568"/>
    <w:rsid w:val="00D403F2"/>
    <w:rsid w:val="00D40879"/>
    <w:rsid w:val="00D41CC4"/>
    <w:rsid w:val="00D422A8"/>
    <w:rsid w:val="00D4298C"/>
    <w:rsid w:val="00D42D6C"/>
    <w:rsid w:val="00D43C6E"/>
    <w:rsid w:val="00D43F25"/>
    <w:rsid w:val="00D45317"/>
    <w:rsid w:val="00D457FE"/>
    <w:rsid w:val="00D459DA"/>
    <w:rsid w:val="00D45B13"/>
    <w:rsid w:val="00D4644E"/>
    <w:rsid w:val="00D4654B"/>
    <w:rsid w:val="00D47DB0"/>
    <w:rsid w:val="00D5073C"/>
    <w:rsid w:val="00D50EAC"/>
    <w:rsid w:val="00D51178"/>
    <w:rsid w:val="00D52D0B"/>
    <w:rsid w:val="00D53EBC"/>
    <w:rsid w:val="00D5470C"/>
    <w:rsid w:val="00D54E7D"/>
    <w:rsid w:val="00D55A31"/>
    <w:rsid w:val="00D560E5"/>
    <w:rsid w:val="00D573AF"/>
    <w:rsid w:val="00D574F1"/>
    <w:rsid w:val="00D57879"/>
    <w:rsid w:val="00D600F5"/>
    <w:rsid w:val="00D606F9"/>
    <w:rsid w:val="00D60C64"/>
    <w:rsid w:val="00D629C7"/>
    <w:rsid w:val="00D62E32"/>
    <w:rsid w:val="00D6303C"/>
    <w:rsid w:val="00D634E0"/>
    <w:rsid w:val="00D63983"/>
    <w:rsid w:val="00D63B88"/>
    <w:rsid w:val="00D6434D"/>
    <w:rsid w:val="00D64B99"/>
    <w:rsid w:val="00D64CF1"/>
    <w:rsid w:val="00D659A0"/>
    <w:rsid w:val="00D66FE8"/>
    <w:rsid w:val="00D67D5B"/>
    <w:rsid w:val="00D70BCF"/>
    <w:rsid w:val="00D70C84"/>
    <w:rsid w:val="00D71ADE"/>
    <w:rsid w:val="00D722FF"/>
    <w:rsid w:val="00D725D8"/>
    <w:rsid w:val="00D72B2A"/>
    <w:rsid w:val="00D73EB7"/>
    <w:rsid w:val="00D7496C"/>
    <w:rsid w:val="00D74ED7"/>
    <w:rsid w:val="00D750CD"/>
    <w:rsid w:val="00D75F08"/>
    <w:rsid w:val="00D76455"/>
    <w:rsid w:val="00D76A34"/>
    <w:rsid w:val="00D76C4E"/>
    <w:rsid w:val="00D77698"/>
    <w:rsid w:val="00D7797A"/>
    <w:rsid w:val="00D8023F"/>
    <w:rsid w:val="00D83747"/>
    <w:rsid w:val="00D8377F"/>
    <w:rsid w:val="00D837B6"/>
    <w:rsid w:val="00D83DCE"/>
    <w:rsid w:val="00D85155"/>
    <w:rsid w:val="00D85F20"/>
    <w:rsid w:val="00D91796"/>
    <w:rsid w:val="00D9281C"/>
    <w:rsid w:val="00D92D70"/>
    <w:rsid w:val="00D94DBC"/>
    <w:rsid w:val="00D97C8F"/>
    <w:rsid w:val="00DA0CFA"/>
    <w:rsid w:val="00DA114F"/>
    <w:rsid w:val="00DA162E"/>
    <w:rsid w:val="00DA2915"/>
    <w:rsid w:val="00DA3312"/>
    <w:rsid w:val="00DA363E"/>
    <w:rsid w:val="00DA3A5A"/>
    <w:rsid w:val="00DA46A1"/>
    <w:rsid w:val="00DA46EF"/>
    <w:rsid w:val="00DA4FF7"/>
    <w:rsid w:val="00DA732B"/>
    <w:rsid w:val="00DB0083"/>
    <w:rsid w:val="00DB26BC"/>
    <w:rsid w:val="00DB4422"/>
    <w:rsid w:val="00DB44D6"/>
    <w:rsid w:val="00DB46C7"/>
    <w:rsid w:val="00DB4F2A"/>
    <w:rsid w:val="00DB4F47"/>
    <w:rsid w:val="00DB59CE"/>
    <w:rsid w:val="00DB65DB"/>
    <w:rsid w:val="00DB6D88"/>
    <w:rsid w:val="00DB775B"/>
    <w:rsid w:val="00DB784D"/>
    <w:rsid w:val="00DC16F5"/>
    <w:rsid w:val="00DC18C6"/>
    <w:rsid w:val="00DC2273"/>
    <w:rsid w:val="00DC2426"/>
    <w:rsid w:val="00DC2622"/>
    <w:rsid w:val="00DC3536"/>
    <w:rsid w:val="00DC391B"/>
    <w:rsid w:val="00DC4978"/>
    <w:rsid w:val="00DC5798"/>
    <w:rsid w:val="00DC5E00"/>
    <w:rsid w:val="00DC7346"/>
    <w:rsid w:val="00DC7A4A"/>
    <w:rsid w:val="00DC7C92"/>
    <w:rsid w:val="00DC7DC1"/>
    <w:rsid w:val="00DD048F"/>
    <w:rsid w:val="00DD1669"/>
    <w:rsid w:val="00DD1C6D"/>
    <w:rsid w:val="00DD1E59"/>
    <w:rsid w:val="00DD2556"/>
    <w:rsid w:val="00DD2661"/>
    <w:rsid w:val="00DD4389"/>
    <w:rsid w:val="00DD5231"/>
    <w:rsid w:val="00DD5575"/>
    <w:rsid w:val="00DD6554"/>
    <w:rsid w:val="00DD7E6F"/>
    <w:rsid w:val="00DE0AB0"/>
    <w:rsid w:val="00DE1551"/>
    <w:rsid w:val="00DE1589"/>
    <w:rsid w:val="00DE1DD0"/>
    <w:rsid w:val="00DE2787"/>
    <w:rsid w:val="00DE3213"/>
    <w:rsid w:val="00DE3B98"/>
    <w:rsid w:val="00DE47BA"/>
    <w:rsid w:val="00DE4B7E"/>
    <w:rsid w:val="00DE5371"/>
    <w:rsid w:val="00DE5537"/>
    <w:rsid w:val="00DE57AA"/>
    <w:rsid w:val="00DE6BF6"/>
    <w:rsid w:val="00DE76D2"/>
    <w:rsid w:val="00DE7E13"/>
    <w:rsid w:val="00DE7F36"/>
    <w:rsid w:val="00DF0046"/>
    <w:rsid w:val="00DF0721"/>
    <w:rsid w:val="00DF0CE5"/>
    <w:rsid w:val="00DF173F"/>
    <w:rsid w:val="00DF1AB8"/>
    <w:rsid w:val="00DF1C86"/>
    <w:rsid w:val="00DF2D58"/>
    <w:rsid w:val="00DF4A18"/>
    <w:rsid w:val="00DF4C1F"/>
    <w:rsid w:val="00DF6135"/>
    <w:rsid w:val="00DF6447"/>
    <w:rsid w:val="00DF6AC1"/>
    <w:rsid w:val="00DF6B85"/>
    <w:rsid w:val="00DF6F2E"/>
    <w:rsid w:val="00DF718B"/>
    <w:rsid w:val="00DF7831"/>
    <w:rsid w:val="00E015BB"/>
    <w:rsid w:val="00E01FFD"/>
    <w:rsid w:val="00E020C1"/>
    <w:rsid w:val="00E02572"/>
    <w:rsid w:val="00E02C6F"/>
    <w:rsid w:val="00E02F3C"/>
    <w:rsid w:val="00E03293"/>
    <w:rsid w:val="00E039AA"/>
    <w:rsid w:val="00E03FF0"/>
    <w:rsid w:val="00E049DF"/>
    <w:rsid w:val="00E04FB8"/>
    <w:rsid w:val="00E054CE"/>
    <w:rsid w:val="00E05824"/>
    <w:rsid w:val="00E05DE2"/>
    <w:rsid w:val="00E0632A"/>
    <w:rsid w:val="00E0784D"/>
    <w:rsid w:val="00E105F4"/>
    <w:rsid w:val="00E10AD8"/>
    <w:rsid w:val="00E10E82"/>
    <w:rsid w:val="00E112BC"/>
    <w:rsid w:val="00E11649"/>
    <w:rsid w:val="00E1445D"/>
    <w:rsid w:val="00E1474E"/>
    <w:rsid w:val="00E154F1"/>
    <w:rsid w:val="00E157C8"/>
    <w:rsid w:val="00E163ED"/>
    <w:rsid w:val="00E16D1A"/>
    <w:rsid w:val="00E16FCC"/>
    <w:rsid w:val="00E1710E"/>
    <w:rsid w:val="00E209CB"/>
    <w:rsid w:val="00E220E6"/>
    <w:rsid w:val="00E2285A"/>
    <w:rsid w:val="00E22AFA"/>
    <w:rsid w:val="00E23301"/>
    <w:rsid w:val="00E23B1E"/>
    <w:rsid w:val="00E23BC9"/>
    <w:rsid w:val="00E24383"/>
    <w:rsid w:val="00E25A28"/>
    <w:rsid w:val="00E25B94"/>
    <w:rsid w:val="00E25D38"/>
    <w:rsid w:val="00E26D67"/>
    <w:rsid w:val="00E26F61"/>
    <w:rsid w:val="00E27B2A"/>
    <w:rsid w:val="00E27EB7"/>
    <w:rsid w:val="00E30409"/>
    <w:rsid w:val="00E3095A"/>
    <w:rsid w:val="00E30A04"/>
    <w:rsid w:val="00E30FBF"/>
    <w:rsid w:val="00E31641"/>
    <w:rsid w:val="00E319A1"/>
    <w:rsid w:val="00E33BDB"/>
    <w:rsid w:val="00E348AC"/>
    <w:rsid w:val="00E351F8"/>
    <w:rsid w:val="00E35CEC"/>
    <w:rsid w:val="00E36883"/>
    <w:rsid w:val="00E37CFA"/>
    <w:rsid w:val="00E37EAE"/>
    <w:rsid w:val="00E37F68"/>
    <w:rsid w:val="00E41133"/>
    <w:rsid w:val="00E418B2"/>
    <w:rsid w:val="00E4241B"/>
    <w:rsid w:val="00E42432"/>
    <w:rsid w:val="00E43067"/>
    <w:rsid w:val="00E4391F"/>
    <w:rsid w:val="00E447F6"/>
    <w:rsid w:val="00E453D9"/>
    <w:rsid w:val="00E459CF"/>
    <w:rsid w:val="00E471EA"/>
    <w:rsid w:val="00E47395"/>
    <w:rsid w:val="00E509B7"/>
    <w:rsid w:val="00E50A6D"/>
    <w:rsid w:val="00E532F2"/>
    <w:rsid w:val="00E534AF"/>
    <w:rsid w:val="00E53A99"/>
    <w:rsid w:val="00E53D13"/>
    <w:rsid w:val="00E53E7E"/>
    <w:rsid w:val="00E53FC3"/>
    <w:rsid w:val="00E54E48"/>
    <w:rsid w:val="00E61336"/>
    <w:rsid w:val="00E61FEF"/>
    <w:rsid w:val="00E623DE"/>
    <w:rsid w:val="00E62746"/>
    <w:rsid w:val="00E62DF2"/>
    <w:rsid w:val="00E637DB"/>
    <w:rsid w:val="00E64416"/>
    <w:rsid w:val="00E64ED5"/>
    <w:rsid w:val="00E64EF0"/>
    <w:rsid w:val="00E6559D"/>
    <w:rsid w:val="00E67EA1"/>
    <w:rsid w:val="00E70435"/>
    <w:rsid w:val="00E70C37"/>
    <w:rsid w:val="00E7154B"/>
    <w:rsid w:val="00E72104"/>
    <w:rsid w:val="00E74599"/>
    <w:rsid w:val="00E745D3"/>
    <w:rsid w:val="00E7479D"/>
    <w:rsid w:val="00E762AF"/>
    <w:rsid w:val="00E76E60"/>
    <w:rsid w:val="00E807D7"/>
    <w:rsid w:val="00E80985"/>
    <w:rsid w:val="00E80E5D"/>
    <w:rsid w:val="00E82FC3"/>
    <w:rsid w:val="00E8413E"/>
    <w:rsid w:val="00E84892"/>
    <w:rsid w:val="00E84DC9"/>
    <w:rsid w:val="00E8506C"/>
    <w:rsid w:val="00E86EA9"/>
    <w:rsid w:val="00E9024A"/>
    <w:rsid w:val="00E90EC1"/>
    <w:rsid w:val="00E91203"/>
    <w:rsid w:val="00E918B6"/>
    <w:rsid w:val="00E91E5C"/>
    <w:rsid w:val="00E929C4"/>
    <w:rsid w:val="00E92CBA"/>
    <w:rsid w:val="00E932FE"/>
    <w:rsid w:val="00E94FEC"/>
    <w:rsid w:val="00E9585B"/>
    <w:rsid w:val="00E9620B"/>
    <w:rsid w:val="00E9730C"/>
    <w:rsid w:val="00E97810"/>
    <w:rsid w:val="00E97B93"/>
    <w:rsid w:val="00E97D57"/>
    <w:rsid w:val="00EA1DD6"/>
    <w:rsid w:val="00EA21D2"/>
    <w:rsid w:val="00EA22A8"/>
    <w:rsid w:val="00EA2A00"/>
    <w:rsid w:val="00EA3085"/>
    <w:rsid w:val="00EA32C2"/>
    <w:rsid w:val="00EA3F9B"/>
    <w:rsid w:val="00EA4E3C"/>
    <w:rsid w:val="00EA5591"/>
    <w:rsid w:val="00EA696B"/>
    <w:rsid w:val="00EA699D"/>
    <w:rsid w:val="00EA750E"/>
    <w:rsid w:val="00EA7B4C"/>
    <w:rsid w:val="00EB1999"/>
    <w:rsid w:val="00EB381A"/>
    <w:rsid w:val="00EB4143"/>
    <w:rsid w:val="00EB473D"/>
    <w:rsid w:val="00EB553A"/>
    <w:rsid w:val="00EB5E03"/>
    <w:rsid w:val="00EB67B6"/>
    <w:rsid w:val="00EB735C"/>
    <w:rsid w:val="00EC1063"/>
    <w:rsid w:val="00EC1210"/>
    <w:rsid w:val="00EC252F"/>
    <w:rsid w:val="00EC3347"/>
    <w:rsid w:val="00EC37E1"/>
    <w:rsid w:val="00EC4D64"/>
    <w:rsid w:val="00EC5539"/>
    <w:rsid w:val="00EC5697"/>
    <w:rsid w:val="00EC5E9A"/>
    <w:rsid w:val="00EC70B3"/>
    <w:rsid w:val="00EC7A8D"/>
    <w:rsid w:val="00ED0083"/>
    <w:rsid w:val="00ED0B77"/>
    <w:rsid w:val="00ED1277"/>
    <w:rsid w:val="00ED165D"/>
    <w:rsid w:val="00ED3174"/>
    <w:rsid w:val="00ED3F96"/>
    <w:rsid w:val="00ED4896"/>
    <w:rsid w:val="00ED50C6"/>
    <w:rsid w:val="00ED5F07"/>
    <w:rsid w:val="00ED6D93"/>
    <w:rsid w:val="00ED711C"/>
    <w:rsid w:val="00ED7465"/>
    <w:rsid w:val="00EE01CB"/>
    <w:rsid w:val="00EE0358"/>
    <w:rsid w:val="00EE0F97"/>
    <w:rsid w:val="00EE1B4C"/>
    <w:rsid w:val="00EE1F5A"/>
    <w:rsid w:val="00EE25F4"/>
    <w:rsid w:val="00EE3082"/>
    <w:rsid w:val="00EE42E1"/>
    <w:rsid w:val="00EE4947"/>
    <w:rsid w:val="00EE5159"/>
    <w:rsid w:val="00EE5E69"/>
    <w:rsid w:val="00EE6D7C"/>
    <w:rsid w:val="00EE709F"/>
    <w:rsid w:val="00EE7364"/>
    <w:rsid w:val="00EE742B"/>
    <w:rsid w:val="00EE7933"/>
    <w:rsid w:val="00EE79D2"/>
    <w:rsid w:val="00EF041E"/>
    <w:rsid w:val="00EF12AA"/>
    <w:rsid w:val="00EF2261"/>
    <w:rsid w:val="00EF2292"/>
    <w:rsid w:val="00EF372B"/>
    <w:rsid w:val="00EF4C43"/>
    <w:rsid w:val="00EF4D8F"/>
    <w:rsid w:val="00EF59CF"/>
    <w:rsid w:val="00EF650C"/>
    <w:rsid w:val="00EF6617"/>
    <w:rsid w:val="00EF6DC9"/>
    <w:rsid w:val="00EF705D"/>
    <w:rsid w:val="00EF7152"/>
    <w:rsid w:val="00EF7636"/>
    <w:rsid w:val="00F011B7"/>
    <w:rsid w:val="00F01DA3"/>
    <w:rsid w:val="00F026D6"/>
    <w:rsid w:val="00F03D18"/>
    <w:rsid w:val="00F03F5F"/>
    <w:rsid w:val="00F04A8E"/>
    <w:rsid w:val="00F04BE3"/>
    <w:rsid w:val="00F04F9F"/>
    <w:rsid w:val="00F050BA"/>
    <w:rsid w:val="00F051DC"/>
    <w:rsid w:val="00F05EFD"/>
    <w:rsid w:val="00F05FAA"/>
    <w:rsid w:val="00F06A1E"/>
    <w:rsid w:val="00F07354"/>
    <w:rsid w:val="00F07AD2"/>
    <w:rsid w:val="00F07C62"/>
    <w:rsid w:val="00F07FFC"/>
    <w:rsid w:val="00F109D9"/>
    <w:rsid w:val="00F115F0"/>
    <w:rsid w:val="00F1177D"/>
    <w:rsid w:val="00F118BA"/>
    <w:rsid w:val="00F12A7B"/>
    <w:rsid w:val="00F1485C"/>
    <w:rsid w:val="00F148BF"/>
    <w:rsid w:val="00F15D8D"/>
    <w:rsid w:val="00F1734C"/>
    <w:rsid w:val="00F205AC"/>
    <w:rsid w:val="00F20B93"/>
    <w:rsid w:val="00F215A3"/>
    <w:rsid w:val="00F216A2"/>
    <w:rsid w:val="00F21ECE"/>
    <w:rsid w:val="00F224F2"/>
    <w:rsid w:val="00F229BA"/>
    <w:rsid w:val="00F23DB0"/>
    <w:rsid w:val="00F2667C"/>
    <w:rsid w:val="00F26A4C"/>
    <w:rsid w:val="00F26AE2"/>
    <w:rsid w:val="00F27CB7"/>
    <w:rsid w:val="00F27FDE"/>
    <w:rsid w:val="00F3092D"/>
    <w:rsid w:val="00F33762"/>
    <w:rsid w:val="00F34335"/>
    <w:rsid w:val="00F3465C"/>
    <w:rsid w:val="00F356A6"/>
    <w:rsid w:val="00F35A8C"/>
    <w:rsid w:val="00F377E7"/>
    <w:rsid w:val="00F421C0"/>
    <w:rsid w:val="00F42827"/>
    <w:rsid w:val="00F43671"/>
    <w:rsid w:val="00F4431E"/>
    <w:rsid w:val="00F44B35"/>
    <w:rsid w:val="00F44C37"/>
    <w:rsid w:val="00F457FF"/>
    <w:rsid w:val="00F45A24"/>
    <w:rsid w:val="00F45E21"/>
    <w:rsid w:val="00F45E69"/>
    <w:rsid w:val="00F466E3"/>
    <w:rsid w:val="00F5053F"/>
    <w:rsid w:val="00F50554"/>
    <w:rsid w:val="00F50FE5"/>
    <w:rsid w:val="00F51258"/>
    <w:rsid w:val="00F51787"/>
    <w:rsid w:val="00F52D47"/>
    <w:rsid w:val="00F535AC"/>
    <w:rsid w:val="00F53C21"/>
    <w:rsid w:val="00F55A1F"/>
    <w:rsid w:val="00F57D54"/>
    <w:rsid w:val="00F612BA"/>
    <w:rsid w:val="00F6179D"/>
    <w:rsid w:val="00F62ACC"/>
    <w:rsid w:val="00F636AF"/>
    <w:rsid w:val="00F642D2"/>
    <w:rsid w:val="00F64758"/>
    <w:rsid w:val="00F64A1F"/>
    <w:rsid w:val="00F650F4"/>
    <w:rsid w:val="00F65698"/>
    <w:rsid w:val="00F6606C"/>
    <w:rsid w:val="00F675DD"/>
    <w:rsid w:val="00F67F30"/>
    <w:rsid w:val="00F713E8"/>
    <w:rsid w:val="00F71489"/>
    <w:rsid w:val="00F7173A"/>
    <w:rsid w:val="00F71899"/>
    <w:rsid w:val="00F71EBD"/>
    <w:rsid w:val="00F72ECB"/>
    <w:rsid w:val="00F74EF3"/>
    <w:rsid w:val="00F74F10"/>
    <w:rsid w:val="00F75B4F"/>
    <w:rsid w:val="00F77E47"/>
    <w:rsid w:val="00F802EF"/>
    <w:rsid w:val="00F80500"/>
    <w:rsid w:val="00F80822"/>
    <w:rsid w:val="00F80FA1"/>
    <w:rsid w:val="00F811EC"/>
    <w:rsid w:val="00F81336"/>
    <w:rsid w:val="00F815FD"/>
    <w:rsid w:val="00F8268A"/>
    <w:rsid w:val="00F82EE1"/>
    <w:rsid w:val="00F837DD"/>
    <w:rsid w:val="00F84139"/>
    <w:rsid w:val="00F85533"/>
    <w:rsid w:val="00F85925"/>
    <w:rsid w:val="00F85A17"/>
    <w:rsid w:val="00F8626A"/>
    <w:rsid w:val="00F86B86"/>
    <w:rsid w:val="00F87EAC"/>
    <w:rsid w:val="00F91671"/>
    <w:rsid w:val="00F92824"/>
    <w:rsid w:val="00F92A05"/>
    <w:rsid w:val="00F92D7E"/>
    <w:rsid w:val="00F93AF8"/>
    <w:rsid w:val="00F93C45"/>
    <w:rsid w:val="00F93CCD"/>
    <w:rsid w:val="00F940BA"/>
    <w:rsid w:val="00F94974"/>
    <w:rsid w:val="00F94DB6"/>
    <w:rsid w:val="00F9548A"/>
    <w:rsid w:val="00F954AF"/>
    <w:rsid w:val="00F958B8"/>
    <w:rsid w:val="00F9612D"/>
    <w:rsid w:val="00F96725"/>
    <w:rsid w:val="00F96CE3"/>
    <w:rsid w:val="00FA004E"/>
    <w:rsid w:val="00FA076C"/>
    <w:rsid w:val="00FA13F0"/>
    <w:rsid w:val="00FA1724"/>
    <w:rsid w:val="00FA2801"/>
    <w:rsid w:val="00FA2CE0"/>
    <w:rsid w:val="00FA3DF8"/>
    <w:rsid w:val="00FA48A5"/>
    <w:rsid w:val="00FA4943"/>
    <w:rsid w:val="00FA49BF"/>
    <w:rsid w:val="00FA4B0B"/>
    <w:rsid w:val="00FA553A"/>
    <w:rsid w:val="00FA5C2E"/>
    <w:rsid w:val="00FA6045"/>
    <w:rsid w:val="00FB0E7C"/>
    <w:rsid w:val="00FB14C2"/>
    <w:rsid w:val="00FB20F9"/>
    <w:rsid w:val="00FB2C84"/>
    <w:rsid w:val="00FB3312"/>
    <w:rsid w:val="00FB346C"/>
    <w:rsid w:val="00FB5B5D"/>
    <w:rsid w:val="00FB6081"/>
    <w:rsid w:val="00FC0D8C"/>
    <w:rsid w:val="00FC1503"/>
    <w:rsid w:val="00FC17DD"/>
    <w:rsid w:val="00FC1CEA"/>
    <w:rsid w:val="00FC22B9"/>
    <w:rsid w:val="00FC248B"/>
    <w:rsid w:val="00FC3321"/>
    <w:rsid w:val="00FC44FB"/>
    <w:rsid w:val="00FC58C1"/>
    <w:rsid w:val="00FC606F"/>
    <w:rsid w:val="00FC65D2"/>
    <w:rsid w:val="00FC7070"/>
    <w:rsid w:val="00FC7606"/>
    <w:rsid w:val="00FD0C36"/>
    <w:rsid w:val="00FD1880"/>
    <w:rsid w:val="00FD2314"/>
    <w:rsid w:val="00FD2D57"/>
    <w:rsid w:val="00FD39B6"/>
    <w:rsid w:val="00FD3A25"/>
    <w:rsid w:val="00FD40A5"/>
    <w:rsid w:val="00FD4202"/>
    <w:rsid w:val="00FD4658"/>
    <w:rsid w:val="00FD58C5"/>
    <w:rsid w:val="00FD5953"/>
    <w:rsid w:val="00FD7931"/>
    <w:rsid w:val="00FE0D6D"/>
    <w:rsid w:val="00FE1051"/>
    <w:rsid w:val="00FE1BCE"/>
    <w:rsid w:val="00FE3A69"/>
    <w:rsid w:val="00FE3D63"/>
    <w:rsid w:val="00FE5B07"/>
    <w:rsid w:val="00FE5B17"/>
    <w:rsid w:val="00FE6BA7"/>
    <w:rsid w:val="00FE6EDA"/>
    <w:rsid w:val="00FE71EA"/>
    <w:rsid w:val="00FF13AB"/>
    <w:rsid w:val="00FF1E83"/>
    <w:rsid w:val="00FF2540"/>
    <w:rsid w:val="00FF2EB6"/>
    <w:rsid w:val="00FF4A9A"/>
    <w:rsid w:val="00FF5195"/>
    <w:rsid w:val="00FF5B26"/>
    <w:rsid w:val="00FF5CA5"/>
    <w:rsid w:val="00FF689A"/>
    <w:rsid w:val="00FF75B2"/>
    <w:rsid w:val="00FF7A44"/>
    <w:rsid w:val="010F7211"/>
    <w:rsid w:val="01303AC5"/>
    <w:rsid w:val="01396E1E"/>
    <w:rsid w:val="015A3746"/>
    <w:rsid w:val="01F40F97"/>
    <w:rsid w:val="023D0A26"/>
    <w:rsid w:val="026C45AA"/>
    <w:rsid w:val="02723AB8"/>
    <w:rsid w:val="0290306F"/>
    <w:rsid w:val="02E74E49"/>
    <w:rsid w:val="03060EF5"/>
    <w:rsid w:val="045B6255"/>
    <w:rsid w:val="048A77DC"/>
    <w:rsid w:val="048C58BA"/>
    <w:rsid w:val="049A1A1A"/>
    <w:rsid w:val="053F30CD"/>
    <w:rsid w:val="054F70A6"/>
    <w:rsid w:val="06224324"/>
    <w:rsid w:val="069F7976"/>
    <w:rsid w:val="0754511F"/>
    <w:rsid w:val="076757F6"/>
    <w:rsid w:val="07CF03BC"/>
    <w:rsid w:val="0ADE62A2"/>
    <w:rsid w:val="0AEC75B0"/>
    <w:rsid w:val="0B8C227D"/>
    <w:rsid w:val="0B9B4146"/>
    <w:rsid w:val="0C2B7B66"/>
    <w:rsid w:val="0C4E7861"/>
    <w:rsid w:val="0C7418A6"/>
    <w:rsid w:val="0CC50D99"/>
    <w:rsid w:val="0D1219EE"/>
    <w:rsid w:val="0D2A5C7F"/>
    <w:rsid w:val="0D845063"/>
    <w:rsid w:val="0D9215CB"/>
    <w:rsid w:val="0DDD12F5"/>
    <w:rsid w:val="0E173441"/>
    <w:rsid w:val="0E1B5D83"/>
    <w:rsid w:val="0E2968B2"/>
    <w:rsid w:val="0E4D10FE"/>
    <w:rsid w:val="0E6B26B6"/>
    <w:rsid w:val="0EAD3E11"/>
    <w:rsid w:val="0EF02863"/>
    <w:rsid w:val="0EF22E88"/>
    <w:rsid w:val="0F304EC9"/>
    <w:rsid w:val="103E1371"/>
    <w:rsid w:val="10616C85"/>
    <w:rsid w:val="110F0353"/>
    <w:rsid w:val="11111393"/>
    <w:rsid w:val="11183C38"/>
    <w:rsid w:val="1123578B"/>
    <w:rsid w:val="115D5DB5"/>
    <w:rsid w:val="11D1035D"/>
    <w:rsid w:val="11F74937"/>
    <w:rsid w:val="12463C5F"/>
    <w:rsid w:val="12E4398E"/>
    <w:rsid w:val="12F11482"/>
    <w:rsid w:val="13181B4A"/>
    <w:rsid w:val="13BE7FF4"/>
    <w:rsid w:val="144F76D9"/>
    <w:rsid w:val="14517563"/>
    <w:rsid w:val="15BB5243"/>
    <w:rsid w:val="15C46659"/>
    <w:rsid w:val="16250370"/>
    <w:rsid w:val="18100683"/>
    <w:rsid w:val="18563817"/>
    <w:rsid w:val="187872F6"/>
    <w:rsid w:val="18912483"/>
    <w:rsid w:val="18B84E23"/>
    <w:rsid w:val="190D38A8"/>
    <w:rsid w:val="19B52F23"/>
    <w:rsid w:val="1A5A6A7B"/>
    <w:rsid w:val="1A8915E4"/>
    <w:rsid w:val="1AC00227"/>
    <w:rsid w:val="1ADF2898"/>
    <w:rsid w:val="1B1B00B0"/>
    <w:rsid w:val="1B294A0C"/>
    <w:rsid w:val="1B914AB3"/>
    <w:rsid w:val="1BCA308F"/>
    <w:rsid w:val="1BD00522"/>
    <w:rsid w:val="1C8D5000"/>
    <w:rsid w:val="1CF7429E"/>
    <w:rsid w:val="1CFC5E9D"/>
    <w:rsid w:val="1D3A4B0E"/>
    <w:rsid w:val="1E553B1B"/>
    <w:rsid w:val="1EF17CD8"/>
    <w:rsid w:val="1F0813F5"/>
    <w:rsid w:val="1FC23D03"/>
    <w:rsid w:val="1FE3455A"/>
    <w:rsid w:val="211C4EF1"/>
    <w:rsid w:val="214761F1"/>
    <w:rsid w:val="222D6C14"/>
    <w:rsid w:val="225E33A3"/>
    <w:rsid w:val="226913AF"/>
    <w:rsid w:val="22842AED"/>
    <w:rsid w:val="22CB46F3"/>
    <w:rsid w:val="22E26302"/>
    <w:rsid w:val="23417960"/>
    <w:rsid w:val="24343749"/>
    <w:rsid w:val="247B060F"/>
    <w:rsid w:val="267F1785"/>
    <w:rsid w:val="272C5650"/>
    <w:rsid w:val="27B56B9E"/>
    <w:rsid w:val="28951445"/>
    <w:rsid w:val="28DB4334"/>
    <w:rsid w:val="29132DD0"/>
    <w:rsid w:val="29653655"/>
    <w:rsid w:val="296B2486"/>
    <w:rsid w:val="29BA13BF"/>
    <w:rsid w:val="29DE6B72"/>
    <w:rsid w:val="2A321881"/>
    <w:rsid w:val="2A663976"/>
    <w:rsid w:val="2A67345D"/>
    <w:rsid w:val="2B0C4D49"/>
    <w:rsid w:val="2C597E20"/>
    <w:rsid w:val="2CB11955"/>
    <w:rsid w:val="2DC26D36"/>
    <w:rsid w:val="2DC330A0"/>
    <w:rsid w:val="2E523052"/>
    <w:rsid w:val="2EA51249"/>
    <w:rsid w:val="2F1E2BCF"/>
    <w:rsid w:val="2F28164B"/>
    <w:rsid w:val="2F310336"/>
    <w:rsid w:val="2F3B2973"/>
    <w:rsid w:val="2F8C4878"/>
    <w:rsid w:val="2F9A436A"/>
    <w:rsid w:val="2F9D11A6"/>
    <w:rsid w:val="302D10AE"/>
    <w:rsid w:val="30FF1002"/>
    <w:rsid w:val="31553722"/>
    <w:rsid w:val="317F1D9A"/>
    <w:rsid w:val="31AE1E59"/>
    <w:rsid w:val="322D16D8"/>
    <w:rsid w:val="329149CE"/>
    <w:rsid w:val="332D28D3"/>
    <w:rsid w:val="33B466E1"/>
    <w:rsid w:val="34317C19"/>
    <w:rsid w:val="34404A8B"/>
    <w:rsid w:val="34414BCD"/>
    <w:rsid w:val="347859CE"/>
    <w:rsid w:val="34AE4A04"/>
    <w:rsid w:val="34EC3828"/>
    <w:rsid w:val="34FF7A14"/>
    <w:rsid w:val="353B0CCF"/>
    <w:rsid w:val="35612188"/>
    <w:rsid w:val="360D0A10"/>
    <w:rsid w:val="36A66E75"/>
    <w:rsid w:val="376033F0"/>
    <w:rsid w:val="37DB6BEB"/>
    <w:rsid w:val="37F0388C"/>
    <w:rsid w:val="383D287D"/>
    <w:rsid w:val="38B74A16"/>
    <w:rsid w:val="38CA37E7"/>
    <w:rsid w:val="39781038"/>
    <w:rsid w:val="39ED3271"/>
    <w:rsid w:val="39F62651"/>
    <w:rsid w:val="3A9F565D"/>
    <w:rsid w:val="3B2C19D0"/>
    <w:rsid w:val="3B4342DC"/>
    <w:rsid w:val="3C514520"/>
    <w:rsid w:val="3C5B1ED2"/>
    <w:rsid w:val="3C5C0DD2"/>
    <w:rsid w:val="3CD14ED5"/>
    <w:rsid w:val="3CE42A3E"/>
    <w:rsid w:val="3D213EA3"/>
    <w:rsid w:val="3DE767AD"/>
    <w:rsid w:val="3E06382B"/>
    <w:rsid w:val="3E5576BE"/>
    <w:rsid w:val="3EA25E9C"/>
    <w:rsid w:val="3F870E1D"/>
    <w:rsid w:val="3F9765A1"/>
    <w:rsid w:val="3FE91D80"/>
    <w:rsid w:val="40EC6E69"/>
    <w:rsid w:val="418F4166"/>
    <w:rsid w:val="41BB600D"/>
    <w:rsid w:val="41CE722B"/>
    <w:rsid w:val="421E684C"/>
    <w:rsid w:val="429553BF"/>
    <w:rsid w:val="42DB3243"/>
    <w:rsid w:val="43B1287C"/>
    <w:rsid w:val="43DB68CC"/>
    <w:rsid w:val="444A661A"/>
    <w:rsid w:val="44565141"/>
    <w:rsid w:val="448B56A1"/>
    <w:rsid w:val="44C24D1B"/>
    <w:rsid w:val="454E684A"/>
    <w:rsid w:val="45CD4CD3"/>
    <w:rsid w:val="461A4919"/>
    <w:rsid w:val="46334527"/>
    <w:rsid w:val="463646CC"/>
    <w:rsid w:val="46DD3808"/>
    <w:rsid w:val="4709147B"/>
    <w:rsid w:val="47690A78"/>
    <w:rsid w:val="480B5EAA"/>
    <w:rsid w:val="485915D9"/>
    <w:rsid w:val="48DC5A6F"/>
    <w:rsid w:val="4930632D"/>
    <w:rsid w:val="49635FA8"/>
    <w:rsid w:val="49883905"/>
    <w:rsid w:val="49E361D6"/>
    <w:rsid w:val="4A0D64B8"/>
    <w:rsid w:val="4ABD0770"/>
    <w:rsid w:val="4B27171C"/>
    <w:rsid w:val="4B934163"/>
    <w:rsid w:val="4C0A7DF3"/>
    <w:rsid w:val="4C7C2BB5"/>
    <w:rsid w:val="4C983ADC"/>
    <w:rsid w:val="4D6C26ED"/>
    <w:rsid w:val="4DCE426E"/>
    <w:rsid w:val="4DF8265D"/>
    <w:rsid w:val="4E054AD6"/>
    <w:rsid w:val="4E496324"/>
    <w:rsid w:val="4E7C7A4F"/>
    <w:rsid w:val="4EE905C1"/>
    <w:rsid w:val="4F734BFD"/>
    <w:rsid w:val="501E2913"/>
    <w:rsid w:val="50986E02"/>
    <w:rsid w:val="50FE0F10"/>
    <w:rsid w:val="5193680E"/>
    <w:rsid w:val="51B31E62"/>
    <w:rsid w:val="51E44568"/>
    <w:rsid w:val="51E86BC8"/>
    <w:rsid w:val="52237906"/>
    <w:rsid w:val="52302398"/>
    <w:rsid w:val="528C3A7D"/>
    <w:rsid w:val="52ED74EB"/>
    <w:rsid w:val="534C7F4D"/>
    <w:rsid w:val="53872369"/>
    <w:rsid w:val="53D3705A"/>
    <w:rsid w:val="53E35410"/>
    <w:rsid w:val="53F5679C"/>
    <w:rsid w:val="54513AF0"/>
    <w:rsid w:val="54CF4F30"/>
    <w:rsid w:val="5558753B"/>
    <w:rsid w:val="55FF666E"/>
    <w:rsid w:val="56812BA5"/>
    <w:rsid w:val="57081B3C"/>
    <w:rsid w:val="5783040C"/>
    <w:rsid w:val="57FB4994"/>
    <w:rsid w:val="58100931"/>
    <w:rsid w:val="58473738"/>
    <w:rsid w:val="58666620"/>
    <w:rsid w:val="586C0657"/>
    <w:rsid w:val="58817B35"/>
    <w:rsid w:val="58B331A5"/>
    <w:rsid w:val="58DE7204"/>
    <w:rsid w:val="59262FD9"/>
    <w:rsid w:val="5A17616E"/>
    <w:rsid w:val="5A6D2699"/>
    <w:rsid w:val="5A7D66F4"/>
    <w:rsid w:val="5AC672DB"/>
    <w:rsid w:val="5AED57BB"/>
    <w:rsid w:val="5B3256C7"/>
    <w:rsid w:val="5B3A7598"/>
    <w:rsid w:val="5B6E760C"/>
    <w:rsid w:val="5BE02DF6"/>
    <w:rsid w:val="5C082E06"/>
    <w:rsid w:val="5C34451E"/>
    <w:rsid w:val="5CDE4EAE"/>
    <w:rsid w:val="5D3A2DD3"/>
    <w:rsid w:val="5D8D1218"/>
    <w:rsid w:val="5DC9546E"/>
    <w:rsid w:val="5E3612F2"/>
    <w:rsid w:val="5E3C5113"/>
    <w:rsid w:val="5E5A2482"/>
    <w:rsid w:val="5E8A27E8"/>
    <w:rsid w:val="5F4657F2"/>
    <w:rsid w:val="60815CBE"/>
    <w:rsid w:val="60B565E6"/>
    <w:rsid w:val="60E20C1B"/>
    <w:rsid w:val="61484893"/>
    <w:rsid w:val="616D7908"/>
    <w:rsid w:val="619D5697"/>
    <w:rsid w:val="61BD5017"/>
    <w:rsid w:val="62B87AE5"/>
    <w:rsid w:val="62D97943"/>
    <w:rsid w:val="63D72AB7"/>
    <w:rsid w:val="64CC3C87"/>
    <w:rsid w:val="64EF7872"/>
    <w:rsid w:val="64F15BA9"/>
    <w:rsid w:val="65E72405"/>
    <w:rsid w:val="674555D6"/>
    <w:rsid w:val="677B58DE"/>
    <w:rsid w:val="67BE3582"/>
    <w:rsid w:val="695B6F05"/>
    <w:rsid w:val="6A146F17"/>
    <w:rsid w:val="6A244C92"/>
    <w:rsid w:val="6C254101"/>
    <w:rsid w:val="6C4E7A00"/>
    <w:rsid w:val="6C7C4027"/>
    <w:rsid w:val="6C907FD5"/>
    <w:rsid w:val="6CC47C1C"/>
    <w:rsid w:val="6D3C3438"/>
    <w:rsid w:val="6DC879AD"/>
    <w:rsid w:val="6E0B4599"/>
    <w:rsid w:val="6F547DC8"/>
    <w:rsid w:val="6FB05A0B"/>
    <w:rsid w:val="705C541A"/>
    <w:rsid w:val="70AC166A"/>
    <w:rsid w:val="70DA05FF"/>
    <w:rsid w:val="713A2D30"/>
    <w:rsid w:val="71BC124C"/>
    <w:rsid w:val="71BF5220"/>
    <w:rsid w:val="725F6B92"/>
    <w:rsid w:val="727F24C1"/>
    <w:rsid w:val="72974487"/>
    <w:rsid w:val="729E50EF"/>
    <w:rsid w:val="72FA3A07"/>
    <w:rsid w:val="72FD04D2"/>
    <w:rsid w:val="73160A98"/>
    <w:rsid w:val="73252FF8"/>
    <w:rsid w:val="747C20F2"/>
    <w:rsid w:val="747C6C6E"/>
    <w:rsid w:val="75226D49"/>
    <w:rsid w:val="75757044"/>
    <w:rsid w:val="759C44B1"/>
    <w:rsid w:val="76000A10"/>
    <w:rsid w:val="769D50C9"/>
    <w:rsid w:val="76B00B7A"/>
    <w:rsid w:val="76CF2FA5"/>
    <w:rsid w:val="76D52B43"/>
    <w:rsid w:val="76FD1894"/>
    <w:rsid w:val="771275D9"/>
    <w:rsid w:val="77212342"/>
    <w:rsid w:val="775A093C"/>
    <w:rsid w:val="78132D87"/>
    <w:rsid w:val="78D0752B"/>
    <w:rsid w:val="79167A3E"/>
    <w:rsid w:val="79862638"/>
    <w:rsid w:val="7A4E7237"/>
    <w:rsid w:val="7A9F73E7"/>
    <w:rsid w:val="7C106E98"/>
    <w:rsid w:val="7C8F65C5"/>
    <w:rsid w:val="7CED256B"/>
    <w:rsid w:val="7D86682F"/>
    <w:rsid w:val="7DF1471A"/>
    <w:rsid w:val="7F4C0ABC"/>
    <w:rsid w:val="7FB94429"/>
    <w:rsid w:val="7FFA22C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qFormat="1" w:unhideWhenUsed="0"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qFormat="1" w:unhideWhenUsed="0" w:uiPriority="99" w:semiHidden="0" w:name="envelope return"/>
    <w:lsdException w:qFormat="1" w:unhideWhenUsed="0"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qFormat="1" w:unhideWhenUsed="0"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qFormat="1" w:unhideWhenUsed="0" w:uiPriority="99" w:semiHidden="0"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65"/>
    <w:qFormat/>
    <w:uiPriority w:val="99"/>
    <w:pPr>
      <w:keepNext/>
      <w:keepLines/>
      <w:spacing w:before="120" w:after="120"/>
      <w:jc w:val="center"/>
      <w:outlineLvl w:val="0"/>
    </w:pPr>
    <w:rPr>
      <w:b/>
      <w:bCs/>
      <w:kern w:val="44"/>
      <w:sz w:val="28"/>
      <w:szCs w:val="28"/>
    </w:rPr>
  </w:style>
  <w:style w:type="paragraph" w:styleId="3">
    <w:name w:val="heading 2"/>
    <w:basedOn w:val="1"/>
    <w:next w:val="4"/>
    <w:link w:val="66"/>
    <w:autoRedefine/>
    <w:qFormat/>
    <w:uiPriority w:val="99"/>
    <w:pPr>
      <w:keepNext/>
      <w:keepLines/>
      <w:adjustRightInd w:val="0"/>
      <w:spacing w:before="240" w:line="360" w:lineRule="auto"/>
      <w:jc w:val="center"/>
      <w:textAlignment w:val="baseline"/>
      <w:outlineLvl w:val="1"/>
    </w:pPr>
    <w:rPr>
      <w:rFonts w:ascii="Arial" w:hAnsi="Arial" w:eastAsia="黑体" w:cs="Arial"/>
      <w:b/>
      <w:bCs/>
      <w:kern w:val="0"/>
      <w:sz w:val="30"/>
      <w:szCs w:val="30"/>
    </w:rPr>
  </w:style>
  <w:style w:type="paragraph" w:styleId="5">
    <w:name w:val="heading 3"/>
    <w:basedOn w:val="1"/>
    <w:next w:val="4"/>
    <w:link w:val="67"/>
    <w:qFormat/>
    <w:uiPriority w:val="99"/>
    <w:pPr>
      <w:keepNext/>
      <w:keepLines/>
      <w:adjustRightInd w:val="0"/>
      <w:spacing w:before="240" w:after="120" w:line="300" w:lineRule="auto"/>
      <w:jc w:val="left"/>
      <w:textAlignment w:val="baseline"/>
      <w:outlineLvl w:val="2"/>
    </w:pPr>
    <w:rPr>
      <w:b/>
      <w:bCs/>
      <w:kern w:val="0"/>
    </w:rPr>
  </w:style>
  <w:style w:type="paragraph" w:styleId="6">
    <w:name w:val="heading 4"/>
    <w:basedOn w:val="1"/>
    <w:next w:val="4"/>
    <w:link w:val="68"/>
    <w:qFormat/>
    <w:uiPriority w:val="99"/>
    <w:pPr>
      <w:keepNext/>
      <w:keepLines/>
      <w:spacing w:line="360" w:lineRule="auto"/>
      <w:jc w:val="left"/>
      <w:outlineLvl w:val="3"/>
    </w:pPr>
    <w:rPr>
      <w:rFonts w:ascii="Arial" w:hAnsi="Arial" w:eastAsia="黑体" w:cs="Arial"/>
      <w:b/>
      <w:bCs/>
      <w:sz w:val="28"/>
      <w:szCs w:val="28"/>
    </w:rPr>
  </w:style>
  <w:style w:type="paragraph" w:styleId="7">
    <w:name w:val="heading 5"/>
    <w:basedOn w:val="1"/>
    <w:next w:val="1"/>
    <w:link w:val="69"/>
    <w:autoRedefine/>
    <w:qFormat/>
    <w:uiPriority w:val="99"/>
    <w:pPr>
      <w:keepNext/>
      <w:keepLines/>
      <w:spacing w:before="280" w:after="290" w:line="376" w:lineRule="auto"/>
      <w:outlineLvl w:val="4"/>
    </w:pPr>
    <w:rPr>
      <w:b/>
      <w:bCs/>
      <w:sz w:val="28"/>
      <w:szCs w:val="28"/>
    </w:rPr>
  </w:style>
  <w:style w:type="paragraph" w:styleId="8">
    <w:name w:val="heading 6"/>
    <w:basedOn w:val="1"/>
    <w:next w:val="1"/>
    <w:link w:val="70"/>
    <w:qFormat/>
    <w:uiPriority w:val="99"/>
    <w:pPr>
      <w:keepNext/>
      <w:keepLines/>
      <w:spacing w:before="240" w:after="64" w:line="320" w:lineRule="auto"/>
      <w:outlineLvl w:val="5"/>
    </w:pPr>
    <w:rPr>
      <w:rFonts w:ascii="Arial" w:hAnsi="Arial" w:eastAsia="黑体" w:cs="Arial"/>
      <w:b/>
      <w:bCs/>
      <w:sz w:val="24"/>
      <w:szCs w:val="24"/>
    </w:rPr>
  </w:style>
  <w:style w:type="paragraph" w:styleId="9">
    <w:name w:val="heading 7"/>
    <w:basedOn w:val="1"/>
    <w:next w:val="1"/>
    <w:link w:val="71"/>
    <w:qFormat/>
    <w:uiPriority w:val="99"/>
    <w:pPr>
      <w:keepNext/>
      <w:keepLines/>
      <w:spacing w:before="240" w:after="64" w:line="320" w:lineRule="auto"/>
      <w:outlineLvl w:val="6"/>
    </w:pPr>
    <w:rPr>
      <w:b/>
      <w:bCs/>
      <w:sz w:val="24"/>
      <w:szCs w:val="24"/>
    </w:rPr>
  </w:style>
  <w:style w:type="paragraph" w:styleId="10">
    <w:name w:val="heading 8"/>
    <w:basedOn w:val="1"/>
    <w:next w:val="1"/>
    <w:link w:val="72"/>
    <w:autoRedefine/>
    <w:qFormat/>
    <w:uiPriority w:val="99"/>
    <w:pPr>
      <w:keepNext/>
      <w:keepLines/>
      <w:spacing w:before="240" w:after="64" w:line="320" w:lineRule="auto"/>
      <w:outlineLvl w:val="7"/>
    </w:pPr>
    <w:rPr>
      <w:rFonts w:ascii="Arial" w:hAnsi="Arial" w:eastAsia="黑体" w:cs="Arial"/>
      <w:sz w:val="24"/>
      <w:szCs w:val="24"/>
    </w:rPr>
  </w:style>
  <w:style w:type="paragraph" w:styleId="11">
    <w:name w:val="heading 9"/>
    <w:basedOn w:val="1"/>
    <w:next w:val="1"/>
    <w:link w:val="73"/>
    <w:qFormat/>
    <w:uiPriority w:val="99"/>
    <w:pPr>
      <w:keepNext/>
      <w:keepLines/>
      <w:spacing w:before="240" w:after="64" w:line="320" w:lineRule="auto"/>
      <w:outlineLvl w:val="8"/>
    </w:pPr>
    <w:rPr>
      <w:rFonts w:ascii="Arial" w:hAnsi="Arial" w:eastAsia="黑体" w:cs="Arial"/>
    </w:rPr>
  </w:style>
  <w:style w:type="character" w:default="1" w:styleId="48">
    <w:name w:val="Default Paragraph Font"/>
    <w:semiHidden/>
    <w:qFormat/>
    <w:uiPriority w:val="99"/>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92"/>
    <w:qFormat/>
    <w:uiPriority w:val="99"/>
    <w:pPr>
      <w:ind w:firstLine="420"/>
    </w:pPr>
  </w:style>
  <w:style w:type="paragraph" w:styleId="12">
    <w:name w:val="toc 7"/>
    <w:basedOn w:val="1"/>
    <w:next w:val="1"/>
    <w:semiHidden/>
    <w:qFormat/>
    <w:uiPriority w:val="99"/>
    <w:pPr>
      <w:ind w:left="1260"/>
      <w:jc w:val="left"/>
    </w:pPr>
    <w:rPr>
      <w:rFonts w:ascii="Calibri" w:hAnsi="Calibri" w:cs="Calibri"/>
      <w:sz w:val="18"/>
      <w:szCs w:val="18"/>
    </w:rPr>
  </w:style>
  <w:style w:type="paragraph" w:styleId="13">
    <w:name w:val="table of authorities"/>
    <w:basedOn w:val="1"/>
    <w:next w:val="1"/>
    <w:semiHidden/>
    <w:qFormat/>
    <w:uiPriority w:val="99"/>
    <w:pPr>
      <w:ind w:left="420" w:leftChars="200"/>
    </w:pPr>
  </w:style>
  <w:style w:type="paragraph" w:styleId="14">
    <w:name w:val="Document Map"/>
    <w:basedOn w:val="1"/>
    <w:link w:val="74"/>
    <w:autoRedefine/>
    <w:semiHidden/>
    <w:qFormat/>
    <w:uiPriority w:val="99"/>
    <w:rPr>
      <w:rFonts w:ascii="宋体" w:cs="宋体"/>
      <w:sz w:val="18"/>
      <w:szCs w:val="18"/>
    </w:rPr>
  </w:style>
  <w:style w:type="paragraph" w:styleId="15">
    <w:name w:val="annotation text"/>
    <w:basedOn w:val="1"/>
    <w:link w:val="75"/>
    <w:autoRedefine/>
    <w:semiHidden/>
    <w:qFormat/>
    <w:uiPriority w:val="99"/>
    <w:pPr>
      <w:adjustRightInd w:val="0"/>
      <w:spacing w:line="360" w:lineRule="atLeast"/>
      <w:jc w:val="left"/>
      <w:textAlignment w:val="baseline"/>
    </w:pPr>
    <w:rPr>
      <w:kern w:val="0"/>
      <w:sz w:val="24"/>
      <w:szCs w:val="24"/>
    </w:rPr>
  </w:style>
  <w:style w:type="paragraph" w:styleId="16">
    <w:name w:val="Body Text"/>
    <w:basedOn w:val="1"/>
    <w:next w:val="17"/>
    <w:link w:val="76"/>
    <w:autoRedefine/>
    <w:qFormat/>
    <w:uiPriority w:val="99"/>
    <w:rPr>
      <w:sz w:val="28"/>
      <w:szCs w:val="28"/>
    </w:rPr>
  </w:style>
  <w:style w:type="paragraph" w:styleId="17">
    <w:name w:val="toc 9"/>
    <w:basedOn w:val="1"/>
    <w:next w:val="1"/>
    <w:autoRedefine/>
    <w:semiHidden/>
    <w:qFormat/>
    <w:uiPriority w:val="99"/>
    <w:pPr>
      <w:ind w:left="1680"/>
      <w:jc w:val="left"/>
    </w:pPr>
    <w:rPr>
      <w:rFonts w:ascii="Calibri" w:hAnsi="Calibri" w:cs="Calibri"/>
      <w:sz w:val="18"/>
      <w:szCs w:val="18"/>
    </w:rPr>
  </w:style>
  <w:style w:type="paragraph" w:styleId="18">
    <w:name w:val="Body Text Indent"/>
    <w:basedOn w:val="1"/>
    <w:link w:val="77"/>
    <w:autoRedefine/>
    <w:qFormat/>
    <w:uiPriority w:val="99"/>
    <w:pPr>
      <w:spacing w:after="120"/>
      <w:ind w:left="420" w:leftChars="200"/>
    </w:pPr>
  </w:style>
  <w:style w:type="paragraph" w:styleId="19">
    <w:name w:val="List Continue"/>
    <w:basedOn w:val="1"/>
    <w:autoRedefine/>
    <w:qFormat/>
    <w:uiPriority w:val="99"/>
    <w:pPr>
      <w:autoSpaceDE w:val="0"/>
      <w:autoSpaceDN w:val="0"/>
      <w:adjustRightInd w:val="0"/>
      <w:spacing w:after="120" w:line="360" w:lineRule="auto"/>
      <w:ind w:left="420" w:leftChars="200"/>
      <w:jc w:val="left"/>
    </w:pPr>
    <w:rPr>
      <w:rFonts w:ascii="宋体" w:cs="宋体"/>
      <w:kern w:val="0"/>
      <w:sz w:val="24"/>
      <w:szCs w:val="24"/>
    </w:rPr>
  </w:style>
  <w:style w:type="paragraph" w:styleId="20">
    <w:name w:val="Block Text"/>
    <w:basedOn w:val="1"/>
    <w:autoRedefine/>
    <w:qFormat/>
    <w:uiPriority w:val="99"/>
    <w:pPr>
      <w:ind w:left="1440" w:leftChars="700" w:right="700" w:rightChars="700"/>
    </w:pPr>
    <w:rPr>
      <w:rFonts w:ascii="Calibri" w:hAnsi="Calibri" w:cs="Calibri"/>
    </w:rPr>
  </w:style>
  <w:style w:type="paragraph" w:styleId="21">
    <w:name w:val="toc 5"/>
    <w:basedOn w:val="1"/>
    <w:next w:val="1"/>
    <w:autoRedefine/>
    <w:semiHidden/>
    <w:qFormat/>
    <w:uiPriority w:val="99"/>
    <w:pPr>
      <w:ind w:left="840"/>
      <w:jc w:val="left"/>
    </w:pPr>
    <w:rPr>
      <w:rFonts w:ascii="Calibri" w:hAnsi="Calibri" w:cs="Calibri"/>
      <w:sz w:val="18"/>
      <w:szCs w:val="18"/>
    </w:rPr>
  </w:style>
  <w:style w:type="paragraph" w:styleId="22">
    <w:name w:val="toc 3"/>
    <w:basedOn w:val="1"/>
    <w:next w:val="1"/>
    <w:semiHidden/>
    <w:qFormat/>
    <w:uiPriority w:val="99"/>
    <w:pPr>
      <w:ind w:left="420"/>
      <w:jc w:val="left"/>
    </w:pPr>
    <w:rPr>
      <w:rFonts w:ascii="Calibri" w:hAnsi="Calibri" w:cs="Calibri"/>
      <w:i/>
      <w:iCs/>
      <w:sz w:val="20"/>
      <w:szCs w:val="20"/>
    </w:rPr>
  </w:style>
  <w:style w:type="paragraph" w:styleId="23">
    <w:name w:val="Plain Text"/>
    <w:basedOn w:val="1"/>
    <w:link w:val="78"/>
    <w:autoRedefine/>
    <w:qFormat/>
    <w:uiPriority w:val="99"/>
    <w:rPr>
      <w:rFonts w:ascii="宋体" w:hAnsi="Courier New" w:cs="宋体"/>
    </w:rPr>
  </w:style>
  <w:style w:type="paragraph" w:styleId="24">
    <w:name w:val="toc 8"/>
    <w:basedOn w:val="1"/>
    <w:next w:val="1"/>
    <w:autoRedefine/>
    <w:semiHidden/>
    <w:qFormat/>
    <w:uiPriority w:val="99"/>
    <w:pPr>
      <w:ind w:left="1470"/>
      <w:jc w:val="left"/>
    </w:pPr>
    <w:rPr>
      <w:rFonts w:ascii="Calibri" w:hAnsi="Calibri" w:cs="Calibri"/>
      <w:sz w:val="18"/>
      <w:szCs w:val="18"/>
    </w:rPr>
  </w:style>
  <w:style w:type="paragraph" w:styleId="25">
    <w:name w:val="Date"/>
    <w:basedOn w:val="1"/>
    <w:next w:val="1"/>
    <w:link w:val="79"/>
    <w:autoRedefine/>
    <w:qFormat/>
    <w:uiPriority w:val="99"/>
  </w:style>
  <w:style w:type="paragraph" w:styleId="26">
    <w:name w:val="Body Text Indent 2"/>
    <w:basedOn w:val="1"/>
    <w:link w:val="80"/>
    <w:autoRedefine/>
    <w:qFormat/>
    <w:uiPriority w:val="99"/>
    <w:pPr>
      <w:spacing w:line="460" w:lineRule="exact"/>
      <w:ind w:firstLine="570"/>
    </w:pPr>
    <w:rPr>
      <w:sz w:val="28"/>
      <w:szCs w:val="28"/>
    </w:rPr>
  </w:style>
  <w:style w:type="paragraph" w:styleId="27">
    <w:name w:val="Balloon Text"/>
    <w:basedOn w:val="1"/>
    <w:link w:val="81"/>
    <w:autoRedefine/>
    <w:semiHidden/>
    <w:qFormat/>
    <w:uiPriority w:val="99"/>
    <w:rPr>
      <w:sz w:val="18"/>
      <w:szCs w:val="18"/>
    </w:rPr>
  </w:style>
  <w:style w:type="paragraph" w:styleId="28">
    <w:name w:val="footer"/>
    <w:basedOn w:val="1"/>
    <w:link w:val="82"/>
    <w:autoRedefine/>
    <w:qFormat/>
    <w:uiPriority w:val="99"/>
    <w:pPr>
      <w:tabs>
        <w:tab w:val="center" w:pos="4153"/>
        <w:tab w:val="right" w:pos="8306"/>
      </w:tabs>
      <w:snapToGrid w:val="0"/>
      <w:jc w:val="left"/>
    </w:pPr>
    <w:rPr>
      <w:sz w:val="18"/>
      <w:szCs w:val="18"/>
    </w:rPr>
  </w:style>
  <w:style w:type="paragraph" w:styleId="29">
    <w:name w:val="envelope return"/>
    <w:basedOn w:val="1"/>
    <w:autoRedefine/>
    <w:qFormat/>
    <w:uiPriority w:val="99"/>
    <w:pPr>
      <w:snapToGrid w:val="0"/>
    </w:pPr>
    <w:rPr>
      <w:rFonts w:ascii="Arial" w:hAnsi="Arial" w:cs="Arial"/>
    </w:rPr>
  </w:style>
  <w:style w:type="paragraph" w:styleId="30">
    <w:name w:val="header"/>
    <w:basedOn w:val="1"/>
    <w:link w:val="83"/>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autoRedefine/>
    <w:semiHidden/>
    <w:qFormat/>
    <w:uiPriority w:val="99"/>
    <w:pPr>
      <w:spacing w:before="120" w:after="120"/>
      <w:jc w:val="left"/>
    </w:pPr>
    <w:rPr>
      <w:rFonts w:ascii="Calibri" w:hAnsi="Calibri" w:cs="Calibri"/>
      <w:b/>
      <w:bCs/>
      <w:caps/>
      <w:sz w:val="20"/>
      <w:szCs w:val="20"/>
    </w:rPr>
  </w:style>
  <w:style w:type="paragraph" w:styleId="32">
    <w:name w:val="toc 4"/>
    <w:basedOn w:val="1"/>
    <w:next w:val="1"/>
    <w:autoRedefine/>
    <w:semiHidden/>
    <w:qFormat/>
    <w:uiPriority w:val="99"/>
    <w:pPr>
      <w:ind w:left="630"/>
      <w:jc w:val="left"/>
    </w:pPr>
    <w:rPr>
      <w:rFonts w:ascii="Calibri" w:hAnsi="Calibri" w:cs="Calibri"/>
      <w:sz w:val="18"/>
      <w:szCs w:val="18"/>
    </w:rPr>
  </w:style>
  <w:style w:type="paragraph" w:styleId="33">
    <w:name w:val="Subtitle"/>
    <w:basedOn w:val="1"/>
    <w:next w:val="1"/>
    <w:link w:val="84"/>
    <w:autoRedefine/>
    <w:qFormat/>
    <w:uiPriority w:val="99"/>
    <w:pPr>
      <w:spacing w:before="120" w:after="120"/>
      <w:jc w:val="center"/>
      <w:outlineLvl w:val="1"/>
    </w:pPr>
    <w:rPr>
      <w:rFonts w:ascii="Cambria" w:hAnsi="Cambria" w:cs="Cambria"/>
      <w:b/>
      <w:bCs/>
      <w:kern w:val="28"/>
      <w:sz w:val="24"/>
      <w:szCs w:val="24"/>
    </w:rPr>
  </w:style>
  <w:style w:type="paragraph" w:styleId="34">
    <w:name w:val="toc 6"/>
    <w:basedOn w:val="1"/>
    <w:next w:val="1"/>
    <w:autoRedefine/>
    <w:semiHidden/>
    <w:qFormat/>
    <w:uiPriority w:val="99"/>
    <w:pPr>
      <w:ind w:left="1050"/>
      <w:jc w:val="left"/>
    </w:pPr>
    <w:rPr>
      <w:rFonts w:ascii="Calibri" w:hAnsi="Calibri" w:cs="Calibri"/>
      <w:sz w:val="18"/>
      <w:szCs w:val="18"/>
    </w:rPr>
  </w:style>
  <w:style w:type="paragraph" w:styleId="35">
    <w:name w:val="Body Text Indent 3"/>
    <w:basedOn w:val="1"/>
    <w:link w:val="85"/>
    <w:autoRedefine/>
    <w:qFormat/>
    <w:uiPriority w:val="99"/>
    <w:pPr>
      <w:spacing w:after="120"/>
      <w:ind w:left="420" w:leftChars="200"/>
    </w:pPr>
    <w:rPr>
      <w:sz w:val="16"/>
      <w:szCs w:val="16"/>
    </w:rPr>
  </w:style>
  <w:style w:type="paragraph" w:styleId="36">
    <w:name w:val="toc 2"/>
    <w:basedOn w:val="1"/>
    <w:next w:val="1"/>
    <w:autoRedefine/>
    <w:semiHidden/>
    <w:qFormat/>
    <w:uiPriority w:val="99"/>
    <w:pPr>
      <w:ind w:left="210"/>
      <w:jc w:val="left"/>
    </w:pPr>
    <w:rPr>
      <w:rFonts w:ascii="Calibri" w:hAnsi="Calibri" w:cs="Calibri"/>
      <w:smallCaps/>
      <w:sz w:val="20"/>
      <w:szCs w:val="20"/>
    </w:rPr>
  </w:style>
  <w:style w:type="paragraph" w:styleId="37">
    <w:name w:val="Body Text 2"/>
    <w:basedOn w:val="1"/>
    <w:link w:val="86"/>
    <w:autoRedefine/>
    <w:qFormat/>
    <w:uiPriority w:val="99"/>
    <w:pPr>
      <w:jc w:val="center"/>
    </w:pPr>
    <w:rPr>
      <w:rFonts w:ascii="宋体" w:hAnsi="Arial" w:cs="宋体"/>
      <w:color w:val="000000"/>
    </w:rPr>
  </w:style>
  <w:style w:type="paragraph" w:styleId="38">
    <w:name w:val="HTML Preformatted"/>
    <w:basedOn w:val="1"/>
    <w:link w:val="87"/>
    <w:autoRedefine/>
    <w:qFormat/>
    <w:uiPriority w:val="99"/>
    <w:rPr>
      <w:rFonts w:ascii="Courier New" w:hAnsi="Courier New" w:cs="Courier New"/>
      <w:sz w:val="20"/>
      <w:szCs w:val="20"/>
    </w:rPr>
  </w:style>
  <w:style w:type="paragraph" w:styleId="39">
    <w:name w:val="Normal (Web)"/>
    <w:basedOn w:val="1"/>
    <w:next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40">
    <w:name w:val="index 1"/>
    <w:basedOn w:val="1"/>
    <w:next w:val="1"/>
    <w:autoRedefine/>
    <w:semiHidden/>
    <w:qFormat/>
    <w:uiPriority w:val="99"/>
    <w:pPr>
      <w:spacing w:line="360" w:lineRule="auto"/>
    </w:pPr>
  </w:style>
  <w:style w:type="paragraph" w:styleId="41">
    <w:name w:val="index 2"/>
    <w:basedOn w:val="1"/>
    <w:next w:val="1"/>
    <w:autoRedefine/>
    <w:semiHidden/>
    <w:qFormat/>
    <w:uiPriority w:val="99"/>
    <w:pPr>
      <w:spacing w:line="360" w:lineRule="auto"/>
      <w:ind w:left="200" w:leftChars="200"/>
    </w:pPr>
  </w:style>
  <w:style w:type="paragraph" w:styleId="42">
    <w:name w:val="Title"/>
    <w:basedOn w:val="1"/>
    <w:next w:val="1"/>
    <w:link w:val="88"/>
    <w:autoRedefine/>
    <w:qFormat/>
    <w:uiPriority w:val="99"/>
    <w:pPr>
      <w:spacing w:before="240" w:after="60"/>
      <w:jc w:val="center"/>
      <w:outlineLvl w:val="0"/>
    </w:pPr>
    <w:rPr>
      <w:rFonts w:ascii="Cambria" w:hAnsi="Cambria" w:cs="Cambria"/>
      <w:b/>
      <w:bCs/>
      <w:sz w:val="36"/>
      <w:szCs w:val="36"/>
    </w:rPr>
  </w:style>
  <w:style w:type="paragraph" w:styleId="43">
    <w:name w:val="annotation subject"/>
    <w:basedOn w:val="15"/>
    <w:next w:val="15"/>
    <w:link w:val="89"/>
    <w:autoRedefine/>
    <w:semiHidden/>
    <w:qFormat/>
    <w:uiPriority w:val="99"/>
    <w:pPr>
      <w:adjustRightInd/>
      <w:spacing w:line="240" w:lineRule="auto"/>
      <w:textAlignment w:val="auto"/>
    </w:pPr>
    <w:rPr>
      <w:b/>
      <w:bCs/>
      <w:kern w:val="2"/>
      <w:sz w:val="21"/>
      <w:szCs w:val="21"/>
    </w:rPr>
  </w:style>
  <w:style w:type="paragraph" w:styleId="44">
    <w:name w:val="Body Text First Indent"/>
    <w:basedOn w:val="16"/>
    <w:link w:val="90"/>
    <w:autoRedefine/>
    <w:qFormat/>
    <w:uiPriority w:val="99"/>
    <w:pPr>
      <w:ind w:firstLine="200" w:firstLineChars="200"/>
    </w:pPr>
    <w:rPr>
      <w:rFonts w:eastAsia="仿宋_GB2312"/>
    </w:rPr>
  </w:style>
  <w:style w:type="paragraph" w:styleId="45">
    <w:name w:val="Body Text First Indent 2"/>
    <w:basedOn w:val="18"/>
    <w:link w:val="91"/>
    <w:qFormat/>
    <w:uiPriority w:val="99"/>
    <w:pPr>
      <w:ind w:firstLine="420" w:firstLineChars="200"/>
    </w:pPr>
  </w:style>
  <w:style w:type="table" w:styleId="47">
    <w:name w:val="Table Grid"/>
    <w:basedOn w:val="46"/>
    <w:autoRedefine/>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autoRedefine/>
    <w:qFormat/>
    <w:uiPriority w:val="99"/>
    <w:rPr>
      <w:b/>
      <w:bCs/>
    </w:rPr>
  </w:style>
  <w:style w:type="character" w:styleId="50">
    <w:name w:val="page number"/>
    <w:basedOn w:val="48"/>
    <w:autoRedefine/>
    <w:qFormat/>
    <w:uiPriority w:val="99"/>
  </w:style>
  <w:style w:type="character" w:styleId="51">
    <w:name w:val="FollowedHyperlink"/>
    <w:basedOn w:val="48"/>
    <w:autoRedefine/>
    <w:qFormat/>
    <w:uiPriority w:val="99"/>
    <w:rPr>
      <w:color w:val="333333"/>
      <w:u w:val="none"/>
    </w:rPr>
  </w:style>
  <w:style w:type="character" w:styleId="52">
    <w:name w:val="Emphasis"/>
    <w:basedOn w:val="48"/>
    <w:autoRedefine/>
    <w:qFormat/>
    <w:uiPriority w:val="99"/>
    <w:rPr>
      <w:color w:val="auto"/>
      <w:sz w:val="18"/>
      <w:szCs w:val="18"/>
    </w:rPr>
  </w:style>
  <w:style w:type="character" w:styleId="53">
    <w:name w:val="HTML Definition"/>
    <w:basedOn w:val="48"/>
    <w:qFormat/>
    <w:uiPriority w:val="99"/>
  </w:style>
  <w:style w:type="character" w:styleId="54">
    <w:name w:val="HTML Typewriter"/>
    <w:basedOn w:val="48"/>
    <w:autoRedefine/>
    <w:qFormat/>
    <w:uiPriority w:val="99"/>
    <w:rPr>
      <w:rFonts w:ascii="monospace" w:hAnsi="monospace" w:eastAsia="Times New Roman" w:cs="monospace"/>
      <w:sz w:val="20"/>
      <w:szCs w:val="20"/>
      <w:bdr w:val="single" w:color="auto" w:sz="6" w:space="0"/>
      <w:shd w:val="clear" w:color="auto" w:fill="auto"/>
    </w:rPr>
  </w:style>
  <w:style w:type="character" w:styleId="55">
    <w:name w:val="HTML Acronym"/>
    <w:basedOn w:val="48"/>
    <w:autoRedefine/>
    <w:qFormat/>
    <w:uiPriority w:val="99"/>
  </w:style>
  <w:style w:type="character" w:styleId="56">
    <w:name w:val="HTML Variable"/>
    <w:basedOn w:val="48"/>
    <w:autoRedefine/>
    <w:qFormat/>
    <w:uiPriority w:val="99"/>
  </w:style>
  <w:style w:type="character" w:styleId="57">
    <w:name w:val="Hyperlink"/>
    <w:basedOn w:val="48"/>
    <w:autoRedefine/>
    <w:qFormat/>
    <w:uiPriority w:val="99"/>
    <w:rPr>
      <w:color w:val="333333"/>
      <w:u w:val="none"/>
    </w:rPr>
  </w:style>
  <w:style w:type="character" w:styleId="58">
    <w:name w:val="HTML Code"/>
    <w:basedOn w:val="48"/>
    <w:autoRedefine/>
    <w:qFormat/>
    <w:uiPriority w:val="99"/>
    <w:rPr>
      <w:rFonts w:ascii="Courier New" w:hAnsi="Courier New" w:cs="Courier New"/>
      <w:sz w:val="20"/>
      <w:szCs w:val="20"/>
    </w:rPr>
  </w:style>
  <w:style w:type="character" w:styleId="59">
    <w:name w:val="annotation reference"/>
    <w:basedOn w:val="48"/>
    <w:autoRedefine/>
    <w:semiHidden/>
    <w:qFormat/>
    <w:uiPriority w:val="99"/>
    <w:rPr>
      <w:sz w:val="21"/>
      <w:szCs w:val="21"/>
    </w:rPr>
  </w:style>
  <w:style w:type="character" w:styleId="60">
    <w:name w:val="HTML Cite"/>
    <w:basedOn w:val="48"/>
    <w:qFormat/>
    <w:uiPriority w:val="99"/>
  </w:style>
  <w:style w:type="character" w:styleId="61">
    <w:name w:val="footnote reference"/>
    <w:basedOn w:val="48"/>
    <w:autoRedefine/>
    <w:semiHidden/>
    <w:qFormat/>
    <w:uiPriority w:val="99"/>
    <w:rPr>
      <w:vertAlign w:val="superscript"/>
    </w:rPr>
  </w:style>
  <w:style w:type="character" w:styleId="62">
    <w:name w:val="HTML Keyboard"/>
    <w:basedOn w:val="48"/>
    <w:autoRedefine/>
    <w:qFormat/>
    <w:uiPriority w:val="99"/>
    <w:rPr>
      <w:rFonts w:ascii="monospace" w:hAnsi="monospace" w:eastAsia="Times New Roman" w:cs="monospace"/>
      <w:sz w:val="20"/>
      <w:szCs w:val="20"/>
    </w:rPr>
  </w:style>
  <w:style w:type="character" w:styleId="63">
    <w:name w:val="HTML Sample"/>
    <w:basedOn w:val="48"/>
    <w:autoRedefine/>
    <w:qFormat/>
    <w:uiPriority w:val="99"/>
    <w:rPr>
      <w:rFonts w:ascii="monospace" w:hAnsi="monospace" w:eastAsia="Times New Roman" w:cs="monospace"/>
    </w:rPr>
  </w:style>
  <w:style w:type="paragraph" w:customStyle="1" w:styleId="64">
    <w:name w:val="BodyText"/>
    <w:basedOn w:val="1"/>
    <w:autoRedefine/>
    <w:qFormat/>
    <w:uiPriority w:val="99"/>
    <w:pPr>
      <w:ind w:left="109"/>
      <w:textAlignment w:val="baseline"/>
    </w:pPr>
    <w:rPr>
      <w:rFonts w:ascii="宋体" w:hAnsi="宋体" w:cs="宋体"/>
      <w:sz w:val="32"/>
      <w:szCs w:val="32"/>
      <w:lang w:val="zh-CN"/>
    </w:rPr>
  </w:style>
  <w:style w:type="character" w:customStyle="1" w:styleId="65">
    <w:name w:val="Heading 1 Char"/>
    <w:basedOn w:val="48"/>
    <w:link w:val="2"/>
    <w:autoRedefine/>
    <w:qFormat/>
    <w:locked/>
    <w:uiPriority w:val="99"/>
    <w:rPr>
      <w:b/>
      <w:bCs/>
      <w:kern w:val="44"/>
      <w:sz w:val="44"/>
      <w:szCs w:val="44"/>
    </w:rPr>
  </w:style>
  <w:style w:type="character" w:customStyle="1" w:styleId="66">
    <w:name w:val="Heading 2 Char"/>
    <w:basedOn w:val="48"/>
    <w:link w:val="3"/>
    <w:autoRedefine/>
    <w:qFormat/>
    <w:locked/>
    <w:uiPriority w:val="99"/>
    <w:rPr>
      <w:rFonts w:ascii="Arial" w:hAnsi="Arial" w:eastAsia="黑体" w:cs="Arial"/>
      <w:b/>
      <w:bCs/>
      <w:sz w:val="24"/>
      <w:szCs w:val="24"/>
    </w:rPr>
  </w:style>
  <w:style w:type="character" w:customStyle="1" w:styleId="67">
    <w:name w:val="Heading 3 Char"/>
    <w:basedOn w:val="48"/>
    <w:link w:val="5"/>
    <w:autoRedefine/>
    <w:qFormat/>
    <w:locked/>
    <w:uiPriority w:val="99"/>
    <w:rPr>
      <w:b/>
      <w:bCs/>
      <w:sz w:val="24"/>
      <w:szCs w:val="24"/>
    </w:rPr>
  </w:style>
  <w:style w:type="character" w:customStyle="1" w:styleId="68">
    <w:name w:val="Heading 4 Char"/>
    <w:basedOn w:val="48"/>
    <w:link w:val="6"/>
    <w:autoRedefine/>
    <w:qFormat/>
    <w:locked/>
    <w:uiPriority w:val="99"/>
    <w:rPr>
      <w:rFonts w:ascii="Arial" w:hAnsi="Arial" w:eastAsia="黑体" w:cs="Arial"/>
      <w:b/>
      <w:bCs/>
      <w:kern w:val="2"/>
      <w:sz w:val="28"/>
      <w:szCs w:val="28"/>
    </w:rPr>
  </w:style>
  <w:style w:type="character" w:customStyle="1" w:styleId="69">
    <w:name w:val="Heading 5 Char"/>
    <w:basedOn w:val="48"/>
    <w:link w:val="7"/>
    <w:autoRedefine/>
    <w:qFormat/>
    <w:locked/>
    <w:uiPriority w:val="99"/>
    <w:rPr>
      <w:b/>
      <w:bCs/>
      <w:kern w:val="2"/>
      <w:sz w:val="28"/>
      <w:szCs w:val="28"/>
    </w:rPr>
  </w:style>
  <w:style w:type="character" w:customStyle="1" w:styleId="70">
    <w:name w:val="Heading 6 Char"/>
    <w:basedOn w:val="48"/>
    <w:link w:val="8"/>
    <w:autoRedefine/>
    <w:qFormat/>
    <w:locked/>
    <w:uiPriority w:val="99"/>
    <w:rPr>
      <w:rFonts w:ascii="Arial" w:hAnsi="Arial" w:eastAsia="黑体" w:cs="Arial"/>
      <w:b/>
      <w:bCs/>
      <w:kern w:val="2"/>
      <w:sz w:val="24"/>
      <w:szCs w:val="24"/>
    </w:rPr>
  </w:style>
  <w:style w:type="character" w:customStyle="1" w:styleId="71">
    <w:name w:val="Heading 7 Char"/>
    <w:basedOn w:val="48"/>
    <w:link w:val="9"/>
    <w:autoRedefine/>
    <w:qFormat/>
    <w:locked/>
    <w:uiPriority w:val="99"/>
    <w:rPr>
      <w:b/>
      <w:bCs/>
      <w:kern w:val="2"/>
      <w:sz w:val="24"/>
      <w:szCs w:val="24"/>
    </w:rPr>
  </w:style>
  <w:style w:type="character" w:customStyle="1" w:styleId="72">
    <w:name w:val="Heading 8 Char"/>
    <w:basedOn w:val="48"/>
    <w:link w:val="10"/>
    <w:qFormat/>
    <w:locked/>
    <w:uiPriority w:val="99"/>
    <w:rPr>
      <w:rFonts w:ascii="Arial" w:hAnsi="Arial" w:eastAsia="黑体" w:cs="Arial"/>
      <w:kern w:val="2"/>
      <w:sz w:val="24"/>
      <w:szCs w:val="24"/>
    </w:rPr>
  </w:style>
  <w:style w:type="character" w:customStyle="1" w:styleId="73">
    <w:name w:val="Heading 9 Char"/>
    <w:basedOn w:val="48"/>
    <w:link w:val="11"/>
    <w:autoRedefine/>
    <w:qFormat/>
    <w:locked/>
    <w:uiPriority w:val="99"/>
    <w:rPr>
      <w:rFonts w:ascii="Arial" w:hAnsi="Arial" w:eastAsia="黑体" w:cs="Arial"/>
      <w:kern w:val="2"/>
      <w:sz w:val="21"/>
      <w:szCs w:val="21"/>
    </w:rPr>
  </w:style>
  <w:style w:type="character" w:customStyle="1" w:styleId="74">
    <w:name w:val="Document Map Char"/>
    <w:basedOn w:val="48"/>
    <w:link w:val="14"/>
    <w:autoRedefine/>
    <w:qFormat/>
    <w:locked/>
    <w:uiPriority w:val="99"/>
    <w:rPr>
      <w:rFonts w:ascii="宋体" w:cs="宋体"/>
      <w:kern w:val="2"/>
      <w:sz w:val="18"/>
      <w:szCs w:val="18"/>
    </w:rPr>
  </w:style>
  <w:style w:type="character" w:customStyle="1" w:styleId="75">
    <w:name w:val="Comment Text Char"/>
    <w:basedOn w:val="48"/>
    <w:link w:val="15"/>
    <w:autoRedefine/>
    <w:semiHidden/>
    <w:qFormat/>
    <w:locked/>
    <w:uiPriority w:val="99"/>
    <w:rPr>
      <w:sz w:val="24"/>
      <w:szCs w:val="24"/>
    </w:rPr>
  </w:style>
  <w:style w:type="character" w:customStyle="1" w:styleId="76">
    <w:name w:val="Body Text Char"/>
    <w:basedOn w:val="48"/>
    <w:link w:val="16"/>
    <w:autoRedefine/>
    <w:semiHidden/>
    <w:qFormat/>
    <w:uiPriority w:val="99"/>
    <w:rPr>
      <w:szCs w:val="21"/>
    </w:rPr>
  </w:style>
  <w:style w:type="character" w:customStyle="1" w:styleId="77">
    <w:name w:val="Body Text Indent Char"/>
    <w:basedOn w:val="48"/>
    <w:link w:val="18"/>
    <w:autoRedefine/>
    <w:semiHidden/>
    <w:qFormat/>
    <w:uiPriority w:val="99"/>
    <w:rPr>
      <w:szCs w:val="21"/>
    </w:rPr>
  </w:style>
  <w:style w:type="character" w:customStyle="1" w:styleId="78">
    <w:name w:val="Plain Text Char"/>
    <w:basedOn w:val="48"/>
    <w:link w:val="23"/>
    <w:autoRedefine/>
    <w:qFormat/>
    <w:locked/>
    <w:uiPriority w:val="99"/>
    <w:rPr>
      <w:rFonts w:ascii="宋体" w:hAnsi="Courier New" w:cs="宋体"/>
      <w:kern w:val="2"/>
      <w:sz w:val="24"/>
      <w:szCs w:val="24"/>
    </w:rPr>
  </w:style>
  <w:style w:type="character" w:customStyle="1" w:styleId="79">
    <w:name w:val="Date Char"/>
    <w:basedOn w:val="48"/>
    <w:link w:val="25"/>
    <w:qFormat/>
    <w:locked/>
    <w:uiPriority w:val="99"/>
    <w:rPr>
      <w:rFonts w:eastAsia="宋体"/>
      <w:kern w:val="2"/>
      <w:sz w:val="24"/>
      <w:szCs w:val="24"/>
      <w:lang w:val="en-US" w:eastAsia="zh-CN"/>
    </w:rPr>
  </w:style>
  <w:style w:type="character" w:customStyle="1" w:styleId="80">
    <w:name w:val="Body Text Indent 2 Char"/>
    <w:basedOn w:val="48"/>
    <w:link w:val="26"/>
    <w:autoRedefine/>
    <w:qFormat/>
    <w:locked/>
    <w:uiPriority w:val="99"/>
    <w:rPr>
      <w:kern w:val="2"/>
      <w:sz w:val="28"/>
      <w:szCs w:val="28"/>
    </w:rPr>
  </w:style>
  <w:style w:type="character" w:customStyle="1" w:styleId="81">
    <w:name w:val="Balloon Text Char"/>
    <w:basedOn w:val="48"/>
    <w:link w:val="27"/>
    <w:autoRedefine/>
    <w:semiHidden/>
    <w:qFormat/>
    <w:uiPriority w:val="99"/>
    <w:rPr>
      <w:sz w:val="0"/>
      <w:szCs w:val="0"/>
    </w:rPr>
  </w:style>
  <w:style w:type="character" w:customStyle="1" w:styleId="82">
    <w:name w:val="Footer Char"/>
    <w:basedOn w:val="48"/>
    <w:link w:val="28"/>
    <w:autoRedefine/>
    <w:qFormat/>
    <w:locked/>
    <w:uiPriority w:val="99"/>
    <w:rPr>
      <w:rFonts w:eastAsia="宋体"/>
      <w:kern w:val="2"/>
      <w:sz w:val="18"/>
      <w:szCs w:val="18"/>
      <w:lang w:val="en-US" w:eastAsia="zh-CN"/>
    </w:rPr>
  </w:style>
  <w:style w:type="character" w:customStyle="1" w:styleId="83">
    <w:name w:val="Header Char"/>
    <w:basedOn w:val="48"/>
    <w:link w:val="30"/>
    <w:autoRedefine/>
    <w:qFormat/>
    <w:locked/>
    <w:uiPriority w:val="99"/>
    <w:rPr>
      <w:kern w:val="2"/>
      <w:sz w:val="18"/>
      <w:szCs w:val="18"/>
      <w:lang w:val="en-US" w:eastAsia="zh-CN"/>
    </w:rPr>
  </w:style>
  <w:style w:type="character" w:customStyle="1" w:styleId="84">
    <w:name w:val="Subtitle Char"/>
    <w:basedOn w:val="48"/>
    <w:link w:val="33"/>
    <w:autoRedefine/>
    <w:qFormat/>
    <w:locked/>
    <w:uiPriority w:val="99"/>
    <w:rPr>
      <w:rFonts w:ascii="Cambria" w:hAnsi="Cambria" w:cs="Cambria"/>
      <w:b/>
      <w:bCs/>
      <w:kern w:val="28"/>
      <w:sz w:val="32"/>
      <w:szCs w:val="32"/>
    </w:rPr>
  </w:style>
  <w:style w:type="character" w:customStyle="1" w:styleId="85">
    <w:name w:val="Body Text Indent 3 Char"/>
    <w:basedOn w:val="48"/>
    <w:link w:val="35"/>
    <w:autoRedefine/>
    <w:semiHidden/>
    <w:qFormat/>
    <w:uiPriority w:val="99"/>
    <w:rPr>
      <w:sz w:val="16"/>
      <w:szCs w:val="16"/>
    </w:rPr>
  </w:style>
  <w:style w:type="character" w:customStyle="1" w:styleId="86">
    <w:name w:val="Body Text 2 Char"/>
    <w:basedOn w:val="48"/>
    <w:link w:val="37"/>
    <w:autoRedefine/>
    <w:semiHidden/>
    <w:qFormat/>
    <w:uiPriority w:val="99"/>
    <w:rPr>
      <w:szCs w:val="21"/>
    </w:rPr>
  </w:style>
  <w:style w:type="character" w:customStyle="1" w:styleId="87">
    <w:name w:val="HTML Preformatted Char"/>
    <w:basedOn w:val="48"/>
    <w:link w:val="38"/>
    <w:autoRedefine/>
    <w:qFormat/>
    <w:locked/>
    <w:uiPriority w:val="99"/>
    <w:rPr>
      <w:rFonts w:ascii="Courier New" w:hAnsi="Courier New" w:cs="Courier New"/>
      <w:kern w:val="2"/>
    </w:rPr>
  </w:style>
  <w:style w:type="character" w:customStyle="1" w:styleId="88">
    <w:name w:val="Title Char"/>
    <w:basedOn w:val="48"/>
    <w:link w:val="42"/>
    <w:autoRedefine/>
    <w:qFormat/>
    <w:locked/>
    <w:uiPriority w:val="99"/>
    <w:rPr>
      <w:rFonts w:ascii="Cambria" w:hAnsi="Cambria" w:cs="Cambria"/>
      <w:b/>
      <w:bCs/>
      <w:kern w:val="2"/>
      <w:sz w:val="32"/>
      <w:szCs w:val="32"/>
    </w:rPr>
  </w:style>
  <w:style w:type="character" w:customStyle="1" w:styleId="89">
    <w:name w:val="Comment Subject Char"/>
    <w:basedOn w:val="75"/>
    <w:link w:val="43"/>
    <w:autoRedefine/>
    <w:qFormat/>
    <w:locked/>
    <w:uiPriority w:val="99"/>
    <w:rPr>
      <w:b/>
      <w:bCs/>
      <w:kern w:val="2"/>
    </w:rPr>
  </w:style>
  <w:style w:type="character" w:customStyle="1" w:styleId="90">
    <w:name w:val="Body Text First Indent Char"/>
    <w:basedOn w:val="76"/>
    <w:link w:val="44"/>
    <w:autoRedefine/>
    <w:semiHidden/>
    <w:qFormat/>
    <w:uiPriority w:val="99"/>
  </w:style>
  <w:style w:type="character" w:customStyle="1" w:styleId="91">
    <w:name w:val="Body Text First Indent 2 Char"/>
    <w:basedOn w:val="77"/>
    <w:link w:val="45"/>
    <w:autoRedefine/>
    <w:semiHidden/>
    <w:qFormat/>
    <w:uiPriority w:val="99"/>
  </w:style>
  <w:style w:type="character" w:customStyle="1" w:styleId="92">
    <w:name w:val="Normal Indent Char"/>
    <w:link w:val="4"/>
    <w:autoRedefine/>
    <w:qFormat/>
    <w:locked/>
    <w:uiPriority w:val="99"/>
    <w:rPr>
      <w:kern w:val="2"/>
      <w:sz w:val="24"/>
      <w:szCs w:val="24"/>
    </w:rPr>
  </w:style>
  <w:style w:type="character" w:customStyle="1" w:styleId="93">
    <w:name w:val="Char Char19"/>
    <w:autoRedefine/>
    <w:qFormat/>
    <w:uiPriority w:val="99"/>
    <w:rPr>
      <w:rFonts w:ascii="Arial" w:hAnsi="Arial" w:cs="Arial"/>
      <w:b/>
      <w:bCs/>
      <w:kern w:val="2"/>
      <w:sz w:val="28"/>
      <w:szCs w:val="28"/>
    </w:rPr>
  </w:style>
  <w:style w:type="paragraph" w:customStyle="1" w:styleId="94">
    <w:name w:val="TOC 标题1"/>
    <w:basedOn w:val="2"/>
    <w:next w:val="1"/>
    <w:autoRedefine/>
    <w:qFormat/>
    <w:uiPriority w:val="99"/>
    <w:pPr>
      <w:widowControl/>
      <w:spacing w:before="480" w:after="0" w:line="276" w:lineRule="auto"/>
      <w:outlineLvl w:val="9"/>
    </w:pPr>
    <w:rPr>
      <w:rFonts w:ascii="Cambria" w:hAnsi="Cambria" w:cs="Cambria"/>
      <w:color w:val="365F91"/>
      <w:kern w:val="0"/>
    </w:rPr>
  </w:style>
  <w:style w:type="character" w:customStyle="1" w:styleId="95">
    <w:name w:val="标题 1 Char1"/>
    <w:autoRedefine/>
    <w:qFormat/>
    <w:uiPriority w:val="99"/>
    <w:rPr>
      <w:rFonts w:ascii="宋体" w:hAnsi="宋体" w:eastAsia="宋体" w:cs="宋体"/>
      <w:b/>
      <w:bCs/>
      <w:kern w:val="44"/>
      <w:sz w:val="32"/>
      <w:szCs w:val="32"/>
    </w:rPr>
  </w:style>
  <w:style w:type="character" w:customStyle="1" w:styleId="96">
    <w:name w:val="样式 标题 1 + 加粗 Char"/>
    <w:autoRedefine/>
    <w:qFormat/>
    <w:uiPriority w:val="99"/>
    <w:rPr>
      <w:rFonts w:eastAsia="黑体"/>
      <w:b/>
      <w:bCs/>
      <w:kern w:val="44"/>
      <w:sz w:val="28"/>
      <w:szCs w:val="28"/>
      <w:lang w:val="en-US" w:eastAsia="zh-CN"/>
    </w:rPr>
  </w:style>
  <w:style w:type="character" w:customStyle="1" w:styleId="97">
    <w:name w:val="Char Char1"/>
    <w:autoRedefine/>
    <w:qFormat/>
    <w:uiPriority w:val="99"/>
    <w:rPr>
      <w:rFonts w:eastAsia="宋体"/>
      <w:b/>
      <w:bCs/>
      <w:kern w:val="44"/>
      <w:sz w:val="44"/>
      <w:szCs w:val="44"/>
      <w:lang w:val="en-US" w:eastAsia="zh-CN"/>
    </w:rPr>
  </w:style>
  <w:style w:type="character" w:customStyle="1" w:styleId="98">
    <w:name w:val="Char Char"/>
    <w:autoRedefine/>
    <w:qFormat/>
    <w:uiPriority w:val="99"/>
    <w:rPr>
      <w:rFonts w:ascii="Arial" w:hAnsi="Arial" w:eastAsia="宋体" w:cs="Arial"/>
      <w:b/>
      <w:bCs/>
      <w:kern w:val="2"/>
      <w:sz w:val="32"/>
      <w:szCs w:val="32"/>
      <w:lang w:val="en-US" w:eastAsia="zh-CN"/>
    </w:rPr>
  </w:style>
  <w:style w:type="character" w:customStyle="1" w:styleId="99">
    <w:name w:val="th_font1"/>
    <w:autoRedefine/>
    <w:qFormat/>
    <w:uiPriority w:val="99"/>
    <w:rPr>
      <w:color w:val="333333"/>
      <w:sz w:val="18"/>
      <w:szCs w:val="18"/>
      <w:u w:val="none"/>
    </w:rPr>
  </w:style>
  <w:style w:type="character" w:customStyle="1" w:styleId="100">
    <w:name w:val="纯文本 Char1"/>
    <w:autoRedefine/>
    <w:qFormat/>
    <w:uiPriority w:val="99"/>
    <w:rPr>
      <w:rFonts w:ascii="宋体" w:hAnsi="Courier New" w:cs="宋体"/>
      <w:kern w:val="2"/>
      <w:sz w:val="24"/>
      <w:szCs w:val="24"/>
    </w:rPr>
  </w:style>
  <w:style w:type="character" w:customStyle="1" w:styleId="101">
    <w:name w:val="apple-converted-space"/>
    <w:autoRedefine/>
    <w:qFormat/>
    <w:uiPriority w:val="99"/>
  </w:style>
  <w:style w:type="character" w:customStyle="1" w:styleId="102">
    <w:name w:val="标题 2 Char1"/>
    <w:autoRedefine/>
    <w:qFormat/>
    <w:uiPriority w:val="99"/>
    <w:rPr>
      <w:rFonts w:ascii="Arial" w:hAnsi="Arial" w:eastAsia="宋体" w:cs="Arial"/>
      <w:b/>
      <w:bCs/>
      <w:sz w:val="32"/>
      <w:szCs w:val="32"/>
    </w:rPr>
  </w:style>
  <w:style w:type="paragraph" w:customStyle="1" w:styleId="103">
    <w:name w:val="_Style 29"/>
    <w:basedOn w:val="1"/>
    <w:autoRedefine/>
    <w:qFormat/>
    <w:uiPriority w:val="99"/>
    <w:pPr>
      <w:widowControl/>
      <w:spacing w:after="160" w:line="240" w:lineRule="exact"/>
      <w:jc w:val="left"/>
    </w:pPr>
    <w:rPr>
      <w:rFonts w:ascii="Verdana" w:hAnsi="Verdana" w:cs="Verdana"/>
      <w:kern w:val="0"/>
      <w:sz w:val="20"/>
      <w:szCs w:val="20"/>
      <w:lang w:eastAsia="en-US"/>
    </w:rPr>
  </w:style>
  <w:style w:type="paragraph" w:customStyle="1" w:styleId="104">
    <w:name w:val="【正文】"/>
    <w:basedOn w:val="1"/>
    <w:autoRedefine/>
    <w:qFormat/>
    <w:uiPriority w:val="99"/>
    <w:pPr>
      <w:spacing w:line="360" w:lineRule="auto"/>
      <w:ind w:firstLine="480" w:firstLineChars="200"/>
    </w:pPr>
    <w:rPr>
      <w:sz w:val="24"/>
      <w:szCs w:val="24"/>
    </w:rPr>
  </w:style>
  <w:style w:type="paragraph" w:customStyle="1" w:styleId="105">
    <w:name w:val="Char Char Char Char"/>
    <w:basedOn w:val="39"/>
    <w:next w:val="1"/>
    <w:autoRedefine/>
    <w:qFormat/>
    <w:uiPriority w:val="99"/>
    <w:pPr>
      <w:widowControl w:val="0"/>
      <w:shd w:val="clear" w:color="auto" w:fill="000080"/>
      <w:adjustRightInd w:val="0"/>
      <w:snapToGrid w:val="0"/>
      <w:spacing w:before="0" w:beforeAutospacing="0" w:after="0" w:afterAutospacing="0" w:line="360" w:lineRule="auto"/>
      <w:jc w:val="both"/>
    </w:pPr>
    <w:rPr>
      <w:kern w:val="2"/>
    </w:rPr>
  </w:style>
  <w:style w:type="paragraph" w:customStyle="1" w:styleId="106">
    <w:name w:val="样式 标题 1 + 首行缩进:  2 字符 段前: 1 行 段后: 1 行"/>
    <w:basedOn w:val="2"/>
    <w:autoRedefine/>
    <w:qFormat/>
    <w:uiPriority w:val="99"/>
    <w:pPr>
      <w:keepNext w:val="0"/>
      <w:keepLines w:val="0"/>
      <w:spacing w:beforeLines="100" w:afterLines="100"/>
      <w:jc w:val="both"/>
    </w:pPr>
    <w:rPr>
      <w:rFonts w:ascii="宋体" w:hAnsi="宋体" w:cs="宋体"/>
      <w:sz w:val="24"/>
      <w:szCs w:val="24"/>
    </w:rPr>
  </w:style>
  <w:style w:type="paragraph" w:customStyle="1" w:styleId="107">
    <w:name w:val="_Style 1"/>
    <w:basedOn w:val="1"/>
    <w:autoRedefine/>
    <w:qFormat/>
    <w:uiPriority w:val="99"/>
    <w:pPr>
      <w:ind w:firstLine="420" w:firstLineChars="200"/>
    </w:pPr>
  </w:style>
  <w:style w:type="paragraph" w:customStyle="1" w:styleId="108">
    <w:name w:val="p0"/>
    <w:basedOn w:val="1"/>
    <w:autoRedefine/>
    <w:qFormat/>
    <w:uiPriority w:val="99"/>
    <w:pPr>
      <w:widowControl/>
    </w:pPr>
    <w:rPr>
      <w:kern w:val="0"/>
    </w:rPr>
  </w:style>
  <w:style w:type="paragraph" w:customStyle="1" w:styleId="109">
    <w:name w:val="样式1"/>
    <w:basedOn w:val="1"/>
    <w:autoRedefine/>
    <w:qFormat/>
    <w:uiPriority w:val="99"/>
    <w:pPr>
      <w:numPr>
        <w:ilvl w:val="0"/>
        <w:numId w:val="1"/>
      </w:numPr>
      <w:tabs>
        <w:tab w:val="left" w:pos="709"/>
        <w:tab w:val="clear" w:pos="1200"/>
      </w:tabs>
      <w:adjustRightInd w:val="0"/>
      <w:textAlignment w:val="baseline"/>
    </w:pPr>
    <w:rPr>
      <w:rFonts w:ascii="宋体" w:hAnsi="宋体" w:cs="宋体"/>
      <w:kern w:val="0"/>
    </w:rPr>
  </w:style>
  <w:style w:type="paragraph" w:customStyle="1" w:styleId="110">
    <w:name w:val="样式"/>
    <w:autoRedefine/>
    <w:qFormat/>
    <w:uiPriority w:val="99"/>
    <w:pPr>
      <w:widowControl w:val="0"/>
      <w:autoSpaceDE w:val="0"/>
      <w:autoSpaceDN w:val="0"/>
      <w:adjustRightInd w:val="0"/>
      <w:spacing w:after="200" w:line="276" w:lineRule="auto"/>
      <w:jc w:val="both"/>
    </w:pPr>
    <w:rPr>
      <w:rFonts w:ascii="宋体" w:hAnsi="Times New Roman" w:eastAsia="宋体" w:cs="宋体"/>
      <w:kern w:val="0"/>
      <w:sz w:val="24"/>
      <w:szCs w:val="24"/>
      <w:lang w:val="en-US" w:eastAsia="en-US" w:bidi="ar-SA"/>
    </w:rPr>
  </w:style>
  <w:style w:type="paragraph" w:customStyle="1" w:styleId="111">
    <w:name w:val="Default"/>
    <w:autoRedefine/>
    <w:qFormat/>
    <w:uiPriority w:val="99"/>
    <w:pPr>
      <w:widowControl w:val="0"/>
      <w:autoSpaceDE w:val="0"/>
      <w:autoSpaceDN w:val="0"/>
      <w:adjustRightInd w:val="0"/>
    </w:pPr>
    <w:rPr>
      <w:rFonts w:ascii="宋体" w:hAnsi="宋体" w:eastAsia="宋体" w:cs="宋体"/>
      <w:color w:val="000000"/>
      <w:kern w:val="0"/>
      <w:sz w:val="24"/>
      <w:szCs w:val="24"/>
      <w:lang w:val="en-US" w:eastAsia="zh-CN" w:bidi="ar-SA"/>
    </w:rPr>
  </w:style>
  <w:style w:type="paragraph" w:customStyle="1" w:styleId="112">
    <w:name w:val="1"/>
    <w:basedOn w:val="1"/>
    <w:next w:val="16"/>
    <w:autoRedefine/>
    <w:qFormat/>
    <w:uiPriority w:val="99"/>
    <w:pPr>
      <w:autoSpaceDE w:val="0"/>
      <w:autoSpaceDN w:val="0"/>
      <w:adjustRightInd w:val="0"/>
      <w:spacing w:line="360" w:lineRule="auto"/>
      <w:jc w:val="left"/>
      <w:textAlignment w:val="baseline"/>
    </w:pPr>
    <w:rPr>
      <w:rFonts w:ascii="宋体" w:cs="宋体"/>
      <w:kern w:val="0"/>
      <w:sz w:val="28"/>
      <w:szCs w:val="28"/>
    </w:rPr>
  </w:style>
  <w:style w:type="paragraph" w:customStyle="1" w:styleId="113">
    <w:name w:val="样式 标题 2 + Times New Roman 四号 非加粗 段前: 5 磅 段后: 0 磅 行距: 固定值 20..."/>
    <w:basedOn w:val="3"/>
    <w:autoRedefine/>
    <w:qFormat/>
    <w:uiPriority w:val="99"/>
    <w:pPr>
      <w:adjustRightInd/>
      <w:spacing w:before="100" w:line="400" w:lineRule="exact"/>
      <w:textAlignment w:val="auto"/>
    </w:pPr>
    <w:rPr>
      <w:rFonts w:ascii="Times New Roman" w:hAnsi="Times New Roman" w:eastAsia="宋体" w:cs="Times New Roman"/>
      <w:sz w:val="28"/>
      <w:szCs w:val="28"/>
    </w:rPr>
  </w:style>
  <w:style w:type="paragraph" w:customStyle="1" w:styleId="114">
    <w:name w:val="标3"/>
    <w:basedOn w:val="1"/>
    <w:autoRedefine/>
    <w:qFormat/>
    <w:uiPriority w:val="99"/>
    <w:pPr>
      <w:tabs>
        <w:tab w:val="left" w:pos="1740"/>
      </w:tabs>
      <w:adjustRightInd w:val="0"/>
      <w:snapToGrid w:val="0"/>
      <w:spacing w:before="50" w:line="360" w:lineRule="auto"/>
      <w:ind w:left="1740" w:hanging="420"/>
      <w:outlineLvl w:val="2"/>
    </w:pPr>
    <w:rPr>
      <w:rFonts w:ascii="Arial Narrow" w:hAnsi="Arial Narrow" w:eastAsia="仿宋_GB2312" w:cs="Arial Narrow"/>
      <w:sz w:val="28"/>
      <w:szCs w:val="28"/>
    </w:rPr>
  </w:style>
  <w:style w:type="paragraph" w:styleId="115">
    <w:name w:val="List Paragraph"/>
    <w:basedOn w:val="1"/>
    <w:autoRedefine/>
    <w:qFormat/>
    <w:uiPriority w:val="99"/>
    <w:pPr>
      <w:ind w:firstLine="420" w:firstLineChars="200"/>
    </w:pPr>
  </w:style>
  <w:style w:type="paragraph" w:customStyle="1" w:styleId="116">
    <w:name w:val="Normal1"/>
    <w:autoRedefine/>
    <w:qFormat/>
    <w:uiPriority w:val="99"/>
    <w:pPr>
      <w:widowControl w:val="0"/>
      <w:adjustRightInd w:val="0"/>
      <w:spacing w:line="312" w:lineRule="atLeast"/>
      <w:jc w:val="both"/>
      <w:textAlignment w:val="baseline"/>
    </w:pPr>
    <w:rPr>
      <w:rFonts w:ascii="宋体" w:hAnsi="Times New Roman" w:eastAsia="宋体" w:cs="宋体"/>
      <w:kern w:val="0"/>
      <w:sz w:val="34"/>
      <w:szCs w:val="34"/>
      <w:lang w:val="en-US" w:eastAsia="zh-CN" w:bidi="ar-SA"/>
    </w:rPr>
  </w:style>
  <w:style w:type="paragraph" w:customStyle="1" w:styleId="117">
    <w:name w:val="样式 标题 1 + 加粗"/>
    <w:basedOn w:val="2"/>
    <w:autoRedefine/>
    <w:qFormat/>
    <w:uiPriority w:val="99"/>
    <w:pPr>
      <w:spacing w:before="100" w:after="100"/>
      <w:jc w:val="both"/>
    </w:pPr>
    <w:rPr>
      <w:rFonts w:eastAsia="黑体"/>
    </w:rPr>
  </w:style>
  <w:style w:type="paragraph" w:customStyle="1" w:styleId="118">
    <w:name w:val="样式 样式 标题 2 + 段前: 0.5 行 段后: 0.5 行 + 首行缩进:  2 字符 段前: 0.5 行 段后: 0..."/>
    <w:basedOn w:val="1"/>
    <w:autoRedefine/>
    <w:qFormat/>
    <w:uiPriority w:val="99"/>
    <w:pPr>
      <w:keepNext/>
      <w:keepLines/>
      <w:spacing w:beforeLines="50" w:afterLines="50"/>
      <w:outlineLvl w:val="1"/>
    </w:pPr>
    <w:rPr>
      <w:rFonts w:hAnsi="宋体"/>
      <w:b/>
      <w:bCs/>
      <w:sz w:val="24"/>
      <w:szCs w:val="24"/>
    </w:rPr>
  </w:style>
  <w:style w:type="paragraph" w:customStyle="1" w:styleId="119">
    <w:name w:val="样式3"/>
    <w:basedOn w:val="23"/>
    <w:autoRedefine/>
    <w:qFormat/>
    <w:uiPriority w:val="99"/>
    <w:pPr>
      <w:spacing w:line="240" w:lineRule="atLeast"/>
      <w:outlineLvl w:val="0"/>
    </w:pPr>
    <w:rPr>
      <w:sz w:val="28"/>
      <w:szCs w:val="28"/>
    </w:rPr>
  </w:style>
  <w:style w:type="paragraph" w:customStyle="1" w:styleId="120">
    <w:name w:val="没有缩进（为图形使用）"/>
    <w:basedOn w:val="1"/>
    <w:autoRedefine/>
    <w:qFormat/>
    <w:uiPriority w:val="99"/>
    <w:pPr>
      <w:spacing w:before="120" w:after="120" w:line="360" w:lineRule="auto"/>
    </w:pPr>
    <w:rPr>
      <w:sz w:val="24"/>
      <w:szCs w:val="24"/>
    </w:rPr>
  </w:style>
  <w:style w:type="paragraph" w:customStyle="1" w:styleId="121">
    <w:name w:val="Char"/>
    <w:basedOn w:val="1"/>
    <w:autoRedefine/>
    <w:qFormat/>
    <w:uiPriority w:val="99"/>
    <w:pPr>
      <w:widowControl/>
      <w:spacing w:after="160" w:line="240" w:lineRule="exact"/>
      <w:jc w:val="left"/>
    </w:pPr>
    <w:rPr>
      <w:rFonts w:ascii="Verdana" w:hAnsi="Verdana" w:cs="Verdana"/>
      <w:kern w:val="0"/>
      <w:sz w:val="20"/>
      <w:szCs w:val="20"/>
      <w:lang w:eastAsia="en-US"/>
    </w:rPr>
  </w:style>
  <w:style w:type="paragraph" w:customStyle="1" w:styleId="122">
    <w:name w:val="标题4"/>
    <w:basedOn w:val="1"/>
    <w:autoRedefine/>
    <w:qFormat/>
    <w:uiPriority w:val="99"/>
    <w:pPr>
      <w:spacing w:beforeLines="100" w:afterLines="100" w:line="360" w:lineRule="auto"/>
    </w:pPr>
    <w:rPr>
      <w:sz w:val="28"/>
      <w:szCs w:val="28"/>
    </w:rPr>
  </w:style>
  <w:style w:type="paragraph" w:customStyle="1" w:styleId="123">
    <w:name w:val="注"/>
    <w:basedOn w:val="1"/>
    <w:autoRedefine/>
    <w:qFormat/>
    <w:uiPriority w:val="99"/>
    <w:pPr>
      <w:adjustRightInd w:val="0"/>
      <w:spacing w:line="420" w:lineRule="atLeast"/>
      <w:ind w:firstLine="340"/>
      <w:textAlignment w:val="baseline"/>
    </w:pPr>
    <w:rPr>
      <w:kern w:val="0"/>
      <w:sz w:val="18"/>
      <w:szCs w:val="18"/>
    </w:rPr>
  </w:style>
  <w:style w:type="paragraph" w:customStyle="1" w:styleId="124">
    <w:name w:val="列出段落1"/>
    <w:basedOn w:val="1"/>
    <w:autoRedefine/>
    <w:qFormat/>
    <w:uiPriority w:val="99"/>
    <w:pPr>
      <w:spacing w:line="360" w:lineRule="auto"/>
      <w:ind w:firstLine="420" w:firstLineChars="200"/>
    </w:pPr>
    <w:rPr>
      <w:rFonts w:ascii="Calibri" w:hAnsi="Calibri" w:cs="Calibri"/>
    </w:rPr>
  </w:style>
  <w:style w:type="paragraph" w:customStyle="1" w:styleId="125">
    <w:name w:val="Char Char2"/>
    <w:basedOn w:val="1"/>
    <w:autoRedefine/>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26">
    <w:name w:val="样式 标题 2 + 宋体 五号 非加粗 黑色"/>
    <w:basedOn w:val="3"/>
    <w:autoRedefine/>
    <w:qFormat/>
    <w:uiPriority w:val="99"/>
    <w:pPr>
      <w:spacing w:before="260" w:after="260" w:line="416" w:lineRule="atLeast"/>
      <w:jc w:val="left"/>
    </w:pPr>
    <w:rPr>
      <w:rFonts w:ascii="宋体" w:hAnsi="宋体" w:eastAsia="宋体" w:cs="宋体"/>
      <w:b w:val="0"/>
      <w:bCs w:val="0"/>
      <w:color w:val="000000"/>
      <w:sz w:val="21"/>
      <w:szCs w:val="21"/>
    </w:rPr>
  </w:style>
  <w:style w:type="paragraph" w:customStyle="1" w:styleId="127">
    <w:name w:val="msonormalcxspmiddle"/>
    <w:basedOn w:val="1"/>
    <w:autoRedefine/>
    <w:qFormat/>
    <w:uiPriority w:val="99"/>
    <w:pPr>
      <w:widowControl/>
      <w:spacing w:before="100" w:beforeAutospacing="1" w:after="100" w:afterAutospacing="1"/>
      <w:jc w:val="left"/>
    </w:pPr>
    <w:rPr>
      <w:rFonts w:ascii="宋体" w:cs="宋体"/>
      <w:kern w:val="0"/>
    </w:rPr>
  </w:style>
  <w:style w:type="paragraph" w:customStyle="1" w:styleId="128">
    <w:name w:val="表中"/>
    <w:basedOn w:val="1"/>
    <w:autoRedefine/>
    <w:qFormat/>
    <w:uiPriority w:val="99"/>
    <w:pPr>
      <w:adjustRightInd w:val="0"/>
      <w:snapToGrid w:val="0"/>
      <w:spacing w:line="420" w:lineRule="atLeast"/>
      <w:jc w:val="center"/>
      <w:textAlignment w:val="baseline"/>
    </w:pPr>
    <w:rPr>
      <w:kern w:val="0"/>
    </w:rPr>
  </w:style>
  <w:style w:type="paragraph" w:customStyle="1" w:styleId="129">
    <w:name w:val="Preformatted"/>
    <w:basedOn w:val="1"/>
    <w:autoRedefine/>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cs="Courier New"/>
      <w:kern w:val="0"/>
      <w:sz w:val="20"/>
      <w:szCs w:val="20"/>
    </w:rPr>
  </w:style>
  <w:style w:type="table" w:customStyle="1" w:styleId="130">
    <w:name w:val="Table Normal1"/>
    <w:autoRedefine/>
    <w:semiHidden/>
    <w:qFormat/>
    <w:uiPriority w:val="99"/>
    <w:rPr>
      <w:rFonts w:ascii="Calibri" w:hAnsi="Calibri" w:cs="Calibri"/>
      <w:szCs w:val="21"/>
    </w:rPr>
    <w:tblPr>
      <w:tblCellMar>
        <w:top w:w="0" w:type="dxa"/>
        <w:left w:w="108" w:type="dxa"/>
        <w:bottom w:w="0" w:type="dxa"/>
        <w:right w:w="108" w:type="dxa"/>
      </w:tblCellMar>
    </w:tblPr>
  </w:style>
  <w:style w:type="paragraph" w:customStyle="1" w:styleId="131">
    <w:name w:val="图"/>
    <w:basedOn w:val="1"/>
    <w:autoRedefine/>
    <w:qFormat/>
    <w:uiPriority w:val="99"/>
    <w:pPr>
      <w:keepNext/>
      <w:adjustRightInd w:val="0"/>
      <w:spacing w:before="60" w:after="60" w:line="300" w:lineRule="auto"/>
      <w:jc w:val="center"/>
      <w:textAlignment w:val="center"/>
    </w:pPr>
    <w:rPr>
      <w:spacing w:val="20"/>
      <w:kern w:val="0"/>
    </w:rPr>
  </w:style>
  <w:style w:type="paragraph" w:customStyle="1" w:styleId="132">
    <w:name w:val="WPSOffice手动目录 1"/>
    <w:autoRedefine/>
    <w:qFormat/>
    <w:uiPriority w:val="99"/>
    <w:rPr>
      <w:rFonts w:ascii="Times New Roman" w:hAnsi="Times New Roman" w:eastAsia="宋体" w:cs="Times New Roman"/>
      <w:kern w:val="0"/>
      <w:sz w:val="20"/>
      <w:szCs w:val="20"/>
      <w:lang w:val="en-US" w:eastAsia="zh-CN" w:bidi="ar-SA"/>
    </w:rPr>
  </w:style>
  <w:style w:type="paragraph" w:customStyle="1" w:styleId="133">
    <w:name w:val="WPSOffice手动目录 3"/>
    <w:autoRedefine/>
    <w:qFormat/>
    <w:uiPriority w:val="99"/>
    <w:pPr>
      <w:ind w:left="400" w:leftChars="400"/>
    </w:pPr>
    <w:rPr>
      <w:rFonts w:ascii="Times New Roman" w:hAnsi="Times New Roman" w:eastAsia="宋体" w:cs="Times New Roman"/>
      <w:kern w:val="0"/>
      <w:sz w:val="20"/>
      <w:szCs w:val="20"/>
      <w:lang w:val="en-US" w:eastAsia="zh-CN" w:bidi="ar-SA"/>
    </w:rPr>
  </w:style>
  <w:style w:type="paragraph" w:customStyle="1" w:styleId="134">
    <w:name w:val="WPSOffice手动目录 2"/>
    <w:autoRedefine/>
    <w:qFormat/>
    <w:uiPriority w:val="99"/>
    <w:pPr>
      <w:ind w:left="200" w:leftChars="200"/>
    </w:pPr>
    <w:rPr>
      <w:rFonts w:ascii="Times New Roman" w:hAnsi="Times New Roman" w:eastAsia="宋体" w:cs="Times New Roman"/>
      <w:kern w:val="0"/>
      <w:sz w:val="20"/>
      <w:szCs w:val="20"/>
      <w:lang w:val="en-US" w:eastAsia="zh-CN" w:bidi="ar-SA"/>
    </w:rPr>
  </w:style>
  <w:style w:type="character" w:customStyle="1" w:styleId="135">
    <w:name w:val="font11"/>
    <w:autoRedefine/>
    <w:qFormat/>
    <w:uiPriority w:val="99"/>
    <w:rPr>
      <w:rFonts w:ascii="宋体" w:hAnsi="宋体" w:eastAsia="宋体" w:cs="宋体"/>
      <w:color w:val="000000"/>
      <w:sz w:val="20"/>
      <w:szCs w:val="20"/>
      <w:u w:val="none"/>
    </w:rPr>
  </w:style>
  <w:style w:type="character" w:customStyle="1" w:styleId="136">
    <w:name w:val="font31"/>
    <w:basedOn w:val="48"/>
    <w:qFormat/>
    <w:uiPriority w:val="99"/>
    <w:rPr>
      <w:rFonts w:ascii="宋体" w:hAnsi="宋体" w:eastAsia="宋体" w:cs="宋体"/>
      <w:b/>
      <w:bCs/>
      <w:color w:val="000000"/>
      <w:sz w:val="20"/>
      <w:szCs w:val="20"/>
      <w:u w:val="none"/>
    </w:rPr>
  </w:style>
  <w:style w:type="character" w:customStyle="1" w:styleId="137">
    <w:name w:val="font01"/>
    <w:basedOn w:val="48"/>
    <w:autoRedefine/>
    <w:qFormat/>
    <w:uiPriority w:val="99"/>
    <w:rPr>
      <w:rFonts w:ascii="宋体" w:hAnsi="宋体" w:eastAsia="宋体" w:cs="宋体"/>
      <w:color w:val="000000"/>
      <w:sz w:val="20"/>
      <w:szCs w:val="20"/>
      <w:u w:val="none"/>
    </w:rPr>
  </w:style>
  <w:style w:type="character" w:customStyle="1" w:styleId="138">
    <w:name w:val="font21"/>
    <w:autoRedefine/>
    <w:qFormat/>
    <w:uiPriority w:val="99"/>
    <w:rPr>
      <w:rFonts w:ascii="宋体" w:hAnsi="宋体" w:eastAsia="宋体" w:cs="宋体"/>
      <w:color w:val="000000"/>
      <w:sz w:val="20"/>
      <w:szCs w:val="20"/>
      <w:u w:val="none"/>
    </w:rPr>
  </w:style>
  <w:style w:type="paragraph" w:customStyle="1" w:styleId="139">
    <w:name w:val="Table Paragraph"/>
    <w:basedOn w:val="1"/>
    <w:autoRedefine/>
    <w:qFormat/>
    <w:uiPriority w:val="99"/>
    <w:rPr>
      <w:rFonts w:ascii="宋体" w:hAnsi="宋体" w:cs="宋体"/>
      <w:lang w:val="zh-CN"/>
    </w:rPr>
  </w:style>
  <w:style w:type="character" w:customStyle="1" w:styleId="140">
    <w:name w:val="mini-outputtext1"/>
    <w:autoRedefine/>
    <w:qFormat/>
    <w:uiPriority w:val="99"/>
  </w:style>
  <w:style w:type="character" w:customStyle="1" w:styleId="141">
    <w:name w:val="font61"/>
    <w:basedOn w:val="48"/>
    <w:autoRedefine/>
    <w:qFormat/>
    <w:uiPriority w:val="99"/>
    <w:rPr>
      <w:rFonts w:ascii="微软雅黑" w:hAnsi="微软雅黑" w:eastAsia="微软雅黑" w:cs="微软雅黑"/>
      <w:color w:val="FF0000"/>
      <w:sz w:val="18"/>
      <w:szCs w:val="18"/>
      <w:u w:val="none"/>
    </w:rPr>
  </w:style>
  <w:style w:type="character" w:customStyle="1" w:styleId="142">
    <w:name w:val="font51"/>
    <w:autoRedefine/>
    <w:qFormat/>
    <w:uiPriority w:val="99"/>
    <w:rPr>
      <w:rFonts w:ascii="微软雅黑" w:hAnsi="微软雅黑" w:eastAsia="微软雅黑" w:cs="微软雅黑"/>
      <w:color w:val="000000"/>
      <w:sz w:val="18"/>
      <w:szCs w:val="18"/>
      <w:u w:val="none"/>
    </w:rPr>
  </w:style>
  <w:style w:type="character" w:customStyle="1" w:styleId="143">
    <w:name w:val="hover24"/>
    <w:autoRedefine/>
    <w:qFormat/>
    <w:uiPriority w:val="99"/>
  </w:style>
  <w:style w:type="character" w:customStyle="1" w:styleId="144">
    <w:name w:val="hover25"/>
    <w:autoRedefine/>
    <w:qFormat/>
    <w:uiPriority w:val="99"/>
    <w:rPr>
      <w:color w:val="auto"/>
    </w:rPr>
  </w:style>
  <w:style w:type="character" w:customStyle="1" w:styleId="145">
    <w:name w:val="c-icon28"/>
    <w:autoRedefine/>
    <w:qFormat/>
    <w:uiPriority w:val="99"/>
  </w:style>
  <w:style w:type="character" w:customStyle="1" w:styleId="146">
    <w:name w:val="font111"/>
    <w:autoRedefine/>
    <w:qFormat/>
    <w:uiPriority w:val="99"/>
    <w:rPr>
      <w:rFonts w:ascii="Calibri" w:hAnsi="Calibri" w:cs="Calibri"/>
      <w:color w:val="000000"/>
      <w:sz w:val="21"/>
      <w:szCs w:val="21"/>
      <w:u w:val="none"/>
    </w:rPr>
  </w:style>
  <w:style w:type="character" w:customStyle="1" w:styleId="147">
    <w:name w:val="font101"/>
    <w:autoRedefine/>
    <w:qFormat/>
    <w:uiPriority w:val="99"/>
    <w:rPr>
      <w:rFonts w:ascii="宋体" w:hAnsi="宋体" w:eastAsia="宋体" w:cs="宋体"/>
      <w:color w:val="000000"/>
      <w:sz w:val="21"/>
      <w:szCs w:val="21"/>
      <w:u w:val="none"/>
    </w:rPr>
  </w:style>
  <w:style w:type="character" w:customStyle="1" w:styleId="148">
    <w:name w:val="font81"/>
    <w:autoRedefine/>
    <w:qFormat/>
    <w:uiPriority w:val="99"/>
    <w:rPr>
      <w:rFonts w:ascii="宋体" w:hAnsi="宋体" w:eastAsia="宋体" w:cs="宋体"/>
      <w:b/>
      <w:bCs/>
      <w:color w:val="000000"/>
      <w:sz w:val="36"/>
      <w:szCs w:val="36"/>
      <w:u w:val="none"/>
    </w:rPr>
  </w:style>
  <w:style w:type="character" w:customStyle="1" w:styleId="149">
    <w:name w:val="font71"/>
    <w:basedOn w:val="48"/>
    <w:autoRedefine/>
    <w:qFormat/>
    <w:uiPriority w:val="99"/>
    <w:rPr>
      <w:rFonts w:ascii="宋体" w:hAnsi="宋体" w:eastAsia="宋体" w:cs="宋体"/>
      <w:b/>
      <w:bCs/>
      <w:color w:val="000000"/>
      <w:sz w:val="28"/>
      <w:szCs w:val="28"/>
      <w:u w:val="none"/>
    </w:rPr>
  </w:style>
  <w:style w:type="character" w:customStyle="1" w:styleId="150">
    <w:name w:val="font201"/>
    <w:autoRedefine/>
    <w:qFormat/>
    <w:uiPriority w:val="99"/>
    <w:rPr>
      <w:rFonts w:ascii="Helvetica" w:hAnsi="Helvetica" w:eastAsia="Times New Roman" w:cs="Helvetica"/>
      <w:color w:val="000000"/>
      <w:sz w:val="18"/>
      <w:szCs w:val="18"/>
      <w:u w:val="none"/>
    </w:rPr>
  </w:style>
  <w:style w:type="character" w:customStyle="1" w:styleId="151">
    <w:name w:val="font212"/>
    <w:autoRedefine/>
    <w:qFormat/>
    <w:uiPriority w:val="99"/>
    <w:rPr>
      <w:rFonts w:ascii="宋体" w:hAnsi="宋体" w:eastAsia="宋体" w:cs="宋体"/>
      <w:color w:val="000000"/>
      <w:sz w:val="18"/>
      <w:szCs w:val="18"/>
      <w:u w:val="none"/>
    </w:rPr>
  </w:style>
  <w:style w:type="character" w:customStyle="1" w:styleId="152">
    <w:name w:val="font191"/>
    <w:autoRedefine/>
    <w:qFormat/>
    <w:uiPriority w:val="99"/>
    <w:rPr>
      <w:rFonts w:ascii="等线" w:hAnsi="等线" w:eastAsia="等线" w:cs="等线"/>
      <w:color w:val="000000"/>
      <w:sz w:val="21"/>
      <w:szCs w:val="21"/>
      <w:u w:val="none"/>
    </w:rPr>
  </w:style>
  <w:style w:type="character" w:customStyle="1" w:styleId="153">
    <w:name w:val="font221"/>
    <w:autoRedefine/>
    <w:qFormat/>
    <w:uiPriority w:val="99"/>
    <w:rPr>
      <w:rFonts w:ascii="宋体" w:hAnsi="宋体" w:eastAsia="宋体" w:cs="宋体"/>
      <w:color w:val="000000"/>
      <w:sz w:val="18"/>
      <w:szCs w:val="18"/>
      <w:u w:val="none"/>
    </w:rPr>
  </w:style>
  <w:style w:type="character" w:customStyle="1" w:styleId="154">
    <w:name w:val="font151"/>
    <w:autoRedefine/>
    <w:qFormat/>
    <w:uiPriority w:val="99"/>
    <w:rPr>
      <w:rFonts w:ascii="宋体" w:hAnsi="宋体" w:eastAsia="宋体" w:cs="宋体"/>
      <w:b/>
      <w:bCs/>
      <w:color w:val="000000"/>
      <w:sz w:val="36"/>
      <w:szCs w:val="36"/>
      <w:u w:val="none"/>
    </w:rPr>
  </w:style>
  <w:style w:type="character" w:customStyle="1" w:styleId="155">
    <w:name w:val="font41"/>
    <w:autoRedefine/>
    <w:qFormat/>
    <w:uiPriority w:val="99"/>
    <w:rPr>
      <w:rFonts w:ascii="宋体" w:hAnsi="宋体" w:eastAsia="宋体" w:cs="宋体"/>
      <w:color w:val="000000"/>
      <w:sz w:val="20"/>
      <w:szCs w:val="20"/>
      <w:u w:val="none"/>
    </w:rPr>
  </w:style>
  <w:style w:type="paragraph" w:customStyle="1" w:styleId="156">
    <w:name w:val="List Paragraph1"/>
    <w:basedOn w:val="1"/>
    <w:autoRedefine/>
    <w:qFormat/>
    <w:uiPriority w:val="99"/>
    <w:pPr>
      <w:ind w:firstLine="420" w:firstLineChars="200"/>
    </w:pPr>
    <w:rPr>
      <w:rFonts w:ascii="Calibri" w:hAnsi="Calibri" w:cs="Calibri"/>
    </w:rPr>
  </w:style>
  <w:style w:type="paragraph" w:customStyle="1" w:styleId="157">
    <w:name w:val="Body Text First Indent 21"/>
    <w:basedOn w:val="158"/>
    <w:autoRedefine/>
    <w:qFormat/>
    <w:uiPriority w:val="99"/>
    <w:pPr>
      <w:ind w:firstLine="420" w:firstLineChars="200"/>
    </w:pPr>
  </w:style>
  <w:style w:type="paragraph" w:customStyle="1" w:styleId="158">
    <w:name w:val="Body Text Indent1"/>
    <w:basedOn w:val="1"/>
    <w:autoRedefine/>
    <w:qFormat/>
    <w:uiPriority w:val="99"/>
    <w:pPr>
      <w:ind w:left="420" w:leftChars="200"/>
    </w:pPr>
  </w:style>
  <w:style w:type="paragraph" w:customStyle="1" w:styleId="159">
    <w:name w:val="Table Text"/>
    <w:autoRedefine/>
    <w:qFormat/>
    <w:uiPriority w:val="99"/>
    <w:pPr>
      <w:suppressAutoHyphens/>
      <w:snapToGrid w:val="0"/>
      <w:spacing w:before="80" w:after="80"/>
    </w:pPr>
    <w:rPr>
      <w:rFonts w:ascii="Arial" w:hAnsi="Arial" w:eastAsia="宋体" w:cs="Arial"/>
      <w:kern w:val="1"/>
      <w:sz w:val="18"/>
      <w:szCs w:val="18"/>
      <w:lang w:val="en-US" w:eastAsia="zh-CN" w:bidi="ar-SA"/>
    </w:rPr>
  </w:style>
  <w:style w:type="paragraph" w:customStyle="1" w:styleId="160">
    <w:name w:val="GW-正文"/>
    <w:basedOn w:val="1"/>
    <w:autoRedefine/>
    <w:qFormat/>
    <w:uiPriority w:val="99"/>
    <w:pPr>
      <w:spacing w:line="360" w:lineRule="auto"/>
      <w:ind w:firstLine="200" w:firstLineChars="200"/>
    </w:pPr>
    <w:rPr>
      <w:rFonts w:eastAsia="仿宋_GB2312"/>
      <w:sz w:val="24"/>
      <w:szCs w:val="24"/>
    </w:rPr>
  </w:style>
  <w:style w:type="paragraph" w:customStyle="1" w:styleId="161">
    <w:name w:val="正文格式"/>
    <w:basedOn w:val="16"/>
    <w:autoRedefine/>
    <w:qFormat/>
    <w:uiPriority w:val="99"/>
    <w:pPr>
      <w:spacing w:line="400" w:lineRule="atLeast"/>
      <w:ind w:firstLine="482"/>
      <w:textAlignment w:val="baseline"/>
    </w:pPr>
    <w:rPr>
      <w:sz w:val="24"/>
      <w:szCs w:val="24"/>
    </w:rPr>
  </w:style>
  <w:style w:type="character" w:customStyle="1" w:styleId="162">
    <w:name w:val="font131"/>
    <w:basedOn w:val="48"/>
    <w:autoRedefine/>
    <w:qFormat/>
    <w:uiPriority w:val="99"/>
    <w:rPr>
      <w:rFonts w:ascii="等线" w:hAnsi="等线" w:eastAsia="等线" w:cs="等线"/>
      <w:color w:val="000000"/>
      <w:sz w:val="22"/>
      <w:szCs w:val="22"/>
      <w:u w:val="none"/>
    </w:rPr>
  </w:style>
  <w:style w:type="character" w:customStyle="1" w:styleId="163">
    <w:name w:val="font171"/>
    <w:basedOn w:val="48"/>
    <w:autoRedefine/>
    <w:qFormat/>
    <w:uiPriority w:val="99"/>
    <w:rPr>
      <w:rFonts w:ascii="宋体" w:hAnsi="宋体" w:eastAsia="宋体" w:cs="宋体"/>
      <w:color w:val="000000"/>
      <w:sz w:val="24"/>
      <w:szCs w:val="24"/>
      <w:u w:val="none"/>
    </w:rPr>
  </w:style>
  <w:style w:type="character" w:customStyle="1" w:styleId="164">
    <w:name w:val="c-icon30"/>
    <w:basedOn w:val="48"/>
    <w:autoRedefine/>
    <w:qFormat/>
    <w:uiPriority w:val="99"/>
  </w:style>
  <w:style w:type="character" w:customStyle="1" w:styleId="165">
    <w:name w:val="hover23"/>
    <w:basedOn w:val="48"/>
    <w:autoRedefine/>
    <w:qFormat/>
    <w:uiPriority w:val="99"/>
  </w:style>
  <w:style w:type="character" w:customStyle="1" w:styleId="166">
    <w:name w:val="hover26"/>
    <w:basedOn w:val="48"/>
    <w:autoRedefine/>
    <w:qFormat/>
    <w:uiPriority w:val="99"/>
    <w:rPr>
      <w:color w:val="auto"/>
      <w:shd w:val="clear" w:color="auto" w:fill="auto"/>
    </w:rPr>
  </w:style>
  <w:style w:type="character" w:customStyle="1" w:styleId="167">
    <w:name w:val="first-child"/>
    <w:basedOn w:val="48"/>
    <w:qFormat/>
    <w:uiPriority w:val="0"/>
  </w:style>
  <w:style w:type="character" w:customStyle="1" w:styleId="168">
    <w:name w:val="layui-this"/>
    <w:basedOn w:val="48"/>
    <w:autoRedefine/>
    <w:qFormat/>
    <w:uiPriority w:val="0"/>
    <w:rPr>
      <w:bdr w:val="single" w:color="EEEEEE" w:sz="6" w:space="0"/>
      <w:shd w:val="clear" w:fill="FFFFFF"/>
    </w:rPr>
  </w:style>
  <w:style w:type="paragraph" w:customStyle="1" w:styleId="169">
    <w:name w:val="正文_1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0">
    <w:name w:val="正文（缩进）"/>
    <w:basedOn w:val="1"/>
    <w:autoRedefine/>
    <w:qFormat/>
    <w:uiPriority w:val="0"/>
    <w:pPr>
      <w:spacing w:beforeLines="50" w:afterLines="50"/>
      <w:ind w:firstLine="480"/>
    </w:pPr>
    <w:rPr>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68</Pages>
  <Words>5744</Words>
  <Characters>6381</Characters>
  <Lines>0</Lines>
  <Paragraphs>0</Paragraphs>
  <TotalTime>1</TotalTime>
  <ScaleCrop>false</ScaleCrop>
  <LinksUpToDate>false</LinksUpToDate>
  <CharactersWithSpaces>6632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2020-11-26T01:49:00Z</dcterms:created>
  <dc:creator>USER</dc:creator>
  <cp:lastModifiedBy>、Perfume</cp:lastModifiedBy>
  <cp:lastPrinted>2022-09-28T09:04:00Z</cp:lastPrinted>
  <dcterms:modified xsi:type="dcterms:W3CDTF">2024-11-08T09:28:10Z</dcterms:modified>
  <dc:title>政协统办一号楼</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0673F3AD26CF4DD397594769B87D21DF_13</vt:lpwstr>
  </property>
</Properties>
</file>