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212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9"/>
        <w:rPr>
          <w:rFonts w:hint="eastAsia" w:asciiTheme="minorEastAsia" w:hAnsiTheme="minorEastAsia" w:eastAsiaTheme="minorEastAsia" w:cstheme="minorEastAsia"/>
          <w:b/>
          <w:bCs/>
          <w:i w:val="0"/>
          <w:iCs w:val="0"/>
          <w:caps w:val="0"/>
          <w:color w:val="000000"/>
          <w:spacing w:val="0"/>
          <w:kern w:val="0"/>
          <w:sz w:val="52"/>
          <w:szCs w:val="52"/>
          <w:lang w:val="en-US" w:eastAsia="zh-CN" w:bidi="ar"/>
        </w:rPr>
      </w:pPr>
    </w:p>
    <w:p w14:paraId="3E4391F0">
      <w:pPr>
        <w:pageBreakBefore w:val="0"/>
        <w:wordWrap/>
        <w:overflowPunct/>
        <w:topLinePunct w:val="0"/>
        <w:bidi w:val="0"/>
        <w:spacing w:beforeAutospacing="0" w:afterAutospacing="0" w:line="360" w:lineRule="auto"/>
        <w:ind w:left="0" w:leftChars="0" w:right="0" w:rightChars="0" w:firstLine="0" w:firstLineChars="0"/>
        <w:jc w:val="center"/>
        <w:outlineLvl w:val="0"/>
        <w:rPr>
          <w:rFonts w:hint="default" w:asciiTheme="minorEastAsia" w:hAnsiTheme="minorEastAsia" w:eastAsiaTheme="minorEastAsia" w:cstheme="minorEastAsia"/>
          <w:b/>
          <w:bCs/>
          <w:i w:val="0"/>
          <w:iCs w:val="0"/>
          <w:caps w:val="0"/>
          <w:color w:val="000000"/>
          <w:spacing w:val="0"/>
          <w:kern w:val="0"/>
          <w:sz w:val="52"/>
          <w:szCs w:val="52"/>
          <w:lang w:val="en-US" w:eastAsia="zh-CN" w:bidi="ar"/>
        </w:rPr>
      </w:pPr>
      <w:r>
        <w:rPr>
          <w:rFonts w:hint="eastAsia" w:asciiTheme="minorEastAsia" w:hAnsiTheme="minorEastAsia" w:eastAsiaTheme="minorEastAsia" w:cstheme="minorEastAsia"/>
          <w:b/>
          <w:bCs/>
          <w:i w:val="0"/>
          <w:iCs w:val="0"/>
          <w:caps w:val="0"/>
          <w:color w:val="000000"/>
          <w:spacing w:val="0"/>
          <w:kern w:val="0"/>
          <w:sz w:val="52"/>
          <w:szCs w:val="52"/>
          <w:lang w:val="en-US" w:eastAsia="zh-CN" w:bidi="ar"/>
        </w:rPr>
        <w:t>康县电商人才培育项目第二次</w:t>
      </w:r>
    </w:p>
    <w:p w14:paraId="6714E13B">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573B7E5C">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5F0A0F30">
      <w:pPr>
        <w:pageBreakBefore w:val="0"/>
        <w:wordWrap/>
        <w:overflowPunct/>
        <w:topLinePunct w:val="0"/>
        <w:bidi w:val="0"/>
        <w:spacing w:beforeAutospacing="0" w:afterAutospacing="0" w:line="360" w:lineRule="auto"/>
        <w:ind w:left="0" w:leftChars="0" w:right="0" w:rightChars="0" w:firstLine="0" w:firstLineChars="0"/>
        <w:jc w:val="both"/>
        <w:rPr>
          <w:rFonts w:hint="default"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3B2A3B25">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38903152">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0"/>
          <w:position w:val="0"/>
          <w:sz w:val="32"/>
          <w:szCs w:val="32"/>
        </w:rPr>
        <mc:AlternateContent>
          <mc:Choice Requires="wps">
            <w:drawing>
              <wp:anchor distT="0" distB="0" distL="114300" distR="114300" simplePos="0" relativeHeight="251660288" behindDoc="0" locked="0" layoutInCell="1" allowOverlap="1">
                <wp:simplePos x="0" y="0"/>
                <wp:positionH relativeFrom="column">
                  <wp:posOffset>407670</wp:posOffset>
                </wp:positionH>
                <wp:positionV relativeFrom="paragraph">
                  <wp:posOffset>317500</wp:posOffset>
                </wp:positionV>
                <wp:extent cx="454850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5485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09ECB">
                            <w:pPr>
                              <w:ind w:left="0" w:leftChars="0" w:right="0" w:rightChars="0" w:firstLine="0" w:firstLineChars="0"/>
                              <w:jc w:val="center"/>
                              <w:rPr>
                                <w:rFonts w:hint="eastAsia" w:ascii="宋体" w:hAnsi="宋体" w:eastAsia="宋体" w:cs="宋体"/>
                                <w:b/>
                                <w:bCs/>
                                <w:color w:val="000000" w:themeColor="text1"/>
                                <w:w w:val="10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kern w:val="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t>竞争性磋商文件</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2.1pt;margin-top:25pt;height:144pt;width:358.15pt;z-index:251660288;mso-width-relative:page;mso-height-relative:page;" filled="f" stroked="f" coordsize="21600,21600" o:gfxdata="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afEE3VAAAACQEAAA8AAAAAAAAAAQAgAAAAIgAAAGRycy9k&#10;b3ducmV2LnhtbFBLAQIUABQAAAAIAIdO4kAIz2KfPgIAAGcEAAAOAAAAAAAAAAEAIAAAACQBAABk&#10;cnMvZTJvRG9jLnhtbFBLBQYAAAAABgAGAFkBAADUBQAAAAA=&#10;">
                <v:fill on="f" focussize="0,0"/>
                <v:stroke on="f" weight="0.5pt"/>
                <v:imagedata o:title=""/>
                <o:lock v:ext="edit" aspectratio="f"/>
                <v:textbox style="mso-fit-shape-to-text:t;">
                  <w:txbxContent>
                    <w:p w14:paraId="05509ECB">
                      <w:pPr>
                        <w:ind w:left="0" w:leftChars="0" w:right="0" w:rightChars="0" w:firstLine="0" w:firstLineChars="0"/>
                        <w:jc w:val="center"/>
                        <w:rPr>
                          <w:rFonts w:hint="eastAsia" w:ascii="宋体" w:hAnsi="宋体" w:eastAsia="宋体" w:cs="宋体"/>
                          <w:b/>
                          <w:bCs/>
                          <w:color w:val="000000" w:themeColor="text1"/>
                          <w:w w:val="10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kern w:val="0"/>
                          <w:sz w:val="96"/>
                          <w:szCs w:val="96"/>
                          <w:lang w:val="en-US" w:eastAsia="zh-CN"/>
                          <w14:shadow w14:blurRad="38100" w14:dist="19050" w14:dir="2700000" w14:sx="100000" w14:sy="100000" w14:kx="0" w14:ky="0" w14:algn="tl">
                            <w14:schemeClr w14:val="dk1">
                              <w14:alpha w14:val="60000"/>
                            </w14:schemeClr>
                          </w14:shadow>
                          <w14:textFill>
                            <w14:solidFill>
                              <w14:schemeClr w14:val="tx1"/>
                            </w14:solidFill>
                          </w14:textFill>
                        </w:rPr>
                        <w:t>竞争性磋商文件</w:t>
                      </w:r>
                    </w:p>
                  </w:txbxContent>
                </v:textbox>
              </v:shape>
            </w:pict>
          </mc:Fallback>
        </mc:AlternateContent>
      </w:r>
    </w:p>
    <w:p w14:paraId="2D8A21ED">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0C709607">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6C6E8A54">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2E37A62F">
      <w:pPr>
        <w:pageBreakBefore w:val="0"/>
        <w:wordWrap/>
        <w:overflowPunct/>
        <w:topLinePunct w:val="0"/>
        <w:bidi w:val="0"/>
        <w:spacing w:beforeAutospacing="0" w:afterAutospacing="0" w:line="360" w:lineRule="auto"/>
        <w:ind w:left="0" w:leftChars="0" w:right="0" w:rightChars="0" w:firstLine="0" w:firstLineChars="0"/>
        <w:jc w:val="both"/>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356ABE0D">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65EF0DB9">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198C01CE">
      <w:pPr>
        <w:pStyle w:val="7"/>
        <w:rPr>
          <w:rFonts w:hint="eastAsia"/>
          <w:lang w:val="en-US" w:eastAsia="zh-CN"/>
        </w:rPr>
      </w:pPr>
    </w:p>
    <w:p w14:paraId="5E1FFDE6">
      <w:pPr>
        <w:pageBreakBefore w:val="0"/>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32"/>
          <w:szCs w:val="32"/>
          <w:lang w:val="en-US" w:eastAsia="zh-CN"/>
          <w14:textOutline w14:w="10189" w14:cap="flat" w14:cmpd="sng">
            <w14:solidFill>
              <w14:srgbClr w14:val="000000"/>
            </w14:solidFill>
            <w14:prstDash w14:val="solid"/>
            <w14:miter w14:val="0"/>
          </w14:textOutline>
        </w:rPr>
      </w:pPr>
    </w:p>
    <w:p w14:paraId="5C15BA6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0"/>
        <w:rPr>
          <w:rFonts w:hint="default" w:asciiTheme="minorEastAsia" w:hAnsiTheme="minorEastAsia" w:eastAsiaTheme="minorEastAsia" w:cstheme="minorEastAsia"/>
          <w:b/>
          <w:bCs/>
          <w:i w:val="0"/>
          <w:iCs w:val="0"/>
          <w:caps w:val="0"/>
          <w:color w:val="000000"/>
          <w:spacing w:val="0"/>
          <w:kern w:val="0"/>
          <w:sz w:val="36"/>
          <w:szCs w:val="36"/>
          <w:lang w:val="en-US" w:eastAsia="zh-CN" w:bidi="ar"/>
        </w:rPr>
      </w:pPr>
      <w:bookmarkStart w:id="0" w:name="_Toc16517"/>
      <w:r>
        <w:rPr>
          <w:rFonts w:hint="eastAsia" w:asciiTheme="minorEastAsia" w:hAnsiTheme="minorEastAsia" w:eastAsiaTheme="minorEastAsia" w:cstheme="minorEastAsia"/>
          <w:b/>
          <w:bCs/>
          <w:i w:val="0"/>
          <w:iCs w:val="0"/>
          <w:caps w:val="0"/>
          <w:color w:val="000000"/>
          <w:spacing w:val="240"/>
          <w:kern w:val="0"/>
          <w:sz w:val="36"/>
          <w:szCs w:val="36"/>
          <w:fitText w:val="2160" w:id="1070941765"/>
          <w:lang w:val="en-US" w:eastAsia="zh-CN" w:bidi="ar"/>
        </w:rPr>
        <w:t>招标</w:t>
      </w:r>
      <w:r>
        <w:rPr>
          <w:rFonts w:hint="eastAsia" w:asciiTheme="minorEastAsia" w:hAnsiTheme="minorEastAsia" w:eastAsiaTheme="minorEastAsia" w:cstheme="minorEastAsia"/>
          <w:b/>
          <w:bCs/>
          <w:i w:val="0"/>
          <w:iCs w:val="0"/>
          <w:caps w:val="0"/>
          <w:color w:val="000000"/>
          <w:spacing w:val="240"/>
          <w:kern w:val="0"/>
          <w:sz w:val="36"/>
          <w:szCs w:val="36"/>
          <w:highlight w:val="none"/>
          <w:fitText w:val="2160" w:id="1070941765"/>
          <w:lang w:val="en-US" w:eastAsia="zh-CN" w:bidi="ar"/>
        </w:rPr>
        <w:t>编</w:t>
      </w:r>
      <w:r>
        <w:rPr>
          <w:rFonts w:hint="eastAsia" w:asciiTheme="minorEastAsia" w:hAnsiTheme="minorEastAsia" w:eastAsiaTheme="minorEastAsia" w:cstheme="minorEastAsia"/>
          <w:b/>
          <w:bCs/>
          <w:i w:val="0"/>
          <w:iCs w:val="0"/>
          <w:caps w:val="0"/>
          <w:color w:val="000000"/>
          <w:spacing w:val="0"/>
          <w:kern w:val="0"/>
          <w:sz w:val="36"/>
          <w:szCs w:val="36"/>
          <w:highlight w:val="none"/>
          <w:fitText w:val="2160" w:id="1070941765"/>
          <w:lang w:val="en-US" w:eastAsia="zh-CN" w:bidi="ar"/>
        </w:rPr>
        <w:t>号</w:t>
      </w:r>
      <w:r>
        <w:rPr>
          <w:rFonts w:hint="eastAsia" w:asciiTheme="minorEastAsia" w:hAnsiTheme="minorEastAsia" w:eastAsiaTheme="minorEastAsia" w:cstheme="minorEastAsia"/>
          <w:b/>
          <w:bCs/>
          <w:i w:val="0"/>
          <w:iCs w:val="0"/>
          <w:caps w:val="0"/>
          <w:color w:val="000000"/>
          <w:spacing w:val="0"/>
          <w:kern w:val="0"/>
          <w:sz w:val="36"/>
          <w:szCs w:val="36"/>
          <w:highlight w:val="none"/>
          <w:lang w:val="en-US" w:eastAsia="zh-CN" w:bidi="ar"/>
        </w:rPr>
        <w:t>：</w:t>
      </w:r>
      <w:r>
        <w:rPr>
          <w:rFonts w:hint="eastAsia" w:asciiTheme="minorEastAsia" w:hAnsiTheme="minorEastAsia" w:eastAsiaTheme="minorEastAsia" w:cstheme="minorEastAsia"/>
          <w:b/>
          <w:bCs/>
          <w:i w:val="0"/>
          <w:iCs w:val="0"/>
          <w:caps w:val="0"/>
          <w:color w:val="000000"/>
          <w:spacing w:val="0"/>
          <w:kern w:val="0"/>
          <w:sz w:val="36"/>
          <w:szCs w:val="36"/>
          <w:highlight w:val="none"/>
          <w:u w:val="single"/>
          <w:lang w:val="en-US" w:eastAsia="zh-CN" w:bidi="ar"/>
        </w:rPr>
        <w:t xml:space="preserve"> </w:t>
      </w:r>
      <w:bookmarkEnd w:id="0"/>
      <w:r>
        <w:rPr>
          <w:rFonts w:hint="eastAsia" w:asciiTheme="minorEastAsia" w:hAnsiTheme="minorEastAsia" w:eastAsiaTheme="minorEastAsia" w:cstheme="minorEastAsia"/>
          <w:b/>
          <w:bCs/>
          <w:i w:val="0"/>
          <w:iCs w:val="0"/>
          <w:caps w:val="0"/>
          <w:color w:val="000000"/>
          <w:spacing w:val="0"/>
          <w:kern w:val="0"/>
          <w:sz w:val="36"/>
          <w:szCs w:val="36"/>
          <w:highlight w:val="none"/>
          <w:u w:val="single"/>
          <w:lang w:val="en-US" w:eastAsia="zh-CN" w:bidi="ar"/>
        </w:rPr>
        <w:t xml:space="preserve">E6212000612014280    </w:t>
      </w:r>
    </w:p>
    <w:p w14:paraId="1EFE2EC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9"/>
        <w:rPr>
          <w:rFonts w:hint="eastAsia" w:asciiTheme="minorEastAsia" w:hAnsiTheme="minorEastAsia" w:eastAsiaTheme="minorEastAsia" w:cstheme="minorEastAsia"/>
          <w:b/>
          <w:bCs/>
          <w:i w:val="0"/>
          <w:iCs w:val="0"/>
          <w:caps w:val="0"/>
          <w:color w:val="000000"/>
          <w:spacing w:val="0"/>
          <w:kern w:val="0"/>
          <w:sz w:val="36"/>
          <w:szCs w:val="36"/>
          <w:lang w:val="en-US" w:eastAsia="zh-CN" w:bidi="ar"/>
        </w:rPr>
      </w:pPr>
      <w:r>
        <w:rPr>
          <w:rFonts w:hint="eastAsia" w:asciiTheme="minorEastAsia" w:hAnsiTheme="minorEastAsia" w:eastAsiaTheme="minorEastAsia" w:cstheme="minorEastAsia"/>
          <w:b/>
          <w:bCs/>
          <w:i w:val="0"/>
          <w:iCs w:val="0"/>
          <w:caps w:val="0"/>
          <w:color w:val="000000"/>
          <w:spacing w:val="90"/>
          <w:kern w:val="0"/>
          <w:sz w:val="36"/>
          <w:szCs w:val="36"/>
          <w:fitText w:val="2160" w:id="1708611335"/>
          <w:lang w:val="en-US" w:eastAsia="zh-CN" w:bidi="ar"/>
        </w:rPr>
        <w:t>采购人名</w:t>
      </w:r>
      <w:r>
        <w:rPr>
          <w:rFonts w:hint="eastAsia" w:asciiTheme="minorEastAsia" w:hAnsiTheme="minorEastAsia" w:eastAsiaTheme="minorEastAsia" w:cstheme="minorEastAsia"/>
          <w:b/>
          <w:bCs/>
          <w:i w:val="0"/>
          <w:iCs w:val="0"/>
          <w:caps w:val="0"/>
          <w:color w:val="000000"/>
          <w:spacing w:val="0"/>
          <w:kern w:val="0"/>
          <w:sz w:val="36"/>
          <w:szCs w:val="36"/>
          <w:fitText w:val="2160" w:id="1708611335"/>
          <w:lang w:val="en-US" w:eastAsia="zh-CN" w:bidi="ar"/>
        </w:rPr>
        <w:t>称</w:t>
      </w:r>
      <w:r>
        <w:rPr>
          <w:rFonts w:hint="eastAsia" w:asciiTheme="minorEastAsia" w:hAnsiTheme="minorEastAsia" w:eastAsiaTheme="minorEastAsia" w:cstheme="minorEastAsia"/>
          <w:b/>
          <w:bCs/>
          <w:i w:val="0"/>
          <w:iCs w:val="0"/>
          <w:caps w:val="0"/>
          <w:color w:val="000000"/>
          <w:spacing w:val="0"/>
          <w:kern w:val="0"/>
          <w:sz w:val="36"/>
          <w:szCs w:val="36"/>
          <w:lang w:val="en-US" w:eastAsia="zh-CN" w:bidi="ar"/>
        </w:rPr>
        <w:t>：</w:t>
      </w:r>
      <w:r>
        <w:rPr>
          <w:rFonts w:hint="eastAsia" w:asciiTheme="minorEastAsia" w:hAnsiTheme="minorEastAsia" w:eastAsiaTheme="minorEastAsia" w:cstheme="minorEastAsia"/>
          <w:b/>
          <w:bCs/>
          <w:i w:val="0"/>
          <w:iCs w:val="0"/>
          <w:caps w:val="0"/>
          <w:color w:val="000000"/>
          <w:spacing w:val="0"/>
          <w:kern w:val="0"/>
          <w:sz w:val="36"/>
          <w:szCs w:val="36"/>
          <w:u w:val="single"/>
          <w:lang w:val="en-US" w:eastAsia="zh-CN" w:bidi="ar"/>
        </w:rPr>
        <w:t xml:space="preserve">  康县电子商务中心           </w:t>
      </w:r>
    </w:p>
    <w:p w14:paraId="135A92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9"/>
        <w:rPr>
          <w:rFonts w:hint="eastAsia" w:asciiTheme="minorEastAsia" w:hAnsiTheme="minorEastAsia" w:eastAsiaTheme="minorEastAsia" w:cstheme="minorEastAsia"/>
          <w:b/>
          <w:bCs/>
          <w:i w:val="0"/>
          <w:iCs w:val="0"/>
          <w:caps w:val="0"/>
          <w:color w:val="000000"/>
          <w:spacing w:val="0"/>
          <w:kern w:val="0"/>
          <w:sz w:val="36"/>
          <w:szCs w:val="36"/>
          <w:lang w:val="en-US" w:eastAsia="zh-CN" w:bidi="ar"/>
        </w:rPr>
      </w:pPr>
      <w:r>
        <w:rPr>
          <w:rFonts w:hint="eastAsia" w:asciiTheme="minorEastAsia" w:hAnsiTheme="minorEastAsia" w:eastAsiaTheme="minorEastAsia" w:cstheme="minorEastAsia"/>
          <w:b/>
          <w:bCs/>
          <w:i w:val="0"/>
          <w:iCs w:val="0"/>
          <w:caps w:val="0"/>
          <w:color w:val="000000"/>
          <w:spacing w:val="0"/>
          <w:kern w:val="0"/>
          <w:sz w:val="36"/>
          <w:szCs w:val="36"/>
          <w:lang w:val="en-US" w:eastAsia="zh-CN" w:bidi="ar"/>
        </w:rPr>
        <w:t>招标代理机构：</w:t>
      </w:r>
      <w:r>
        <w:rPr>
          <w:rFonts w:hint="eastAsia" w:asciiTheme="minorEastAsia" w:hAnsiTheme="minorEastAsia" w:eastAsiaTheme="minorEastAsia" w:cstheme="minorEastAsia"/>
          <w:b/>
          <w:bCs/>
          <w:i w:val="0"/>
          <w:iCs w:val="0"/>
          <w:caps w:val="0"/>
          <w:color w:val="000000"/>
          <w:spacing w:val="0"/>
          <w:kern w:val="0"/>
          <w:sz w:val="36"/>
          <w:szCs w:val="36"/>
          <w:u w:val="single"/>
          <w:lang w:val="en-US" w:eastAsia="zh-CN" w:bidi="ar"/>
        </w:rPr>
        <w:t xml:space="preserve"> 甘肃正荣项目管理咨询有限公司 </w:t>
      </w:r>
    </w:p>
    <w:p w14:paraId="38C7CC2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eastAsia" w:asciiTheme="minorEastAsia" w:hAnsiTheme="minorEastAsia" w:eastAsiaTheme="minorEastAsia" w:cstheme="minorEastAsia"/>
          <w:kern w:val="0"/>
          <w:position w:val="0"/>
          <w:sz w:val="40"/>
          <w:szCs w:val="40"/>
          <w:lang w:val="en-US" w:eastAsia="zh-CN"/>
          <w14:textOutline w14:w="10189"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3"/>
          <w:kern w:val="0"/>
          <w:position w:val="0"/>
          <w:sz w:val="40"/>
          <w:szCs w:val="40"/>
          <w:fitText w:val="3600" w:id="485782620"/>
          <w:lang w:val="en-US" w:eastAsia="zh-CN"/>
          <w14:textOutline w14:w="10189" w14:cap="flat" w14:cmpd="sng">
            <w14:solidFill>
              <w14:srgbClr w14:val="000000"/>
            </w14:solidFill>
            <w14:prstDash w14:val="solid"/>
            <w14:miter w14:val="0"/>
          </w14:textOutline>
        </w:rPr>
        <w:t>二〇二四年十</w:t>
      </w:r>
      <w:r>
        <w:rPr>
          <w:rFonts w:hint="eastAsia" w:asciiTheme="minorEastAsia" w:hAnsiTheme="minorEastAsia" w:eastAsiaTheme="minorEastAsia" w:cstheme="minorEastAsia"/>
          <w:spacing w:val="2"/>
          <w:kern w:val="0"/>
          <w:position w:val="0"/>
          <w:sz w:val="40"/>
          <w:szCs w:val="40"/>
          <w:fitText w:val="3600" w:id="485782620"/>
          <w:lang w:val="en-US" w:eastAsia="zh-CN"/>
          <w14:textOutline w14:w="10189" w14:cap="flat" w14:cmpd="sng">
            <w14:solidFill>
              <w14:srgbClr w14:val="000000"/>
            </w14:solidFill>
            <w14:prstDash w14:val="solid"/>
            <w14:miter w14:val="0"/>
          </w14:textOutline>
        </w:rPr>
        <w:t>月</w:t>
      </w:r>
    </w:p>
    <w:p w14:paraId="6ECE5517">
      <w:pPr>
        <w:pStyle w:val="6"/>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firstLine="0" w:firstLineChars="0"/>
        <w:textAlignment w:val="baseline"/>
        <w:rPr>
          <w:rFonts w:hint="eastAsia" w:asciiTheme="minorEastAsia" w:hAnsiTheme="minorEastAsia" w:eastAsiaTheme="minorEastAsia" w:cstheme="minorEastAsia"/>
          <w:spacing w:val="0"/>
          <w:sz w:val="36"/>
          <w:szCs w:val="36"/>
          <w:lang w:val="en-US" w:eastAsia="zh-CN"/>
        </w:rPr>
        <w:sectPr>
          <w:headerReference r:id="rId6" w:type="first"/>
          <w:headerReference r:id="rId5" w:type="default"/>
          <w:pgSz w:w="11905" w:h="16839"/>
          <w:pgMar w:top="1440" w:right="1800" w:bottom="1440" w:left="1800" w:header="850" w:footer="992" w:gutter="0"/>
          <w:pgNumType w:fmt="decimal" w:start="1"/>
          <w:cols w:space="720" w:num="1"/>
          <w:titlePg/>
        </w:sectPr>
      </w:pPr>
    </w:p>
    <w:sdt>
      <w:sdtPr>
        <w:rPr>
          <w:rFonts w:ascii="宋体" w:hAnsi="宋体" w:eastAsia="宋体" w:cs="Arial"/>
          <w:snapToGrid w:val="0"/>
          <w:color w:val="000000"/>
          <w:kern w:val="0"/>
          <w:sz w:val="21"/>
          <w:szCs w:val="21"/>
        </w:rPr>
        <w:id w:val="147465050"/>
        <w15:color w:val="DBDBDB"/>
        <w:docPartObj>
          <w:docPartGallery w:val="Table of Contents"/>
          <w:docPartUnique/>
        </w:docPartObj>
      </w:sdtPr>
      <w:sdtEndPr>
        <w:rPr>
          <w:rFonts w:ascii="宋体" w:hAnsi="宋体" w:eastAsia="宋体" w:cs="Arial"/>
          <w:b/>
          <w:snapToGrid w:val="0"/>
          <w:color w:val="000000"/>
          <w:kern w:val="0"/>
          <w:sz w:val="21"/>
          <w:szCs w:val="21"/>
        </w:rPr>
      </w:sdtEndPr>
      <w:sdtContent>
        <w:p w14:paraId="7961B20D">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BCAE457">
          <w:pPr>
            <w:pStyle w:val="36"/>
            <w:tabs>
              <w:tab w:val="right" w:leader="dot" w:pos="8305"/>
            </w:tabs>
            <w:rPr>
              <w:b/>
            </w:rPr>
          </w:pPr>
          <w:r>
            <w:fldChar w:fldCharType="begin"/>
          </w:r>
          <w:r>
            <w:instrText xml:space="preserve">TOC \o "1-2" \h \u </w:instrText>
          </w:r>
          <w:r>
            <w:fldChar w:fldCharType="separate"/>
          </w:r>
        </w:p>
        <w:p w14:paraId="43578CF2">
          <w:pPr>
            <w:pStyle w:val="36"/>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_Toc15288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第一章 竞争性磋商公告</w:t>
          </w:r>
          <w:r>
            <w:rPr>
              <w:rFonts w:hint="eastAsia" w:ascii="宋体" w:hAnsi="宋体" w:eastAsia="宋体" w:cs="宋体"/>
              <w:b/>
              <w:sz w:val="24"/>
              <w:szCs w:val="24"/>
            </w:rPr>
            <w:tab/>
          </w:r>
          <w:r>
            <w:rPr>
              <w:rFonts w:hint="eastAsia" w:ascii="宋体" w:hAnsi="宋体" w:cs="宋体"/>
              <w:b/>
              <w:sz w:val="24"/>
              <w:szCs w:val="24"/>
              <w:lang w:val="en-US" w:eastAsia="zh-CN"/>
            </w:rPr>
            <w:t>5</w:t>
          </w:r>
          <w:r>
            <w:rPr>
              <w:rFonts w:hint="eastAsia" w:ascii="宋体" w:hAnsi="宋体" w:eastAsia="宋体" w:cs="宋体"/>
              <w:b/>
              <w:sz w:val="24"/>
              <w:szCs w:val="24"/>
            </w:rPr>
            <w:fldChar w:fldCharType="end"/>
          </w:r>
        </w:p>
        <w:p w14:paraId="3DFB011E">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_Toc9690 </w:instrText>
          </w:r>
          <w:r>
            <w:rPr>
              <w:rFonts w:hint="eastAsia" w:ascii="宋体" w:hAnsi="宋体" w:eastAsia="宋体" w:cs="宋体"/>
              <w:sz w:val="24"/>
              <w:szCs w:val="24"/>
            </w:rPr>
            <w:fldChar w:fldCharType="separate"/>
          </w:r>
          <w:r>
            <w:rPr>
              <w:rFonts w:hint="eastAsia" w:ascii="宋体" w:hAnsi="宋体" w:cs="宋体"/>
              <w:bCs/>
              <w:i w:val="0"/>
              <w:iCs w:val="0"/>
              <w:caps w:val="0"/>
              <w:snapToGrid w:val="0"/>
              <w:spacing w:val="0"/>
              <w:kern w:val="0"/>
              <w:sz w:val="24"/>
              <w:szCs w:val="24"/>
              <w:lang w:val="en-US" w:eastAsia="zh-CN" w:bidi="ar"/>
            </w:rPr>
            <w:t>康县电商人才培育项目</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14:paraId="2E1B4A9A">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_Toc14129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一、项目基本情况</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14:paraId="60608BC7">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_Toc11048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二、申请人的资格要求</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14:paraId="12E32103">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_Toc20926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三、获取采购文件</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14:paraId="7766DF1B">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_Toc10041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四、响应文件提交</w:t>
          </w:r>
          <w:r>
            <w:rPr>
              <w:rFonts w:hint="eastAsia" w:ascii="宋体" w:hAnsi="宋体" w:eastAsia="宋体" w:cs="宋体"/>
              <w:sz w:val="24"/>
              <w:szCs w:val="24"/>
            </w:rPr>
            <w:tab/>
          </w:r>
          <w:r>
            <w:rPr>
              <w:rFonts w:hint="eastAsia" w:ascii="宋体" w:hAnsi="宋体" w:cs="宋体"/>
              <w:sz w:val="24"/>
              <w:szCs w:val="24"/>
              <w:lang w:val="en-US" w:eastAsia="zh-CN"/>
            </w:rPr>
            <w:t>5</w:t>
          </w:r>
          <w:r>
            <w:rPr>
              <w:rFonts w:hint="eastAsia" w:ascii="宋体" w:hAnsi="宋体" w:eastAsia="宋体" w:cs="宋体"/>
              <w:sz w:val="24"/>
              <w:szCs w:val="24"/>
            </w:rPr>
            <w:fldChar w:fldCharType="end"/>
          </w:r>
        </w:p>
        <w:p w14:paraId="6BDC0B8B">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_Toc6407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五、开启</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p>
        <w:p w14:paraId="4893AB16">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_Toc17164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六、公告期限</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p>
        <w:p w14:paraId="5FA22E7F">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_Toc1052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七、其他补充事宜</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p>
        <w:p w14:paraId="0CF30EA0">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_Toc2883 </w:instrText>
          </w:r>
          <w:r>
            <w:rPr>
              <w:rFonts w:hint="eastAsia" w:ascii="宋体" w:hAnsi="宋体" w:eastAsia="宋体" w:cs="宋体"/>
              <w:sz w:val="24"/>
              <w:szCs w:val="24"/>
            </w:rPr>
            <w:fldChar w:fldCharType="separate"/>
          </w:r>
          <w:r>
            <w:rPr>
              <w:rFonts w:hint="eastAsia" w:ascii="宋体" w:hAnsi="宋体" w:eastAsia="宋体" w:cs="宋体"/>
              <w:i w:val="0"/>
              <w:iCs w:val="0"/>
              <w:caps w:val="0"/>
              <w:snapToGrid w:val="0"/>
              <w:spacing w:val="0"/>
              <w:kern w:val="0"/>
              <w:sz w:val="24"/>
              <w:szCs w:val="24"/>
              <w:lang w:val="en-US" w:eastAsia="zh-CN" w:bidi="ar"/>
            </w:rPr>
            <w:t>八、凡对本次采购提出询问，请按以下方式联系</w:t>
          </w:r>
          <w:r>
            <w:rPr>
              <w:rFonts w:hint="eastAsia" w:ascii="宋体" w:hAnsi="宋体" w:eastAsia="宋体" w:cs="宋体"/>
              <w:sz w:val="24"/>
              <w:szCs w:val="24"/>
            </w:rPr>
            <w:tab/>
          </w:r>
          <w:r>
            <w:rPr>
              <w:rFonts w:hint="eastAsia" w:ascii="宋体" w:hAnsi="宋体" w:cs="宋体"/>
              <w:sz w:val="24"/>
              <w:szCs w:val="24"/>
              <w:lang w:val="en-US" w:eastAsia="zh-CN"/>
            </w:rPr>
            <w:t>6</w:t>
          </w:r>
          <w:r>
            <w:rPr>
              <w:rFonts w:hint="eastAsia" w:ascii="宋体" w:hAnsi="宋体" w:eastAsia="宋体" w:cs="宋体"/>
              <w:sz w:val="24"/>
              <w:szCs w:val="24"/>
            </w:rPr>
            <w:fldChar w:fldCharType="end"/>
          </w:r>
        </w:p>
        <w:p w14:paraId="28A498B6">
          <w:pPr>
            <w:pStyle w:val="36"/>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_Toc16316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第二章 投标须知前附表</w:t>
          </w:r>
          <w:r>
            <w:rPr>
              <w:rFonts w:hint="eastAsia" w:ascii="宋体" w:hAnsi="宋体" w:eastAsia="宋体" w:cs="宋体"/>
              <w:b/>
              <w:sz w:val="24"/>
              <w:szCs w:val="24"/>
            </w:rPr>
            <w:tab/>
          </w:r>
          <w:r>
            <w:rPr>
              <w:rFonts w:hint="eastAsia" w:ascii="宋体" w:hAnsi="宋体" w:cs="宋体"/>
              <w:b/>
              <w:sz w:val="24"/>
              <w:szCs w:val="24"/>
              <w:lang w:val="en-US" w:eastAsia="zh-CN"/>
            </w:rPr>
            <w:t>7</w:t>
          </w:r>
          <w:r>
            <w:rPr>
              <w:rFonts w:hint="eastAsia" w:ascii="宋体" w:hAnsi="宋体" w:eastAsia="宋体" w:cs="宋体"/>
              <w:b/>
              <w:sz w:val="24"/>
              <w:szCs w:val="24"/>
            </w:rPr>
            <w:fldChar w:fldCharType="end"/>
          </w:r>
        </w:p>
        <w:p w14:paraId="1CF4E4CC">
          <w:pPr>
            <w:pStyle w:val="36"/>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_Toc2484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 xml:space="preserve">第三章 </w:t>
          </w:r>
          <w:r>
            <w:rPr>
              <w:rFonts w:hint="eastAsia" w:ascii="宋体" w:hAnsi="宋体" w:eastAsia="宋体" w:cs="宋体"/>
              <w:b/>
              <w:bCs/>
              <w:i w:val="0"/>
              <w:iCs w:val="0"/>
              <w:caps w:val="0"/>
              <w:snapToGrid w:val="0"/>
              <w:spacing w:val="0"/>
              <w:kern w:val="0"/>
              <w:sz w:val="24"/>
              <w:szCs w:val="24"/>
              <w:highlight w:val="none"/>
              <w:lang w:val="en-US" w:eastAsia="zh-CN" w:bidi="ar"/>
            </w:rPr>
            <w:t>采购需求及技术参数</w:t>
          </w:r>
          <w:r>
            <w:rPr>
              <w:rFonts w:hint="eastAsia" w:ascii="宋体" w:hAnsi="宋体" w:eastAsia="宋体" w:cs="宋体"/>
              <w:b/>
              <w:sz w:val="24"/>
              <w:szCs w:val="24"/>
            </w:rPr>
            <w:tab/>
          </w:r>
          <w:r>
            <w:rPr>
              <w:rFonts w:hint="eastAsia" w:ascii="宋体" w:hAnsi="宋体" w:cs="宋体"/>
              <w:b/>
              <w:sz w:val="24"/>
              <w:szCs w:val="24"/>
              <w:lang w:val="en-US" w:eastAsia="zh-CN"/>
            </w:rPr>
            <w:t>1</w:t>
          </w:r>
          <w:r>
            <w:rPr>
              <w:rFonts w:hint="eastAsia" w:ascii="宋体" w:hAnsi="宋体" w:eastAsia="宋体" w:cs="宋体"/>
              <w:b/>
              <w:sz w:val="24"/>
              <w:szCs w:val="24"/>
            </w:rPr>
            <w:fldChar w:fldCharType="end"/>
          </w:r>
          <w:r>
            <w:rPr>
              <w:rFonts w:hint="eastAsia" w:ascii="宋体" w:hAnsi="宋体" w:cs="宋体"/>
              <w:b/>
              <w:sz w:val="24"/>
              <w:szCs w:val="24"/>
              <w:lang w:val="en-US" w:eastAsia="zh-CN"/>
            </w:rPr>
            <w:t>3</w:t>
          </w:r>
        </w:p>
        <w:p w14:paraId="27CBFF2C">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_Toc26135 </w:instrText>
          </w:r>
          <w:r>
            <w:rPr>
              <w:rFonts w:hint="eastAsia" w:ascii="宋体" w:hAnsi="宋体" w:eastAsia="宋体" w:cs="宋体"/>
              <w:sz w:val="24"/>
              <w:szCs w:val="24"/>
            </w:rPr>
            <w:fldChar w:fldCharType="separate"/>
          </w:r>
          <w:r>
            <w:rPr>
              <w:rFonts w:hint="eastAsia" w:ascii="宋体" w:hAnsi="宋体" w:eastAsia="宋体" w:cs="宋体"/>
              <w:spacing w:val="0"/>
              <w:sz w:val="24"/>
              <w:szCs w:val="24"/>
              <w:lang w:val="en-US" w:eastAsia="zh-CN"/>
            </w:rPr>
            <w:t xml:space="preserve"> 采购需求及技术参数</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3</w:t>
          </w:r>
        </w:p>
        <w:p w14:paraId="77EFE66A">
          <w:pPr>
            <w:pStyle w:val="36"/>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_Toc9455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第四章 投标人须知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_Toc9455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16</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342A8073">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_Toc20731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_Toc20731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DADC33">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_Toc16766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二、竞争性磋商文件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_Toc16766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DF3D68">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_Toc12013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三、投标文件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_Toc12013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E2B0BF">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_Toc14395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四、投标文件的递交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_Toc14395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1948EB4">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_Toc20718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五、开标、评标与定标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_Toc20718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2C23C5">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_Toc11439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六、质疑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_Toc11439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F82BF27">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_Toc7377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七、签订合同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_Toc7377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ECDC8C">
          <w:pPr>
            <w:pStyle w:val="36"/>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_Toc9065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第五章 磋商程序及方法</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_Toc9065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29</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3C184021">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_Toc10012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一、 磋商工作中的原则及组织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_Toc10012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894B07">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_Toc16450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二、 磋商形式及程序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_Toc16450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073725">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_Toc2051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三、 拟成交供应商确定的原则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AE981B2">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_Toc14168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四、 拟成交供应商的确定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_Toc14168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323D3A4">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_Toc5373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五、 合同的授予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_Toc5373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9CFC2C">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_Toc31441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六、 成交未果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_Toc31441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DD4780">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_Toc18429 </w:instrText>
          </w:r>
          <w:r>
            <w:rPr>
              <w:rFonts w:hint="eastAsia" w:ascii="宋体" w:hAnsi="宋体" w:eastAsia="宋体" w:cs="宋体"/>
              <w:sz w:val="24"/>
              <w:szCs w:val="24"/>
            </w:rPr>
            <w:fldChar w:fldCharType="separate"/>
          </w:r>
          <w:r>
            <w:rPr>
              <w:rFonts w:hint="eastAsia" w:ascii="宋体" w:hAnsi="宋体" w:eastAsia="宋体" w:cs="宋体"/>
              <w:bCs/>
              <w:spacing w:val="0"/>
              <w:kern w:val="2"/>
              <w:position w:val="0"/>
              <w:sz w:val="24"/>
              <w:szCs w:val="24"/>
              <w:lang w:val="en-US" w:eastAsia="zh-CN" w:bidi="ar-SA"/>
            </w:rPr>
            <w:t>七、 磋商无效响应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_Toc18429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2197D0">
          <w:pPr>
            <w:pStyle w:val="36"/>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_Toc13227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第六章 政府采购合同</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_Toc13227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39</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03A28648">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_Toc18812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(本合同仅供参考，具体内容由甲乙双方自行协商)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_Toc18812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51D26A9">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_Toc17961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一、合同格式条款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_Toc17961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820C3F">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_Toc31664 </w:instrText>
          </w:r>
          <w:r>
            <w:rPr>
              <w:rFonts w:hint="eastAsia" w:ascii="宋体" w:hAnsi="宋体" w:eastAsia="宋体" w:cs="宋体"/>
              <w:sz w:val="24"/>
              <w:szCs w:val="24"/>
            </w:rPr>
            <w:fldChar w:fldCharType="separate"/>
          </w:r>
          <w:r>
            <w:rPr>
              <w:rFonts w:hint="eastAsia" w:ascii="宋体" w:hAnsi="宋体" w:eastAsia="宋体" w:cs="宋体"/>
              <w:bCs/>
              <w:i w:val="0"/>
              <w:iCs w:val="0"/>
              <w:caps w:val="0"/>
              <w:snapToGrid/>
              <w:spacing w:val="0"/>
              <w:kern w:val="0"/>
              <w:position w:val="0"/>
              <w:sz w:val="24"/>
              <w:szCs w:val="24"/>
              <w:lang w:val="en-US" w:eastAsia="zh-CN" w:bidi="ar"/>
            </w:rPr>
            <w:t>二、政府采购合同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_Toc31664 \h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167EA8C">
          <w:pPr>
            <w:pStyle w:val="36"/>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\l _Toc26275 </w:instrText>
          </w:r>
          <w:r>
            <w:rPr>
              <w:rFonts w:hint="eastAsia" w:ascii="宋体" w:hAnsi="宋体" w:eastAsia="宋体" w:cs="宋体"/>
              <w:b/>
              <w:sz w:val="24"/>
              <w:szCs w:val="24"/>
            </w:rPr>
            <w:fldChar w:fldCharType="separate"/>
          </w:r>
          <w:r>
            <w:rPr>
              <w:rFonts w:hint="eastAsia" w:ascii="宋体" w:hAnsi="宋体" w:eastAsia="宋体" w:cs="宋体"/>
              <w:b/>
              <w:bCs/>
              <w:i w:val="0"/>
              <w:iCs w:val="0"/>
              <w:caps w:val="0"/>
              <w:snapToGrid w:val="0"/>
              <w:spacing w:val="0"/>
              <w:kern w:val="0"/>
              <w:sz w:val="24"/>
              <w:szCs w:val="24"/>
              <w:lang w:val="en-US" w:eastAsia="zh-CN" w:bidi="ar"/>
            </w:rPr>
            <w:t>第七章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_Toc26275 \h </w:instrText>
          </w:r>
          <w:r>
            <w:rPr>
              <w:rFonts w:hint="eastAsia" w:ascii="宋体" w:hAnsi="宋体" w:eastAsia="宋体" w:cs="宋体"/>
              <w:b/>
              <w:sz w:val="24"/>
              <w:szCs w:val="24"/>
            </w:rPr>
            <w:fldChar w:fldCharType="separate"/>
          </w:r>
          <w:r>
            <w:rPr>
              <w:rFonts w:hint="eastAsia" w:ascii="宋体" w:hAnsi="宋体" w:eastAsia="宋体" w:cs="宋体"/>
              <w:b/>
              <w:sz w:val="24"/>
              <w:szCs w:val="24"/>
            </w:rPr>
            <w:t>51</w:t>
          </w:r>
          <w:r>
            <w:rPr>
              <w:rFonts w:hint="eastAsia" w:ascii="宋体" w:hAnsi="宋体" w:eastAsia="宋体" w:cs="宋体"/>
              <w:b/>
              <w:sz w:val="24"/>
              <w:szCs w:val="24"/>
            </w:rPr>
            <w:fldChar w:fldCharType="end"/>
          </w:r>
          <w:r>
            <w:rPr>
              <w:rFonts w:hint="eastAsia" w:ascii="宋体" w:hAnsi="宋体" w:eastAsia="宋体" w:cs="宋体"/>
              <w:b/>
              <w:sz w:val="24"/>
              <w:szCs w:val="24"/>
            </w:rPr>
            <w:fldChar w:fldCharType="end"/>
          </w:r>
        </w:p>
        <w:p w14:paraId="763A9600">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_Toc6311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一、投标承诺书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_Toc6311 \h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9388BA">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_Toc10679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二、投标函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_Toc10679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1CB34E">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_Toc16931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三、开标报价一览表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_Toc16931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B7C5AB9">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_Toc4917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四、分项价格表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_Toc4917 \h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E37AFD">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_Toc6506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五、投标人资格证明文件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_Toc6506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783A6B">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 </w:instrText>
          </w:r>
          <w:r>
            <w:rPr>
              <w:rFonts w:hint="eastAsia" w:ascii="宋体" w:hAnsi="宋体" w:eastAsia="宋体" w:cs="宋体"/>
              <w:sz w:val="24"/>
              <w:szCs w:val="24"/>
            </w:rPr>
            <w:fldChar w:fldCharType="separate"/>
          </w:r>
          <w:r>
            <w:rPr>
              <w:rFonts w:hint="eastAsia" w:ascii="宋体" w:hAnsi="宋体" w:eastAsia="宋体" w:cs="宋体"/>
              <w:bCs w:val="0"/>
              <w:snapToGrid w:val="0"/>
              <w:spacing w:val="0"/>
              <w:kern w:val="0"/>
              <w:position w:val="0"/>
              <w:sz w:val="24"/>
              <w:szCs w:val="24"/>
            </w:rPr>
            <w:t>附件</w:t>
          </w:r>
          <w:r>
            <w:rPr>
              <w:rFonts w:hint="eastAsia" w:ascii="宋体" w:hAnsi="宋体" w:eastAsia="宋体" w:cs="宋体"/>
              <w:bCs w:val="0"/>
              <w:snapToGrid w:val="0"/>
              <w:spacing w:val="0"/>
              <w:kern w:val="0"/>
              <w:position w:val="0"/>
              <w:sz w:val="24"/>
              <w:szCs w:val="24"/>
              <w:lang w:val="en-US" w:eastAsia="zh-CN"/>
            </w:rPr>
            <w:t>5-1-1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DB1D01">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_Toc26206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_Toc26206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9983FC2">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_Toc32096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_Toc32096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DA1F8F5">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_Toc20637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财务状况报告相关证明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_Toc20637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E7D1B8">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投标人依法纳税证明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_Toc3017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AF9062">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_Toc646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投标人依法缴纳社保证明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682CFE6">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_Toc4285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特定资格证明材料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_Toc4285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2DD8CBC">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_Toc3394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投标人认为需要提供的相关证明文件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_Toc3394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B52BA">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_Toc26344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六、商务响应说明书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_Toc26344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70FB9EC">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_Toc24137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七、投标方案说明书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_Toc24137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E4E9B2">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_Toc21848 </w:instrText>
          </w:r>
          <w:r>
            <w:rPr>
              <w:rFonts w:hint="eastAsia" w:ascii="宋体" w:hAnsi="宋体" w:eastAsia="宋体" w:cs="宋体"/>
              <w:sz w:val="24"/>
              <w:szCs w:val="24"/>
            </w:rPr>
            <w:fldChar w:fldCharType="separate"/>
          </w:r>
          <w:r>
            <w:rPr>
              <w:rFonts w:hint="eastAsia" w:ascii="宋体" w:hAnsi="宋体" w:eastAsia="宋体" w:cs="宋体"/>
              <w:snapToGrid w:val="0"/>
              <w:kern w:val="0"/>
              <w:sz w:val="24"/>
              <w:szCs w:val="24"/>
              <w:lang w:val="en-US" w:eastAsia="zh-CN"/>
            </w:rPr>
            <w:t>附件7-1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_Toc21848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BD53DB">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_Toc23047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_Toc23047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D81827">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_Toc18967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供货一览表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_Toc18967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A910024">
          <w:pPr>
            <w:pStyle w:val="37"/>
            <w:keepNext w:val="0"/>
            <w:keepLines w:val="0"/>
            <w:pageBreakBefore w:val="0"/>
            <w:widowControl/>
            <w:tabs>
              <w:tab w:val="right" w:leader="dot" w:pos="8305"/>
            </w:tabs>
            <w:kinsoku/>
            <w:wordWrap/>
            <w:overflowPunct/>
            <w:topLinePunct w:val="0"/>
            <w:autoSpaceDE/>
            <w:autoSpaceDN/>
            <w:bidi w:val="0"/>
            <w:adjustRightInd/>
            <w:snapToGrid/>
            <w:spacing w:line="560" w:lineRule="exact"/>
            <w:textAlignment w:val="auto"/>
            <w:rPr>
              <w:b/>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_Toc3197 </w:instrText>
          </w:r>
          <w:r>
            <w:rPr>
              <w:rFonts w:hint="eastAsia" w:ascii="宋体" w:hAnsi="宋体" w:eastAsia="宋体" w:cs="宋体"/>
              <w:sz w:val="24"/>
              <w:szCs w:val="24"/>
            </w:rPr>
            <w:fldChar w:fldCharType="separate"/>
          </w:r>
          <w:r>
            <w:rPr>
              <w:rFonts w:hint="eastAsia" w:ascii="宋体" w:hAnsi="宋体" w:eastAsia="宋体" w:cs="宋体"/>
              <w:snapToGrid/>
              <w:spacing w:val="0"/>
              <w:kern w:val="2"/>
              <w:position w:val="0"/>
              <w:sz w:val="24"/>
              <w:szCs w:val="24"/>
              <w:lang w:val="en-US" w:eastAsia="zh-CN" w:bidi="ar-SA"/>
            </w:rPr>
            <w:t>八、投标人认为有必须提供的其他资料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_Toc3197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CEE481">
          <w:r>
            <w:rPr>
              <w:b/>
            </w:rPr>
            <w:fldChar w:fldCharType="end"/>
          </w:r>
        </w:p>
      </w:sdtContent>
    </w:sdt>
    <w:p w14:paraId="6E006D5D">
      <w:pPr>
        <w:rPr>
          <w:rFonts w:hint="eastAsia" w:asciiTheme="minorEastAsia" w:hAnsiTheme="minorEastAsia" w:eastAsiaTheme="minorEastAsia" w:cstheme="minorEastAsia"/>
          <w:b/>
          <w:bCs/>
          <w:i w:val="0"/>
          <w:iCs w:val="0"/>
          <w:caps w:val="0"/>
          <w:snapToGrid w:val="0"/>
          <w:color w:val="000000"/>
          <w:spacing w:val="0"/>
          <w:kern w:val="0"/>
          <w:sz w:val="40"/>
          <w:szCs w:val="40"/>
          <w:lang w:val="en-US" w:eastAsia="zh-CN" w:bidi="ar"/>
        </w:rPr>
      </w:pPr>
      <w:r>
        <w:rPr>
          <w:rFonts w:hint="eastAsia" w:asciiTheme="minorEastAsia" w:hAnsiTheme="minorEastAsia" w:eastAsiaTheme="minorEastAsia" w:cstheme="minorEastAsia"/>
          <w:b/>
          <w:bCs/>
          <w:i w:val="0"/>
          <w:iCs w:val="0"/>
          <w:caps w:val="0"/>
          <w:snapToGrid w:val="0"/>
          <w:color w:val="000000"/>
          <w:spacing w:val="0"/>
          <w:kern w:val="0"/>
          <w:sz w:val="40"/>
          <w:szCs w:val="40"/>
          <w:lang w:val="en-US" w:eastAsia="zh-CN" w:bidi="ar"/>
        </w:rPr>
        <w:br w:type="page"/>
      </w:r>
    </w:p>
    <w:p w14:paraId="494ABFB4">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1" w:name="_Toc15288"/>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竞争性磋商公告</w:t>
      </w:r>
      <w:bookmarkEnd w:id="1"/>
    </w:p>
    <w:p w14:paraId="5962938C">
      <w:pPr>
        <w:keepNext w:val="0"/>
        <w:keepLines w:val="0"/>
        <w:widowControl/>
        <w:suppressLineNumbers w:val="0"/>
        <w:spacing w:before="75" w:beforeAutospacing="0" w:after="75" w:afterAutospacing="0"/>
        <w:ind w:right="0"/>
        <w:jc w:val="both"/>
        <w:rPr>
          <w:rFonts w:hint="default" w:ascii="Tahoma" w:hAnsi="Tahoma" w:eastAsia="Tahoma" w:cs="Tahoma"/>
          <w:i w:val="0"/>
          <w:iCs w:val="0"/>
          <w:caps w:val="0"/>
          <w:color w:val="000000"/>
          <w:spacing w:val="0"/>
          <w:sz w:val="18"/>
          <w:szCs w:val="18"/>
        </w:rPr>
      </w:pPr>
    </w:p>
    <w:p w14:paraId="525B8133">
      <w:pPr>
        <w:keepNext w:val="0"/>
        <w:keepLines w:val="0"/>
        <w:widowControl/>
        <w:suppressLineNumbers w:val="0"/>
        <w:spacing w:before="75" w:beforeAutospacing="0" w:after="75" w:afterAutospacing="0"/>
        <w:ind w:left="0" w:right="0" w:firstLine="420"/>
        <w:jc w:val="center"/>
        <w:rPr>
          <w:rFonts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康县电商人才培育项目</w:t>
      </w:r>
      <w:r>
        <w:rPr>
          <w:rFonts w:hint="eastAsia" w:ascii="Tahoma" w:hAnsi="Tahoma" w:eastAsia="Tahoma" w:cs="Tahoma"/>
          <w:i w:val="0"/>
          <w:iCs w:val="0"/>
          <w:caps w:val="0"/>
          <w:snapToGrid w:val="0"/>
          <w:color w:val="000000"/>
          <w:spacing w:val="0"/>
          <w:kern w:val="0"/>
          <w:sz w:val="21"/>
          <w:szCs w:val="21"/>
          <w:lang w:val="en-US" w:eastAsia="zh-CN" w:bidi="ar"/>
        </w:rPr>
        <w:t>第二次</w:t>
      </w:r>
      <w:r>
        <w:rPr>
          <w:rFonts w:hint="default" w:ascii="Tahoma" w:hAnsi="Tahoma" w:eastAsia="Tahoma" w:cs="Tahoma"/>
          <w:i w:val="0"/>
          <w:iCs w:val="0"/>
          <w:caps w:val="0"/>
          <w:snapToGrid w:val="0"/>
          <w:color w:val="000000"/>
          <w:spacing w:val="0"/>
          <w:kern w:val="0"/>
          <w:sz w:val="21"/>
          <w:szCs w:val="21"/>
          <w:lang w:val="en-US" w:eastAsia="zh-CN" w:bidi="ar"/>
        </w:rPr>
        <w:t>竞争性磋商公告</w:t>
      </w:r>
    </w:p>
    <w:p w14:paraId="16CBF9A2">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21"/>
          <w:szCs w:val="21"/>
        </w:rPr>
      </w:pPr>
    </w:p>
    <w:p w14:paraId="5DFA566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u w:val="single"/>
          <w:lang w:val="en-US" w:eastAsia="zh-CN" w:bidi="ar"/>
        </w:rPr>
        <w:t>康县电子商务中心</w:t>
      </w:r>
      <w:r>
        <w:rPr>
          <w:rFonts w:hint="default" w:ascii="Tahoma" w:hAnsi="Tahoma" w:eastAsia="Tahoma" w:cs="Tahoma"/>
          <w:i w:val="0"/>
          <w:iCs w:val="0"/>
          <w:caps w:val="0"/>
          <w:snapToGrid w:val="0"/>
          <w:color w:val="000000"/>
          <w:spacing w:val="0"/>
          <w:kern w:val="0"/>
          <w:sz w:val="21"/>
          <w:szCs w:val="21"/>
          <w:lang w:val="en-US" w:eastAsia="zh-CN" w:bidi="ar"/>
        </w:rPr>
        <w:t>采购项目的潜在供应商应在</w:t>
      </w:r>
      <w:r>
        <w:rPr>
          <w:rFonts w:hint="default" w:ascii="Tahoma" w:hAnsi="Tahoma" w:eastAsia="Tahoma" w:cs="Tahoma"/>
          <w:i w:val="0"/>
          <w:iCs w:val="0"/>
          <w:caps w:val="0"/>
          <w:snapToGrid w:val="0"/>
          <w:color w:val="000000"/>
          <w:spacing w:val="0"/>
          <w:kern w:val="0"/>
          <w:sz w:val="21"/>
          <w:szCs w:val="21"/>
          <w:u w:val="single"/>
          <w:lang w:val="en-US" w:eastAsia="zh-CN" w:bidi="ar"/>
        </w:rPr>
        <w:t>陇南市公共资源交易网（网址：http://60.164.200.102/）免费下载</w:t>
      </w:r>
      <w:r>
        <w:rPr>
          <w:rFonts w:hint="default" w:ascii="Tahoma" w:hAnsi="Tahoma" w:eastAsia="Tahoma" w:cs="Tahoma"/>
          <w:i w:val="0"/>
          <w:iCs w:val="0"/>
          <w:caps w:val="0"/>
          <w:snapToGrid w:val="0"/>
          <w:color w:val="000000"/>
          <w:spacing w:val="0"/>
          <w:kern w:val="0"/>
          <w:sz w:val="21"/>
          <w:szCs w:val="21"/>
          <w:lang w:val="en-US" w:eastAsia="zh-CN" w:bidi="ar"/>
        </w:rPr>
        <w:t>获取采购文件，并于</w:t>
      </w:r>
      <w:r>
        <w:rPr>
          <w:rFonts w:hint="default" w:ascii="Tahoma" w:hAnsi="Tahoma" w:eastAsia="Tahoma" w:cs="Tahoma"/>
          <w:i w:val="0"/>
          <w:iCs w:val="0"/>
          <w:caps w:val="0"/>
          <w:snapToGrid w:val="0"/>
          <w:color w:val="000000"/>
          <w:spacing w:val="0"/>
          <w:kern w:val="0"/>
          <w:sz w:val="21"/>
          <w:szCs w:val="21"/>
          <w:u w:val="single"/>
          <w:lang w:val="en-US" w:eastAsia="zh-CN" w:bidi="ar"/>
        </w:rPr>
        <w:t>2024-11-11 10:00:00</w:t>
      </w:r>
      <w:r>
        <w:rPr>
          <w:rFonts w:hint="default" w:ascii="Tahoma" w:hAnsi="Tahoma" w:eastAsia="Tahoma" w:cs="Tahoma"/>
          <w:i w:val="0"/>
          <w:iCs w:val="0"/>
          <w:caps w:val="0"/>
          <w:snapToGrid w:val="0"/>
          <w:color w:val="000000"/>
          <w:spacing w:val="0"/>
          <w:kern w:val="0"/>
          <w:sz w:val="21"/>
          <w:szCs w:val="21"/>
          <w:lang w:val="en-US" w:eastAsia="zh-CN" w:bidi="ar"/>
        </w:rPr>
        <w:t>（北京时间）前提交响应文件。</w:t>
      </w:r>
    </w:p>
    <w:p w14:paraId="2608407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一、项目基本情况</w:t>
      </w:r>
    </w:p>
    <w:p w14:paraId="03D058C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项目编号：149002JH621224004</w:t>
      </w:r>
    </w:p>
    <w:p w14:paraId="428B9FA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lang w:val="en-US"/>
        </w:rPr>
      </w:pPr>
      <w:r>
        <w:rPr>
          <w:rFonts w:hint="default" w:ascii="Tahoma" w:hAnsi="Tahoma" w:eastAsia="Tahoma" w:cs="Tahoma"/>
          <w:i w:val="0"/>
          <w:iCs w:val="0"/>
          <w:caps w:val="0"/>
          <w:snapToGrid w:val="0"/>
          <w:color w:val="000000"/>
          <w:spacing w:val="0"/>
          <w:kern w:val="0"/>
          <w:sz w:val="21"/>
          <w:szCs w:val="21"/>
          <w:lang w:val="en-US" w:eastAsia="zh-CN" w:bidi="ar"/>
        </w:rPr>
        <w:t>项目名称：康县电商人才培育项目</w:t>
      </w:r>
      <w:r>
        <w:rPr>
          <w:rFonts w:hint="eastAsia" w:ascii="Tahoma" w:hAnsi="Tahoma" w:eastAsia="Tahoma" w:cs="Tahoma"/>
          <w:i w:val="0"/>
          <w:iCs w:val="0"/>
          <w:caps w:val="0"/>
          <w:snapToGrid w:val="0"/>
          <w:color w:val="000000"/>
          <w:spacing w:val="0"/>
          <w:kern w:val="0"/>
          <w:sz w:val="21"/>
          <w:szCs w:val="21"/>
          <w:lang w:val="en-US" w:eastAsia="zh-CN" w:bidi="ar"/>
        </w:rPr>
        <w:t>第二次</w:t>
      </w:r>
    </w:p>
    <w:p w14:paraId="12D9905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预算金额：40.000000(万元)</w:t>
      </w:r>
    </w:p>
    <w:p w14:paraId="0377C2D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最高限价：40.0(万元)</w:t>
      </w:r>
    </w:p>
    <w:p w14:paraId="1B2F212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采购需求：电商人才培育</w:t>
      </w:r>
    </w:p>
    <w:p w14:paraId="5DDEE65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合同履行期限：按合同约定执行</w:t>
      </w:r>
    </w:p>
    <w:p w14:paraId="188F641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本项目（是/否）接受联合体投标：否</w:t>
      </w:r>
    </w:p>
    <w:p w14:paraId="183A1F6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二、申请人的资格要求</w:t>
      </w:r>
    </w:p>
    <w:p w14:paraId="3D807A3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1.（1）满足《中华人民共和国政府采购法》第二十二条规定；(2)须具有合法有效的法人营业执照、国家和地方税务登记证、组织机构代码证、开户许可证；前述法人营业执照、税务登记证、组织机构代码 证已三证合一的，则需提供具有统一社会信用代码的营业执照；( 3 ) 须提供法人授权函及被授权人身份证(正、反面复印件);(4)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以磋商公告发布之日起至响应文件提交截止之日的网站查询结果为准】</w:t>
      </w:r>
    </w:p>
    <w:p w14:paraId="3B5D194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2.落实政府采购政策需满足的资格要求：《政府采购促进中小企业发展暂行办法》(财库〔2020〕46号)、关于印发中小企业划型标准规定的通知(工信部联企业【2011】30号)、符合政府采购《节能产品政府采购 清单》、《环境标志产品政府采购清单》优先采购政策、《关于促进残疾人就业政府采购政策的通知》 (财库【2017】141号)等。</w:t>
      </w:r>
    </w:p>
    <w:p w14:paraId="5D1D0EB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3.本项目的特定资格要求：供应商须具有国家认可的公办培训机构资质或县级(含县级)以上人社部门颁发的民办培训机构办学许可证、具有合法有效的营业执照或民办非企业法人登记证，同时具备本次采购内容相关的电子商务、直播销售员相关工种。</w:t>
      </w:r>
    </w:p>
    <w:p w14:paraId="156B3E7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三、获取采购文件</w:t>
      </w:r>
    </w:p>
    <w:p w14:paraId="1C257C4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时间：</w:t>
      </w:r>
      <w:r>
        <w:rPr>
          <w:rFonts w:hint="default" w:ascii="Tahoma" w:hAnsi="Tahoma" w:eastAsia="Tahoma" w:cs="Tahoma"/>
          <w:i w:val="0"/>
          <w:iCs w:val="0"/>
          <w:caps w:val="0"/>
          <w:snapToGrid w:val="0"/>
          <w:color w:val="000000"/>
          <w:spacing w:val="0"/>
          <w:kern w:val="0"/>
          <w:sz w:val="21"/>
          <w:szCs w:val="21"/>
          <w:u w:val="single"/>
          <w:lang w:val="en-US" w:eastAsia="zh-CN" w:bidi="ar"/>
        </w:rPr>
        <w:t>2024-10-31</w:t>
      </w:r>
      <w:r>
        <w:rPr>
          <w:rFonts w:hint="default" w:ascii="Tahoma" w:hAnsi="Tahoma" w:eastAsia="Tahoma" w:cs="Tahoma"/>
          <w:i w:val="0"/>
          <w:iCs w:val="0"/>
          <w:caps w:val="0"/>
          <w:snapToGrid w:val="0"/>
          <w:color w:val="000000"/>
          <w:spacing w:val="0"/>
          <w:kern w:val="0"/>
          <w:sz w:val="21"/>
          <w:szCs w:val="21"/>
          <w:lang w:val="en-US" w:eastAsia="zh-CN" w:bidi="ar"/>
        </w:rPr>
        <w:t>至</w:t>
      </w:r>
      <w:r>
        <w:rPr>
          <w:rFonts w:hint="default" w:ascii="Tahoma" w:hAnsi="Tahoma" w:eastAsia="Tahoma" w:cs="Tahoma"/>
          <w:i w:val="0"/>
          <w:iCs w:val="0"/>
          <w:caps w:val="0"/>
          <w:snapToGrid w:val="0"/>
          <w:color w:val="000000"/>
          <w:spacing w:val="0"/>
          <w:kern w:val="0"/>
          <w:sz w:val="21"/>
          <w:szCs w:val="21"/>
          <w:u w:val="single"/>
          <w:lang w:val="en-US" w:eastAsia="zh-CN" w:bidi="ar"/>
        </w:rPr>
        <w:t>2024-11-06</w:t>
      </w:r>
      <w:r>
        <w:rPr>
          <w:rFonts w:hint="default" w:ascii="Tahoma" w:hAnsi="Tahoma" w:eastAsia="Tahoma" w:cs="Tahoma"/>
          <w:i w:val="0"/>
          <w:iCs w:val="0"/>
          <w:caps w:val="0"/>
          <w:snapToGrid w:val="0"/>
          <w:color w:val="000000"/>
          <w:spacing w:val="0"/>
          <w:kern w:val="0"/>
          <w:sz w:val="21"/>
          <w:szCs w:val="21"/>
          <w:lang w:val="en-US" w:eastAsia="zh-CN" w:bidi="ar"/>
        </w:rPr>
        <w:t>，每天上午</w:t>
      </w:r>
      <w:r>
        <w:rPr>
          <w:rFonts w:hint="default" w:ascii="Tahoma" w:hAnsi="Tahoma" w:eastAsia="Tahoma" w:cs="Tahoma"/>
          <w:i w:val="0"/>
          <w:iCs w:val="0"/>
          <w:caps w:val="0"/>
          <w:snapToGrid w:val="0"/>
          <w:color w:val="000000"/>
          <w:spacing w:val="0"/>
          <w:kern w:val="0"/>
          <w:sz w:val="21"/>
          <w:szCs w:val="21"/>
          <w:u w:val="single"/>
          <w:lang w:val="en-US" w:eastAsia="zh-CN" w:bidi="ar"/>
        </w:rPr>
        <w:t>8:30</w:t>
      </w:r>
      <w:r>
        <w:rPr>
          <w:rFonts w:hint="default" w:ascii="Tahoma" w:hAnsi="Tahoma" w:eastAsia="Tahoma" w:cs="Tahoma"/>
          <w:i w:val="0"/>
          <w:iCs w:val="0"/>
          <w:caps w:val="0"/>
          <w:snapToGrid w:val="0"/>
          <w:color w:val="000000"/>
          <w:spacing w:val="0"/>
          <w:kern w:val="0"/>
          <w:sz w:val="21"/>
          <w:szCs w:val="21"/>
          <w:lang w:val="en-US" w:eastAsia="zh-CN" w:bidi="ar"/>
        </w:rPr>
        <w:t>至</w:t>
      </w:r>
      <w:r>
        <w:rPr>
          <w:rFonts w:hint="default" w:ascii="Tahoma" w:hAnsi="Tahoma" w:eastAsia="Tahoma" w:cs="Tahoma"/>
          <w:i w:val="0"/>
          <w:iCs w:val="0"/>
          <w:caps w:val="0"/>
          <w:snapToGrid w:val="0"/>
          <w:color w:val="000000"/>
          <w:spacing w:val="0"/>
          <w:kern w:val="0"/>
          <w:sz w:val="21"/>
          <w:szCs w:val="21"/>
          <w:u w:val="single"/>
          <w:lang w:val="en-US" w:eastAsia="zh-CN" w:bidi="ar"/>
        </w:rPr>
        <w:t>12:00</w:t>
      </w:r>
      <w:r>
        <w:rPr>
          <w:rFonts w:hint="default" w:ascii="Tahoma" w:hAnsi="Tahoma" w:eastAsia="Tahoma" w:cs="Tahoma"/>
          <w:i w:val="0"/>
          <w:iCs w:val="0"/>
          <w:caps w:val="0"/>
          <w:snapToGrid w:val="0"/>
          <w:color w:val="000000"/>
          <w:spacing w:val="0"/>
          <w:kern w:val="0"/>
          <w:sz w:val="21"/>
          <w:szCs w:val="21"/>
          <w:lang w:val="en-US" w:eastAsia="zh-CN" w:bidi="ar"/>
        </w:rPr>
        <w:t>，下午</w:t>
      </w:r>
      <w:r>
        <w:rPr>
          <w:rFonts w:hint="default" w:ascii="Tahoma" w:hAnsi="Tahoma" w:eastAsia="Tahoma" w:cs="Tahoma"/>
          <w:i w:val="0"/>
          <w:iCs w:val="0"/>
          <w:caps w:val="0"/>
          <w:snapToGrid w:val="0"/>
          <w:color w:val="000000"/>
          <w:spacing w:val="0"/>
          <w:kern w:val="0"/>
          <w:sz w:val="21"/>
          <w:szCs w:val="21"/>
          <w:u w:val="single"/>
          <w:lang w:val="en-US" w:eastAsia="zh-CN" w:bidi="ar"/>
        </w:rPr>
        <w:t>12:00</w:t>
      </w:r>
      <w:r>
        <w:rPr>
          <w:rFonts w:hint="default" w:ascii="Tahoma" w:hAnsi="Tahoma" w:eastAsia="Tahoma" w:cs="Tahoma"/>
          <w:i w:val="0"/>
          <w:iCs w:val="0"/>
          <w:caps w:val="0"/>
          <w:snapToGrid w:val="0"/>
          <w:color w:val="000000"/>
          <w:spacing w:val="0"/>
          <w:kern w:val="0"/>
          <w:sz w:val="21"/>
          <w:szCs w:val="21"/>
          <w:lang w:val="en-US" w:eastAsia="zh-CN" w:bidi="ar"/>
        </w:rPr>
        <w:t>至</w:t>
      </w:r>
      <w:r>
        <w:rPr>
          <w:rFonts w:hint="default" w:ascii="Tahoma" w:hAnsi="Tahoma" w:eastAsia="Tahoma" w:cs="Tahoma"/>
          <w:i w:val="0"/>
          <w:iCs w:val="0"/>
          <w:caps w:val="0"/>
          <w:snapToGrid w:val="0"/>
          <w:color w:val="000000"/>
          <w:spacing w:val="0"/>
          <w:kern w:val="0"/>
          <w:sz w:val="21"/>
          <w:szCs w:val="21"/>
          <w:u w:val="single"/>
          <w:lang w:val="en-US" w:eastAsia="zh-CN" w:bidi="ar"/>
        </w:rPr>
        <w:t>17:30</w:t>
      </w:r>
    </w:p>
    <w:p w14:paraId="475A8C99">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地点：陇南市公共资源交易网（网址：http://60.164.200.102/）免费下载</w:t>
      </w:r>
    </w:p>
    <w:p w14:paraId="07413EC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方式：拟参与本项目的潜在供应商在获取期限内，凭CA证书登录陇南市公共资源交易网在线免费下载采购文件，并点击“我要投标”按要求填写信息进行确认。</w:t>
      </w:r>
    </w:p>
    <w:p w14:paraId="3C8663B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售价：0(元)</w:t>
      </w:r>
    </w:p>
    <w:p w14:paraId="2F22624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四、响应文件提交</w:t>
      </w:r>
    </w:p>
    <w:p w14:paraId="3B9FFCFF">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截止时间：2024-11-11 10:00:00</w:t>
      </w:r>
    </w:p>
    <w:p w14:paraId="1F34C2CB">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地点：凭CA证书登录陇南市公共资源交易网（网址 ：http://60.164.200.102/）进行上传</w:t>
      </w:r>
    </w:p>
    <w:p w14:paraId="3A3AE86D">
      <w:pPr>
        <w:keepNext w:val="0"/>
        <w:keepLines w:val="0"/>
        <w:widowControl/>
        <w:suppressLineNumbers w:val="0"/>
        <w:jc w:val="left"/>
        <w:rPr>
          <w:sz w:val="24"/>
          <w:szCs w:val="24"/>
        </w:rPr>
      </w:pPr>
      <w:r>
        <w:rPr>
          <w:rFonts w:hint="default" w:ascii="Tahoma" w:hAnsi="Tahoma" w:eastAsia="Tahoma" w:cs="Tahoma"/>
          <w:i w:val="0"/>
          <w:iCs w:val="0"/>
          <w:caps w:val="0"/>
          <w:snapToGrid w:val="0"/>
          <w:color w:val="000000"/>
          <w:spacing w:val="0"/>
          <w:kern w:val="0"/>
          <w:sz w:val="21"/>
          <w:szCs w:val="21"/>
          <w:lang w:val="en-US" w:eastAsia="zh-CN" w:bidi="ar"/>
        </w:rPr>
        <w:t>五、开启</w:t>
      </w:r>
    </w:p>
    <w:p w14:paraId="188EA405">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时间：2024-11-11 10:00:00</w:t>
      </w:r>
    </w:p>
    <w:p w14:paraId="507EF13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地点：陇南市公共资源交易中心网络开标直播一厅第3坐席（陇南市行政中心5号楼环保大厦）</w:t>
      </w:r>
    </w:p>
    <w:p w14:paraId="6684FF6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六、公告期限</w:t>
      </w:r>
    </w:p>
    <w:p w14:paraId="78C6A29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自本公告发布之日起3个工作日。</w:t>
      </w:r>
    </w:p>
    <w:p w14:paraId="1434542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七、其他补充事宜</w:t>
      </w:r>
    </w:p>
    <w:p w14:paraId="723F6B9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供应商操作手册”制作固化并上传投标文件；本项目必须使用同一把CA进行所有操作。若在开标时间前没有网上投标(上传投标文件)则视为放弃投标。2、请潜在供应商随时关注陇南市公共资源交易网及甘肃政府采购网本项目相关变更公告及澄清答疑文件，否则由变更引起的相关责任自负。</w:t>
      </w:r>
    </w:p>
    <w:p w14:paraId="4DD30BE4">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①陇南市公共资源交易网：http://60.164.200.102/</w:t>
      </w:r>
    </w:p>
    <w:p w14:paraId="658314F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②信用中国”网站：https://www.creditchina.gov.cn</w:t>
      </w:r>
    </w:p>
    <w:p w14:paraId="1665153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③中国政府采购网网址：http://www.ccgp.gov.cn/</w:t>
      </w:r>
    </w:p>
    <w:p w14:paraId="35B783E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八、凡对本次采购提出询问，请按以下方式联系</w:t>
      </w:r>
    </w:p>
    <w:p w14:paraId="5B4CD0F2">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1.采购人信息</w:t>
      </w:r>
    </w:p>
    <w:p w14:paraId="20C8FA5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名 称：</w:t>
      </w:r>
      <w:r>
        <w:rPr>
          <w:rFonts w:hint="default" w:ascii="Tahoma" w:hAnsi="Tahoma" w:eastAsia="Tahoma" w:cs="Tahoma"/>
          <w:i w:val="0"/>
          <w:iCs w:val="0"/>
          <w:caps w:val="0"/>
          <w:snapToGrid w:val="0"/>
          <w:color w:val="000000"/>
          <w:spacing w:val="0"/>
          <w:kern w:val="0"/>
          <w:sz w:val="21"/>
          <w:szCs w:val="21"/>
          <w:u w:val="single"/>
          <w:lang w:val="en-US" w:eastAsia="zh-CN" w:bidi="ar"/>
        </w:rPr>
        <w:t>康县电子商务中心</w:t>
      </w:r>
    </w:p>
    <w:p w14:paraId="04471FA6">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 址：</w:t>
      </w:r>
      <w:r>
        <w:rPr>
          <w:rFonts w:hint="default" w:ascii="Tahoma" w:hAnsi="Tahoma" w:eastAsia="Tahoma" w:cs="Tahoma"/>
          <w:i w:val="0"/>
          <w:iCs w:val="0"/>
          <w:caps w:val="0"/>
          <w:snapToGrid w:val="0"/>
          <w:color w:val="000000"/>
          <w:spacing w:val="0"/>
          <w:kern w:val="0"/>
          <w:sz w:val="21"/>
          <w:szCs w:val="21"/>
          <w:u w:val="single"/>
          <w:lang w:val="en-US" w:eastAsia="zh-CN" w:bidi="ar"/>
        </w:rPr>
        <w:t>康县电子商务中心</w:t>
      </w:r>
    </w:p>
    <w:p w14:paraId="4E573050">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联系方式：</w:t>
      </w:r>
      <w:r>
        <w:rPr>
          <w:rFonts w:hint="default" w:ascii="Tahoma" w:hAnsi="Tahoma" w:eastAsia="Tahoma" w:cs="Tahoma"/>
          <w:i w:val="0"/>
          <w:iCs w:val="0"/>
          <w:caps w:val="0"/>
          <w:snapToGrid w:val="0"/>
          <w:color w:val="000000"/>
          <w:spacing w:val="0"/>
          <w:kern w:val="0"/>
          <w:sz w:val="21"/>
          <w:szCs w:val="21"/>
          <w:u w:val="single"/>
          <w:lang w:val="en-US" w:eastAsia="zh-CN" w:bidi="ar"/>
        </w:rPr>
        <w:t>0939-5116868</w:t>
      </w:r>
    </w:p>
    <w:p w14:paraId="0759AA4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2.采购代理机构信息</w:t>
      </w:r>
    </w:p>
    <w:p w14:paraId="01F88CD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名 称：</w:t>
      </w:r>
      <w:r>
        <w:rPr>
          <w:rFonts w:hint="default" w:ascii="Tahoma" w:hAnsi="Tahoma" w:eastAsia="Tahoma" w:cs="Tahoma"/>
          <w:i w:val="0"/>
          <w:iCs w:val="0"/>
          <w:caps w:val="0"/>
          <w:snapToGrid w:val="0"/>
          <w:color w:val="000000"/>
          <w:spacing w:val="0"/>
          <w:kern w:val="0"/>
          <w:sz w:val="21"/>
          <w:szCs w:val="21"/>
          <w:u w:val="single"/>
          <w:lang w:val="en-US" w:eastAsia="zh-CN" w:bidi="ar"/>
        </w:rPr>
        <w:t>甘肃正荣项目管理咨询有限公司</w:t>
      </w:r>
    </w:p>
    <w:p w14:paraId="27AE056D">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地 址：</w:t>
      </w:r>
      <w:r>
        <w:rPr>
          <w:rFonts w:hint="default" w:ascii="Tahoma" w:hAnsi="Tahoma" w:eastAsia="Tahoma" w:cs="Tahoma"/>
          <w:i w:val="0"/>
          <w:iCs w:val="0"/>
          <w:caps w:val="0"/>
          <w:snapToGrid w:val="0"/>
          <w:color w:val="000000"/>
          <w:spacing w:val="0"/>
          <w:kern w:val="0"/>
          <w:sz w:val="21"/>
          <w:szCs w:val="21"/>
          <w:u w:val="single"/>
          <w:lang w:val="en-US" w:eastAsia="zh-CN" w:bidi="ar"/>
        </w:rPr>
        <w:t>甘肃省陇南市武都区东江新区建民桥南李家咀2号</w:t>
      </w:r>
    </w:p>
    <w:p w14:paraId="730C1CD3">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联系方式：</w:t>
      </w:r>
      <w:r>
        <w:rPr>
          <w:rFonts w:hint="default" w:ascii="Tahoma" w:hAnsi="Tahoma" w:eastAsia="Tahoma" w:cs="Tahoma"/>
          <w:i w:val="0"/>
          <w:iCs w:val="0"/>
          <w:caps w:val="0"/>
          <w:snapToGrid w:val="0"/>
          <w:color w:val="000000"/>
          <w:spacing w:val="0"/>
          <w:kern w:val="0"/>
          <w:sz w:val="21"/>
          <w:szCs w:val="21"/>
          <w:u w:val="single"/>
          <w:lang w:val="en-US" w:eastAsia="zh-CN" w:bidi="ar"/>
        </w:rPr>
        <w:t>15002592750</w:t>
      </w:r>
    </w:p>
    <w:p w14:paraId="6995EC58">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3.项目联系方式</w:t>
      </w:r>
    </w:p>
    <w:p w14:paraId="2BEFF3EE">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项目联系人：</w:t>
      </w:r>
      <w:r>
        <w:rPr>
          <w:rFonts w:hint="default" w:ascii="Tahoma" w:hAnsi="Tahoma" w:eastAsia="Tahoma" w:cs="Tahoma"/>
          <w:i w:val="0"/>
          <w:iCs w:val="0"/>
          <w:caps w:val="0"/>
          <w:snapToGrid w:val="0"/>
          <w:color w:val="000000"/>
          <w:spacing w:val="0"/>
          <w:kern w:val="0"/>
          <w:sz w:val="21"/>
          <w:szCs w:val="21"/>
          <w:u w:val="single"/>
          <w:lang w:val="en-US" w:eastAsia="zh-CN" w:bidi="ar"/>
        </w:rPr>
        <w:t>李霞</w:t>
      </w:r>
    </w:p>
    <w:p w14:paraId="4DBABF41">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21"/>
          <w:szCs w:val="21"/>
        </w:rPr>
      </w:pPr>
      <w:r>
        <w:rPr>
          <w:rFonts w:hint="default" w:ascii="Tahoma" w:hAnsi="Tahoma" w:eastAsia="Tahoma" w:cs="Tahoma"/>
          <w:i w:val="0"/>
          <w:iCs w:val="0"/>
          <w:caps w:val="0"/>
          <w:snapToGrid w:val="0"/>
          <w:color w:val="000000"/>
          <w:spacing w:val="0"/>
          <w:kern w:val="0"/>
          <w:sz w:val="21"/>
          <w:szCs w:val="21"/>
          <w:lang w:val="en-US" w:eastAsia="zh-CN" w:bidi="ar"/>
        </w:rPr>
        <w:t>电　话：</w:t>
      </w:r>
      <w:r>
        <w:rPr>
          <w:rFonts w:hint="default" w:ascii="Tahoma" w:hAnsi="Tahoma" w:eastAsia="Tahoma" w:cs="Tahoma"/>
          <w:i w:val="0"/>
          <w:iCs w:val="0"/>
          <w:caps w:val="0"/>
          <w:snapToGrid w:val="0"/>
          <w:color w:val="000000"/>
          <w:spacing w:val="0"/>
          <w:kern w:val="0"/>
          <w:sz w:val="21"/>
          <w:szCs w:val="21"/>
          <w:u w:val="single"/>
          <w:lang w:val="en-US" w:eastAsia="zh-CN" w:bidi="ar"/>
        </w:rPr>
        <w:t>0939-5116868</w:t>
      </w:r>
    </w:p>
    <w:p w14:paraId="63677C54">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left="0" w:right="0" w:firstLine="420"/>
        <w:jc w:val="center"/>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659CD27B">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left="0" w:right="0" w:firstLine="420"/>
        <w:jc w:val="center"/>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21C260BE">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left="0" w:right="0" w:firstLine="420"/>
        <w:jc w:val="center"/>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3314DBAB">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left="0" w:right="0" w:firstLine="420"/>
        <w:jc w:val="center"/>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65D945BB">
      <w:pPr>
        <w:keepNext w:val="0"/>
        <w:keepLines w:val="0"/>
        <w:widowControl/>
        <w:suppressLineNumbers w:val="0"/>
        <w:spacing w:before="75" w:beforeAutospacing="0" w:after="75" w:afterAutospacing="0"/>
        <w:ind w:left="0" w:right="0" w:firstLine="420"/>
        <w:jc w:val="right"/>
        <w:rPr>
          <w:rFonts w:hint="eastAsia" w:asciiTheme="minorEastAsia" w:hAnsiTheme="minorEastAsia" w:eastAsiaTheme="minorEastAsia" w:cstheme="minorEastAsia"/>
          <w:i w:val="0"/>
          <w:iCs w:val="0"/>
          <w:caps w:val="0"/>
          <w:snapToGrid w:val="0"/>
          <w:color w:val="000000"/>
          <w:spacing w:val="0"/>
          <w:kern w:val="0"/>
          <w:sz w:val="21"/>
          <w:szCs w:val="21"/>
          <w:lang w:val="en-US" w:eastAsia="zh-CN" w:bidi="ar"/>
        </w:rPr>
      </w:pPr>
      <w:r>
        <w:rPr>
          <w:rFonts w:hint="eastAsia" w:ascii="宋体" w:hAnsi="宋体" w:eastAsia="宋体" w:cs="宋体"/>
          <w:b/>
          <w:bCs/>
          <w:i w:val="0"/>
          <w:iCs w:val="0"/>
          <w:caps w:val="0"/>
          <w:snapToGrid w:val="0"/>
          <w:color w:val="000000"/>
          <w:spacing w:val="0"/>
          <w:kern w:val="0"/>
          <w:sz w:val="28"/>
          <w:szCs w:val="28"/>
          <w:lang w:val="en-US" w:eastAsia="zh-CN" w:bidi="ar"/>
        </w:rPr>
        <w:t xml:space="preserve"> </w:t>
      </w:r>
      <w:r>
        <w:rPr>
          <w:rFonts w:hint="eastAsia" w:asciiTheme="minorEastAsia" w:hAnsiTheme="minorEastAsia" w:eastAsiaTheme="minorEastAsia" w:cstheme="minorEastAsia"/>
          <w:i w:val="0"/>
          <w:iCs w:val="0"/>
          <w:caps w:val="0"/>
          <w:snapToGrid w:val="0"/>
          <w:color w:val="000000"/>
          <w:spacing w:val="0"/>
          <w:kern w:val="0"/>
          <w:sz w:val="21"/>
          <w:szCs w:val="21"/>
          <w:lang w:val="en-US" w:eastAsia="zh-CN" w:bidi="ar"/>
        </w:rPr>
        <w:t>甘肃正荣项目管理咨询有限公司</w:t>
      </w:r>
    </w:p>
    <w:p w14:paraId="0CC4E9A2">
      <w:pPr>
        <w:keepNext w:val="0"/>
        <w:keepLines w:val="0"/>
        <w:widowControl/>
        <w:suppressLineNumbers w:val="0"/>
        <w:spacing w:before="75" w:beforeAutospacing="0" w:after="75" w:afterAutospacing="0"/>
        <w:ind w:left="0" w:right="0" w:firstLine="420"/>
        <w:jc w:val="right"/>
        <w:rPr>
          <w:rFonts w:hint="default" w:asciiTheme="minorEastAsia" w:hAnsiTheme="minorEastAsia" w:eastAsiaTheme="minorEastAsia" w:cstheme="minorEastAsia"/>
          <w:i w:val="0"/>
          <w:iCs w:val="0"/>
          <w:caps w:val="0"/>
          <w:snapToGrid w:val="0"/>
          <w:color w:val="000000"/>
          <w:spacing w:val="0"/>
          <w:kern w:val="0"/>
          <w:sz w:val="21"/>
          <w:szCs w:val="21"/>
          <w:lang w:val="en-US" w:eastAsia="zh-CN" w:bidi="ar"/>
        </w:rPr>
      </w:pPr>
      <w:r>
        <w:rPr>
          <w:rFonts w:hint="eastAsia" w:asciiTheme="minorEastAsia" w:hAnsiTheme="minorEastAsia" w:eastAsiaTheme="minorEastAsia" w:cstheme="minorEastAsia"/>
          <w:i w:val="0"/>
          <w:iCs w:val="0"/>
          <w:caps w:val="0"/>
          <w:snapToGrid w:val="0"/>
          <w:color w:val="000000"/>
          <w:spacing w:val="0"/>
          <w:kern w:val="0"/>
          <w:sz w:val="21"/>
          <w:szCs w:val="21"/>
          <w:lang w:val="en-US" w:eastAsia="zh-CN" w:bidi="ar"/>
        </w:rPr>
        <w:t>2024年10月30日</w:t>
      </w:r>
    </w:p>
    <w:p w14:paraId="60D00324">
      <w:pPr>
        <w:keepNext w:val="0"/>
        <w:keepLines w:val="0"/>
        <w:widowControl/>
        <w:suppressLineNumbers w:val="0"/>
        <w:spacing w:before="75" w:beforeAutospacing="0" w:after="75" w:afterAutospacing="0"/>
        <w:ind w:left="0" w:right="0" w:firstLine="420"/>
        <w:jc w:val="left"/>
        <w:rPr>
          <w:rFonts w:hint="eastAsia" w:asciiTheme="minorEastAsia" w:hAnsiTheme="minorEastAsia" w:eastAsiaTheme="minorEastAsia" w:cstheme="minorEastAsia"/>
          <w:i w:val="0"/>
          <w:iCs w:val="0"/>
          <w:caps w:val="0"/>
          <w:snapToGrid w:val="0"/>
          <w:color w:val="000000"/>
          <w:spacing w:val="0"/>
          <w:kern w:val="0"/>
          <w:sz w:val="21"/>
          <w:szCs w:val="21"/>
          <w:lang w:val="en-US" w:eastAsia="zh-CN" w:bidi="ar"/>
        </w:rPr>
      </w:pPr>
    </w:p>
    <w:p w14:paraId="61D4ABDF">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left="0" w:right="0" w:firstLine="420"/>
        <w:jc w:val="center"/>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17E6F406">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left="0" w:right="0" w:firstLine="420"/>
        <w:jc w:val="center"/>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259D8ECA">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right="0"/>
        <w:jc w:val="both"/>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3110BD81">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right="0"/>
        <w:jc w:val="both"/>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1CE153B3">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right="0"/>
        <w:jc w:val="both"/>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003F6FC1">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right="0"/>
        <w:jc w:val="both"/>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7EC01398">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right="0"/>
        <w:jc w:val="both"/>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05CFB58B">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right="0"/>
        <w:jc w:val="both"/>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2B6B1530">
      <w:pPr>
        <w:keepNext w:val="0"/>
        <w:keepLines w:val="0"/>
        <w:pageBreakBefore w:val="0"/>
        <w:widowControl/>
        <w:suppressLineNumbers w:val="0"/>
        <w:kinsoku w:val="0"/>
        <w:wordWrap/>
        <w:overflowPunct/>
        <w:topLinePunct w:val="0"/>
        <w:autoSpaceDE w:val="0"/>
        <w:autoSpaceDN w:val="0"/>
        <w:bidi w:val="0"/>
        <w:adjustRightInd w:val="0"/>
        <w:snapToGrid w:val="0"/>
        <w:spacing w:before="75" w:beforeAutospacing="0" w:after="75" w:afterAutospacing="0" w:line="400" w:lineRule="exact"/>
        <w:ind w:right="0"/>
        <w:jc w:val="both"/>
        <w:textAlignment w:val="baseline"/>
        <w:outlineLvl w:val="1"/>
        <w:rPr>
          <w:rFonts w:hint="eastAsia" w:ascii="宋体" w:hAnsi="宋体" w:eastAsia="宋体" w:cs="宋体"/>
          <w:b/>
          <w:bCs/>
          <w:i w:val="0"/>
          <w:iCs w:val="0"/>
          <w:caps w:val="0"/>
          <w:snapToGrid w:val="0"/>
          <w:color w:val="000000"/>
          <w:spacing w:val="0"/>
          <w:kern w:val="0"/>
          <w:sz w:val="28"/>
          <w:szCs w:val="28"/>
          <w:lang w:val="en-US" w:eastAsia="zh-CN" w:bidi="ar"/>
        </w:rPr>
      </w:pPr>
    </w:p>
    <w:p w14:paraId="3E63BDD3">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22"/>
          <w:szCs w:val="22"/>
        </w:rPr>
      </w:pPr>
    </w:p>
    <w:p w14:paraId="06DB36D5">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2" w:name="_Toc16316"/>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投标须知前附表</w:t>
      </w:r>
      <w:bookmarkEnd w:id="2"/>
    </w:p>
    <w:tbl>
      <w:tblPr>
        <w:tblStyle w:val="1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714"/>
        <w:gridCol w:w="6013"/>
      </w:tblGrid>
      <w:tr w14:paraId="0C6E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91" w:type="dxa"/>
            <w:noWrap w:val="0"/>
            <w:vAlign w:val="center"/>
          </w:tcPr>
          <w:p w14:paraId="60DD571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heme="minorEastAsia" w:hAnsiTheme="minorEastAsia" w:eastAsiaTheme="minorEastAsia" w:cstheme="minorEastAsia"/>
                <w:b/>
                <w:bCs/>
                <w:snapToGrid w:val="0"/>
                <w:color w:val="000000"/>
                <w:spacing w:val="11"/>
                <w:kern w:val="0"/>
                <w:sz w:val="24"/>
                <w:szCs w:val="24"/>
                <w:lang w:val="en" w:eastAsia="zh-CN"/>
              </w:rPr>
            </w:pPr>
            <w:r>
              <w:rPr>
                <w:rFonts w:hint="eastAsia" w:asciiTheme="minorEastAsia" w:hAnsiTheme="minorEastAsia" w:eastAsiaTheme="minorEastAsia" w:cstheme="minorEastAsia"/>
                <w:b/>
                <w:bCs/>
                <w:snapToGrid w:val="0"/>
                <w:color w:val="000000"/>
                <w:spacing w:val="11"/>
                <w:kern w:val="0"/>
                <w:sz w:val="24"/>
                <w:szCs w:val="24"/>
                <w:lang w:val="en" w:eastAsia="zh-CN"/>
              </w:rPr>
              <w:t>条款号</w:t>
            </w:r>
          </w:p>
        </w:tc>
        <w:tc>
          <w:tcPr>
            <w:tcW w:w="1714" w:type="dxa"/>
            <w:noWrap w:val="0"/>
            <w:vAlign w:val="center"/>
          </w:tcPr>
          <w:p w14:paraId="1F139E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heme="minorEastAsia" w:hAnsiTheme="minorEastAsia" w:eastAsiaTheme="minorEastAsia" w:cstheme="minorEastAsia"/>
                <w:b/>
                <w:bCs/>
                <w:snapToGrid w:val="0"/>
                <w:color w:val="000000"/>
                <w:spacing w:val="11"/>
                <w:kern w:val="0"/>
                <w:sz w:val="24"/>
                <w:szCs w:val="24"/>
                <w:lang w:val="en" w:eastAsia="zh-CN"/>
              </w:rPr>
            </w:pPr>
            <w:r>
              <w:rPr>
                <w:rFonts w:hint="eastAsia" w:asciiTheme="minorEastAsia" w:hAnsiTheme="minorEastAsia" w:eastAsiaTheme="minorEastAsia" w:cstheme="minorEastAsia"/>
                <w:b/>
                <w:bCs/>
                <w:snapToGrid w:val="0"/>
                <w:color w:val="000000"/>
                <w:spacing w:val="11"/>
                <w:kern w:val="0"/>
                <w:sz w:val="24"/>
                <w:szCs w:val="24"/>
                <w:lang w:val="en" w:eastAsia="zh-CN"/>
              </w:rPr>
              <w:t>条款名称</w:t>
            </w:r>
          </w:p>
        </w:tc>
        <w:tc>
          <w:tcPr>
            <w:tcW w:w="6013" w:type="dxa"/>
            <w:noWrap w:val="0"/>
            <w:vAlign w:val="center"/>
          </w:tcPr>
          <w:p w14:paraId="56B01B6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Theme="minorEastAsia" w:hAnsiTheme="minorEastAsia" w:eastAsiaTheme="minorEastAsia" w:cstheme="minorEastAsia"/>
                <w:b/>
                <w:bCs/>
                <w:snapToGrid w:val="0"/>
                <w:color w:val="000000"/>
                <w:spacing w:val="11"/>
                <w:kern w:val="0"/>
                <w:sz w:val="24"/>
                <w:szCs w:val="24"/>
                <w:lang w:val="en" w:eastAsia="zh-CN"/>
              </w:rPr>
            </w:pPr>
            <w:r>
              <w:rPr>
                <w:rFonts w:hint="eastAsia" w:asciiTheme="minorEastAsia" w:hAnsiTheme="minorEastAsia" w:eastAsiaTheme="minorEastAsia" w:cstheme="minorEastAsia"/>
                <w:b/>
                <w:bCs/>
                <w:snapToGrid w:val="0"/>
                <w:color w:val="000000"/>
                <w:spacing w:val="11"/>
                <w:kern w:val="0"/>
                <w:sz w:val="24"/>
                <w:szCs w:val="24"/>
                <w:lang w:val="en-US" w:eastAsia="zh-CN"/>
              </w:rPr>
              <w:t>内容</w:t>
            </w:r>
          </w:p>
        </w:tc>
      </w:tr>
      <w:tr w14:paraId="4BC6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91" w:type="dxa"/>
            <w:noWrap w:val="0"/>
            <w:vAlign w:val="center"/>
          </w:tcPr>
          <w:p w14:paraId="0459CCA9">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US" w:eastAsia="zh-CN" w:bidi="ar-SA"/>
              </w:rPr>
            </w:pPr>
            <w:r>
              <w:rPr>
                <w:rFonts w:hint="eastAsia" w:asciiTheme="minorEastAsia" w:hAnsiTheme="minorEastAsia" w:eastAsiaTheme="minorEastAsia" w:cstheme="minorEastAsia"/>
                <w:snapToGrid w:val="0"/>
                <w:color w:val="000000"/>
                <w:spacing w:val="11"/>
                <w:kern w:val="0"/>
                <w:sz w:val="24"/>
                <w:szCs w:val="24"/>
                <w:lang w:val="en-US" w:eastAsia="zh-CN" w:bidi="ar-SA"/>
              </w:rPr>
              <w:t>1</w:t>
            </w:r>
          </w:p>
        </w:tc>
        <w:tc>
          <w:tcPr>
            <w:tcW w:w="1714" w:type="dxa"/>
            <w:noWrap w:val="0"/>
            <w:vAlign w:val="center"/>
          </w:tcPr>
          <w:p w14:paraId="341F8D19">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bidi="ar-SA"/>
              </w:rPr>
            </w:pPr>
            <w:r>
              <w:rPr>
                <w:rFonts w:hint="eastAsia" w:asciiTheme="minorEastAsia" w:hAnsiTheme="minorEastAsia" w:eastAsiaTheme="minorEastAsia" w:cstheme="minorEastAsia"/>
                <w:snapToGrid w:val="0"/>
                <w:color w:val="000000"/>
                <w:spacing w:val="11"/>
                <w:kern w:val="0"/>
                <w:sz w:val="24"/>
                <w:szCs w:val="24"/>
                <w:lang w:val="en" w:eastAsia="zh-CN"/>
              </w:rPr>
              <w:t>采购人信息</w:t>
            </w:r>
          </w:p>
        </w:tc>
        <w:tc>
          <w:tcPr>
            <w:tcW w:w="6013" w:type="dxa"/>
            <w:noWrap w:val="0"/>
            <w:vAlign w:val="center"/>
          </w:tcPr>
          <w:p w14:paraId="3EF1B20B">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120"/>
                <w:kern w:val="0"/>
                <w:sz w:val="24"/>
                <w:szCs w:val="24"/>
                <w:fitText w:val="960" w:id="1180180028"/>
                <w:lang w:val="en-US" w:eastAsia="zh-CN"/>
              </w:rPr>
              <w:t>采购</w:t>
            </w:r>
            <w:r>
              <w:rPr>
                <w:rFonts w:hint="eastAsia" w:asciiTheme="minorEastAsia" w:hAnsiTheme="minorEastAsia" w:eastAsiaTheme="minorEastAsia" w:cstheme="minorEastAsia"/>
                <w:spacing w:val="0"/>
                <w:kern w:val="0"/>
                <w:sz w:val="24"/>
                <w:szCs w:val="24"/>
                <w:fitText w:val="960" w:id="1180180028"/>
                <w:lang w:val="en-US" w:eastAsia="zh-CN"/>
              </w:rPr>
              <w:t>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single"/>
                <w:lang w:val="en-US" w:eastAsia="zh-CN"/>
              </w:rPr>
              <w:t>康县电子商务中心</w:t>
            </w:r>
          </w:p>
          <w:p w14:paraId="2EFB7BCB">
            <w:pPr>
              <w:keepNext w:val="0"/>
              <w:keepLines w:val="0"/>
              <w:pageBreakBefore w:val="0"/>
              <w:widowControl/>
              <w:suppressLineNumbers w:val="0"/>
              <w:wordWrap/>
              <w:overflowPunct/>
              <w:topLinePunct w:val="0"/>
              <w:bidi w:val="0"/>
              <w:spacing w:line="360" w:lineRule="auto"/>
              <w:ind w:left="105" w:leftChars="50" w:right="105" w:rightChars="50"/>
              <w:jc w:val="lef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pacing w:val="480"/>
                <w:kern w:val="0"/>
                <w:sz w:val="24"/>
                <w:szCs w:val="24"/>
                <w:fitText w:val="960" w:id="1865828906"/>
                <w:lang w:val="en-US" w:eastAsia="zh-CN" w:bidi="ar-SA"/>
              </w:rPr>
              <w:t>地</w:t>
            </w:r>
            <w:r>
              <w:rPr>
                <w:rFonts w:hint="eastAsia" w:asciiTheme="minorEastAsia" w:hAnsiTheme="minorEastAsia" w:eastAsiaTheme="minorEastAsia" w:cstheme="minorEastAsia"/>
                <w:spacing w:val="0"/>
                <w:kern w:val="0"/>
                <w:sz w:val="24"/>
                <w:szCs w:val="24"/>
                <w:fitText w:val="960" w:id="1865828906"/>
                <w:lang w:val="en-US" w:eastAsia="zh-CN" w:bidi="ar-SA"/>
              </w:rPr>
              <w:t>址</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u w:val="single"/>
                <w:lang w:val="en-US" w:eastAsia="zh-CN"/>
              </w:rPr>
              <w:t>康县电子商务中心</w:t>
            </w:r>
          </w:p>
          <w:p w14:paraId="6958734D">
            <w:pPr>
              <w:keepNext w:val="0"/>
              <w:keepLines w:val="0"/>
              <w:pageBreakBefore w:val="0"/>
              <w:widowControl/>
              <w:suppressLineNumbers w:val="0"/>
              <w:wordWrap/>
              <w:overflowPunct/>
              <w:topLinePunct w:val="0"/>
              <w:bidi w:val="0"/>
              <w:spacing w:line="360" w:lineRule="auto"/>
              <w:ind w:left="105" w:leftChars="50" w:right="105" w:right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0"/>
                <w:kern w:val="0"/>
                <w:sz w:val="24"/>
                <w:szCs w:val="24"/>
                <w:fitText w:val="960" w:id="1537359803"/>
                <w:lang w:val="en-US" w:eastAsia="zh-CN" w:bidi="ar-SA"/>
              </w:rPr>
              <w:t>联系</w:t>
            </w:r>
            <w:r>
              <w:rPr>
                <w:rFonts w:hint="eastAsia" w:asciiTheme="minorEastAsia" w:hAnsiTheme="minorEastAsia" w:eastAsiaTheme="minorEastAsia" w:cstheme="minorEastAsia"/>
                <w:spacing w:val="0"/>
                <w:kern w:val="0"/>
                <w:sz w:val="24"/>
                <w:szCs w:val="24"/>
                <w:fitText w:val="960" w:id="1537359803"/>
                <w:lang w:val="en-US" w:eastAsia="zh-CN" w:bidi="ar-SA"/>
              </w:rPr>
              <w:t>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single"/>
                <w:lang w:val="en-US" w:eastAsia="zh-CN"/>
              </w:rPr>
              <w:t>李霞</w:t>
            </w:r>
          </w:p>
          <w:p w14:paraId="7ED808A1">
            <w:pPr>
              <w:keepNext w:val="0"/>
              <w:keepLines w:val="0"/>
              <w:pageBreakBefore w:val="0"/>
              <w:widowControl/>
              <w:suppressLineNumbers w:val="0"/>
              <w:wordWrap/>
              <w:overflowPunct/>
              <w:topLinePunct w:val="0"/>
              <w:bidi w:val="0"/>
              <w:spacing w:line="360" w:lineRule="auto"/>
              <w:ind w:left="105" w:leftChars="50" w:right="105" w:right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联系电话：</w:t>
            </w:r>
            <w:r>
              <w:rPr>
                <w:rFonts w:hint="eastAsia" w:asciiTheme="minorEastAsia" w:hAnsiTheme="minorEastAsia" w:eastAsiaTheme="minorEastAsia" w:cstheme="minorEastAsia"/>
                <w:sz w:val="24"/>
                <w:szCs w:val="24"/>
                <w:u w:val="single"/>
                <w:lang w:val="en-US" w:eastAsia="zh-CN"/>
              </w:rPr>
              <w:t>0939-5116868</w:t>
            </w:r>
          </w:p>
        </w:tc>
      </w:tr>
      <w:tr w14:paraId="3258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91" w:type="dxa"/>
            <w:noWrap w:val="0"/>
            <w:vAlign w:val="center"/>
          </w:tcPr>
          <w:p w14:paraId="317B31DD">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bidi="ar-SA"/>
              </w:rPr>
            </w:pPr>
            <w:r>
              <w:rPr>
                <w:rFonts w:hint="eastAsia" w:asciiTheme="minorEastAsia" w:hAnsiTheme="minorEastAsia" w:eastAsiaTheme="minorEastAsia" w:cstheme="minorEastAsia"/>
                <w:snapToGrid w:val="0"/>
                <w:color w:val="000000"/>
                <w:spacing w:val="11"/>
                <w:kern w:val="0"/>
                <w:sz w:val="24"/>
                <w:szCs w:val="24"/>
                <w:lang w:val="en" w:eastAsia="zh-CN"/>
              </w:rPr>
              <w:t>2</w:t>
            </w:r>
          </w:p>
        </w:tc>
        <w:tc>
          <w:tcPr>
            <w:tcW w:w="1714" w:type="dxa"/>
            <w:noWrap w:val="0"/>
            <w:vAlign w:val="center"/>
          </w:tcPr>
          <w:p w14:paraId="3A1D449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bidi="ar-SA"/>
              </w:rPr>
            </w:pPr>
            <w:r>
              <w:rPr>
                <w:rFonts w:hint="eastAsia" w:asciiTheme="minorEastAsia" w:hAnsiTheme="minorEastAsia" w:eastAsiaTheme="minorEastAsia" w:cstheme="minorEastAsia"/>
                <w:snapToGrid w:val="0"/>
                <w:color w:val="000000"/>
                <w:spacing w:val="11"/>
                <w:kern w:val="0"/>
                <w:sz w:val="24"/>
                <w:szCs w:val="24"/>
                <w:lang w:val="en" w:eastAsia="zh-CN"/>
              </w:rPr>
              <w:t>采购代理机构信息</w:t>
            </w:r>
          </w:p>
        </w:tc>
        <w:tc>
          <w:tcPr>
            <w:tcW w:w="6013" w:type="dxa"/>
            <w:noWrap w:val="0"/>
            <w:vAlign w:val="center"/>
          </w:tcPr>
          <w:p w14:paraId="74332CBA">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代理机构</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甘肃正荣项目管理咨询有限公司</w:t>
            </w:r>
          </w:p>
          <w:p w14:paraId="40EC71D4">
            <w:pPr>
              <w:pStyle w:val="7"/>
              <w:keepNext w:val="0"/>
              <w:keepLines w:val="0"/>
              <w:pageBreakBefore w:val="0"/>
              <w:wordWrap/>
              <w:overflowPunct/>
              <w:topLinePunct w:val="0"/>
              <w:bidi w:val="0"/>
              <w:spacing w:after="0" w:line="360" w:lineRule="auto"/>
              <w:ind w:left="105" w:leftChars="50" w:right="105" w:right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80"/>
                <w:kern w:val="0"/>
                <w:sz w:val="24"/>
                <w:szCs w:val="24"/>
                <w:fitText w:val="960" w:id="931543608"/>
                <w:lang w:val="en-US" w:eastAsia="zh-CN" w:bidi="ar-SA"/>
              </w:rPr>
              <w:t>地</w:t>
            </w:r>
            <w:r>
              <w:rPr>
                <w:rFonts w:hint="eastAsia" w:asciiTheme="minorEastAsia" w:hAnsiTheme="minorEastAsia" w:eastAsiaTheme="minorEastAsia" w:cstheme="minorEastAsia"/>
                <w:spacing w:val="0"/>
                <w:kern w:val="0"/>
                <w:sz w:val="24"/>
                <w:szCs w:val="24"/>
                <w:fitText w:val="960" w:id="931543608"/>
                <w:lang w:val="en-US" w:eastAsia="zh-CN" w:bidi="ar-SA"/>
              </w:rPr>
              <w:t>址</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i w:val="0"/>
                <w:iCs w:val="0"/>
                <w:caps w:val="0"/>
                <w:color w:val="000000"/>
                <w:spacing w:val="0"/>
                <w:kern w:val="0"/>
                <w:sz w:val="24"/>
                <w:szCs w:val="24"/>
                <w:u w:val="single"/>
                <w:lang w:val="en-US" w:eastAsia="zh-CN" w:bidi="ar"/>
              </w:rPr>
              <w:t>甘肃省陇南市武都区东江新区建民桥南李家咀2号</w:t>
            </w:r>
          </w:p>
          <w:p w14:paraId="0DDC6E15">
            <w:pPr>
              <w:pStyle w:val="7"/>
              <w:keepNext w:val="0"/>
              <w:keepLines w:val="0"/>
              <w:pageBreakBefore w:val="0"/>
              <w:wordWrap/>
              <w:overflowPunct/>
              <w:topLinePunct w:val="0"/>
              <w:bidi w:val="0"/>
              <w:spacing w:after="0" w:line="360" w:lineRule="auto"/>
              <w:ind w:left="105" w:leftChars="50" w:right="105" w:rightChars="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20"/>
                <w:kern w:val="0"/>
                <w:sz w:val="24"/>
                <w:szCs w:val="24"/>
                <w:fitText w:val="960" w:id="1571759265"/>
                <w:lang w:val="en-US" w:eastAsia="zh-CN" w:bidi="ar-SA"/>
              </w:rPr>
              <w:t>联系</w:t>
            </w:r>
            <w:r>
              <w:rPr>
                <w:rFonts w:hint="eastAsia" w:asciiTheme="minorEastAsia" w:hAnsiTheme="minorEastAsia" w:eastAsiaTheme="minorEastAsia" w:cstheme="minorEastAsia"/>
                <w:spacing w:val="0"/>
                <w:kern w:val="0"/>
                <w:sz w:val="24"/>
                <w:szCs w:val="24"/>
                <w:fitText w:val="960" w:id="1571759265"/>
                <w:lang w:val="en-US" w:eastAsia="zh-CN" w:bidi="ar-SA"/>
              </w:rPr>
              <w:t>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single"/>
                <w:lang w:val="en-US" w:eastAsia="zh-CN"/>
              </w:rPr>
              <w:t>瞿韵</w:t>
            </w:r>
          </w:p>
          <w:p w14:paraId="745BB2D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z w:val="24"/>
                <w:szCs w:val="24"/>
                <w:lang w:val="en-US" w:eastAsia="zh-CN"/>
              </w:rPr>
              <w:t>联系电话：</w:t>
            </w:r>
            <w:r>
              <w:rPr>
                <w:rFonts w:hint="eastAsia" w:asciiTheme="minorEastAsia" w:hAnsiTheme="minorEastAsia" w:eastAsiaTheme="minorEastAsia" w:cstheme="minorEastAsia"/>
                <w:sz w:val="24"/>
                <w:szCs w:val="24"/>
                <w:u w:val="single"/>
                <w:lang w:val="en-US" w:eastAsia="zh-CN"/>
              </w:rPr>
              <w:t>15002592750</w:t>
            </w:r>
          </w:p>
        </w:tc>
      </w:tr>
      <w:tr w14:paraId="390E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91" w:type="dxa"/>
            <w:noWrap w:val="0"/>
            <w:vAlign w:val="center"/>
          </w:tcPr>
          <w:p w14:paraId="2608A3E2">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w:t>
            </w:r>
          </w:p>
        </w:tc>
        <w:tc>
          <w:tcPr>
            <w:tcW w:w="1714" w:type="dxa"/>
            <w:noWrap w:val="0"/>
            <w:vAlign w:val="center"/>
          </w:tcPr>
          <w:p w14:paraId="04F9E1B9">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项目信息</w:t>
            </w:r>
          </w:p>
        </w:tc>
        <w:tc>
          <w:tcPr>
            <w:tcW w:w="6013" w:type="dxa"/>
            <w:noWrap w:val="0"/>
            <w:vAlign w:val="center"/>
          </w:tcPr>
          <w:p w14:paraId="4496F9B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项目名称：康县电商人才培育项目</w:t>
            </w:r>
            <w:r>
              <w:rPr>
                <w:rFonts w:hint="eastAsia" w:asciiTheme="minorEastAsia" w:hAnsiTheme="minorEastAsia" w:eastAsiaTheme="minorEastAsia" w:cstheme="minorEastAsia"/>
                <w:snapToGrid w:val="0"/>
                <w:color w:val="000000"/>
                <w:spacing w:val="11"/>
                <w:kern w:val="0"/>
                <w:sz w:val="24"/>
                <w:szCs w:val="24"/>
                <w:lang w:val="en-US" w:eastAsia="zh-CN"/>
              </w:rPr>
              <w:t>第二次</w:t>
            </w:r>
            <w:bookmarkStart w:id="352" w:name="_GoBack"/>
            <w:bookmarkEnd w:id="352"/>
            <w:r>
              <w:rPr>
                <w:rFonts w:hint="eastAsia" w:asciiTheme="minorEastAsia" w:hAnsiTheme="minorEastAsia" w:eastAsiaTheme="minorEastAsia" w:cstheme="minorEastAsia"/>
                <w:snapToGrid w:val="0"/>
                <w:color w:val="000000"/>
                <w:spacing w:val="11"/>
                <w:kern w:val="0"/>
                <w:sz w:val="24"/>
                <w:szCs w:val="24"/>
                <w:lang w:val="en" w:eastAsia="zh-CN"/>
              </w:rPr>
              <w:t>；</w:t>
            </w:r>
          </w:p>
          <w:p w14:paraId="251FEDA8">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项目计划</w:t>
            </w:r>
            <w:r>
              <w:rPr>
                <w:rFonts w:hint="eastAsia" w:asciiTheme="minorEastAsia" w:hAnsiTheme="minorEastAsia" w:eastAsiaTheme="minorEastAsia" w:cstheme="minorEastAsia"/>
                <w:snapToGrid w:val="0"/>
                <w:color w:val="000000"/>
                <w:spacing w:val="11"/>
                <w:kern w:val="0"/>
                <w:sz w:val="24"/>
                <w:szCs w:val="24"/>
                <w:lang w:val="en" w:eastAsia="zh-CN"/>
              </w:rPr>
              <w:t>：签订一个总包合同；</w:t>
            </w:r>
          </w:p>
          <w:p w14:paraId="7DE3D3B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highlight w:val="none"/>
                <w:lang w:val="en-US" w:eastAsia="zh-CN"/>
              </w:rPr>
              <w:t>采购需求：</w:t>
            </w:r>
            <w:r>
              <w:rPr>
                <w:rFonts w:hint="eastAsia" w:asciiTheme="minorEastAsia" w:hAnsiTheme="minorEastAsia" w:eastAsiaTheme="minorEastAsia" w:cstheme="minorEastAsia"/>
                <w:snapToGrid w:val="0"/>
                <w:color w:val="000000"/>
                <w:spacing w:val="11"/>
                <w:kern w:val="0"/>
                <w:sz w:val="24"/>
                <w:szCs w:val="24"/>
                <w:lang w:val="en" w:eastAsia="zh-CN"/>
              </w:rPr>
              <w:t>电商人才培育</w:t>
            </w:r>
            <w:r>
              <w:rPr>
                <w:rFonts w:hint="eastAsia" w:asciiTheme="minorEastAsia" w:hAnsiTheme="minorEastAsia" w:eastAsiaTheme="minorEastAsia" w:cstheme="minorEastAsia"/>
                <w:snapToGrid w:val="0"/>
                <w:color w:val="000000"/>
                <w:spacing w:val="11"/>
                <w:kern w:val="0"/>
                <w:sz w:val="24"/>
                <w:szCs w:val="24"/>
                <w:highlight w:val="none"/>
                <w:lang w:val="en-US" w:eastAsia="zh-CN"/>
              </w:rPr>
              <w:t>（详见竞争性磋商文件）；</w:t>
            </w:r>
          </w:p>
        </w:tc>
      </w:tr>
      <w:tr w14:paraId="537C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1" w:type="dxa"/>
            <w:noWrap w:val="0"/>
            <w:vAlign w:val="center"/>
          </w:tcPr>
          <w:p w14:paraId="2C5E275A">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4</w:t>
            </w:r>
          </w:p>
        </w:tc>
        <w:tc>
          <w:tcPr>
            <w:tcW w:w="1714" w:type="dxa"/>
            <w:noWrap w:val="0"/>
            <w:vAlign w:val="center"/>
          </w:tcPr>
          <w:p w14:paraId="3010C1E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资金来源</w:t>
            </w:r>
          </w:p>
        </w:tc>
        <w:tc>
          <w:tcPr>
            <w:tcW w:w="6013" w:type="dxa"/>
            <w:noWrap w:val="0"/>
            <w:vAlign w:val="center"/>
          </w:tcPr>
          <w:p w14:paraId="189C388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财政资金。</w:t>
            </w:r>
          </w:p>
        </w:tc>
      </w:tr>
      <w:tr w14:paraId="2721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jc w:val="center"/>
        </w:trPr>
        <w:tc>
          <w:tcPr>
            <w:tcW w:w="991" w:type="dxa"/>
            <w:noWrap w:val="0"/>
            <w:vAlign w:val="center"/>
          </w:tcPr>
          <w:p w14:paraId="02B021A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5</w:t>
            </w:r>
          </w:p>
        </w:tc>
        <w:tc>
          <w:tcPr>
            <w:tcW w:w="1714" w:type="dxa"/>
            <w:noWrap w:val="0"/>
            <w:vAlign w:val="center"/>
          </w:tcPr>
          <w:p w14:paraId="352A3EA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投标人资格条件</w:t>
            </w:r>
          </w:p>
        </w:tc>
        <w:tc>
          <w:tcPr>
            <w:tcW w:w="6013" w:type="dxa"/>
            <w:noWrap w:val="0"/>
            <w:vAlign w:val="center"/>
          </w:tcPr>
          <w:p w14:paraId="48FF60F5">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kern w:val="0"/>
                <w:sz w:val="24"/>
                <w:szCs w:val="24"/>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须符合《中华人民共和国政府采购法》第二十二条之规定；</w:t>
            </w:r>
          </w:p>
          <w:p w14:paraId="486322C6">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须具有合法有效的法人营业执照、国家和地方税务登记证、组织机构代码证、开户许可证；前述法人营业执照、税务登记证、组织机构代码证已三证合一的，则需提供具有统一社会信用代码的营业执照；</w:t>
            </w:r>
          </w:p>
          <w:p w14:paraId="40FE9019">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须提供法人授权函及被授权人身份证（正、反面复印件）；</w:t>
            </w:r>
          </w:p>
          <w:p w14:paraId="2DE73DD2">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 xml:space="preserve">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方可参加本项目的投标【以招标公告发布之日起至投标截止之日前在“信用中国”网站[www.creditchina.gov.cn]、中国政府采购网[www.ccgp.gov.cn]查询结果为准，如相关失信记录已失效，供应商需提供相关证明资料】。 </w:t>
            </w:r>
          </w:p>
          <w:p w14:paraId="19C0F781">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lang w:val="en" w:eastAsia="zh-CN"/>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本项目不接受联合体投标；</w:t>
            </w:r>
          </w:p>
          <w:p w14:paraId="6E23B164">
            <w:pPr>
              <w:keepNext w:val="0"/>
              <w:keepLines w:val="0"/>
              <w:pageBreakBefore w:val="0"/>
              <w:widowControl/>
              <w:numPr>
                <w:ilvl w:val="0"/>
                <w:numId w:val="2"/>
              </w:numPr>
              <w:suppressLineNumbers w:val="0"/>
              <w:wordWrap/>
              <w:overflowPunct/>
              <w:topLinePunct w:val="0"/>
              <w:bidi w:val="0"/>
              <w:spacing w:beforeAutospacing="0" w:afterAutospacing="0" w:line="360" w:lineRule="auto"/>
              <w:ind w:left="105" w:leftChars="50" w:right="105" w:rightChars="50" w:firstLine="420"/>
              <w:jc w:val="left"/>
              <w:rPr>
                <w:rFonts w:hint="eastAsia"/>
                <w:lang w:val="en" w:eastAsia="zh-CN"/>
              </w:rPr>
            </w:pPr>
            <w:r>
              <w:rPr>
                <w:rFonts w:hint="eastAsia" w:asciiTheme="minorEastAsia" w:hAnsiTheme="minorEastAsia" w:eastAsiaTheme="minorEastAsia" w:cstheme="minorEastAsia"/>
                <w:i w:val="0"/>
                <w:iCs w:val="0"/>
                <w:caps w:val="0"/>
                <w:color w:val="000000"/>
                <w:spacing w:val="0"/>
                <w:kern w:val="0"/>
                <w:sz w:val="24"/>
                <w:szCs w:val="24"/>
                <w:lang w:val="en-US" w:eastAsia="zh-CN" w:bidi="ar"/>
              </w:rPr>
              <w:t>本项目的特定资格要求：供应商须具有国家认可的公办培训机构资质或县级(含县级)以上人社部门颁发的民办培训机构办学许可证、具有合法有效的营业执照或民办非企业法人登记证，同时具备本次采购内容相关的电子商务、直播销售员相关工种。</w:t>
            </w:r>
          </w:p>
        </w:tc>
      </w:tr>
      <w:tr w14:paraId="1B96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1" w:type="dxa"/>
            <w:noWrap w:val="0"/>
            <w:vAlign w:val="center"/>
          </w:tcPr>
          <w:p w14:paraId="1835A44E">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6</w:t>
            </w:r>
          </w:p>
        </w:tc>
        <w:tc>
          <w:tcPr>
            <w:tcW w:w="1714" w:type="dxa"/>
            <w:noWrap w:val="0"/>
            <w:vAlign w:val="center"/>
          </w:tcPr>
          <w:p w14:paraId="4B0D549A">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投标有效期</w:t>
            </w:r>
          </w:p>
        </w:tc>
        <w:tc>
          <w:tcPr>
            <w:tcW w:w="6013" w:type="dxa"/>
            <w:noWrap w:val="0"/>
            <w:vAlign w:val="center"/>
          </w:tcPr>
          <w:p w14:paraId="1452E270">
            <w:pPr>
              <w:keepNext w:val="0"/>
              <w:keepLines w:val="0"/>
              <w:pageBreakBefore w:val="0"/>
              <w:widowControl/>
              <w:kinsoku w:val="0"/>
              <w:wordWrap/>
              <w:overflowPunct/>
              <w:topLinePunct w:val="0"/>
              <w:autoSpaceDE w:val="0"/>
              <w:autoSpaceDN w:val="0"/>
              <w:bidi w:val="0"/>
              <w:adjustRightInd w:val="0"/>
              <w:snapToGrid w:val="0"/>
              <w:spacing w:line="24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自递交投标文件截止时间起算60个日历天。</w:t>
            </w:r>
          </w:p>
        </w:tc>
      </w:tr>
      <w:tr w14:paraId="1C21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91" w:type="dxa"/>
            <w:noWrap w:val="0"/>
            <w:vAlign w:val="center"/>
          </w:tcPr>
          <w:p w14:paraId="7FE951E2">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7</w:t>
            </w:r>
          </w:p>
        </w:tc>
        <w:tc>
          <w:tcPr>
            <w:tcW w:w="1714" w:type="dxa"/>
            <w:noWrap w:val="0"/>
            <w:vAlign w:val="center"/>
          </w:tcPr>
          <w:p w14:paraId="556F271C">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预算金额</w:t>
            </w:r>
          </w:p>
        </w:tc>
        <w:tc>
          <w:tcPr>
            <w:tcW w:w="6013" w:type="dxa"/>
            <w:noWrap w:val="0"/>
            <w:vAlign w:val="center"/>
          </w:tcPr>
          <w:p w14:paraId="2F4CBDCD">
            <w:pPr>
              <w:keepNext w:val="0"/>
              <w:keepLines w:val="0"/>
              <w:pageBreakBefore w:val="0"/>
              <w:widowControl/>
              <w:kinsoku w:val="0"/>
              <w:wordWrap/>
              <w:overflowPunct/>
              <w:topLinePunct w:val="0"/>
              <w:autoSpaceDE w:val="0"/>
              <w:autoSpaceDN w:val="0"/>
              <w:bidi w:val="0"/>
              <w:adjustRightInd w:val="0"/>
              <w:snapToGrid w:val="0"/>
              <w:spacing w:line="360" w:lineRule="auto"/>
              <w:ind w:right="105" w:rightChars="50"/>
              <w:jc w:val="both"/>
              <w:textAlignment w:val="baseline"/>
              <w:rPr>
                <w:rFonts w:hint="eastAsia" w:asciiTheme="minorEastAsia" w:hAnsiTheme="minorEastAsia" w:eastAsiaTheme="minorEastAsia" w:cstheme="minorEastAsia"/>
                <w:snapToGrid w:val="0"/>
                <w:color w:val="FF0000"/>
                <w:spacing w:val="11"/>
                <w:kern w:val="0"/>
                <w:sz w:val="24"/>
                <w:szCs w:val="24"/>
                <w:lang w:val="en-US" w:eastAsia="zh-CN"/>
              </w:rPr>
            </w:pPr>
            <w:r>
              <w:rPr>
                <w:rFonts w:hint="eastAsia" w:asciiTheme="minorEastAsia" w:hAnsiTheme="minorEastAsia" w:eastAsiaTheme="minorEastAsia" w:cstheme="minorEastAsia"/>
                <w:b/>
                <w:bCs/>
                <w:snapToGrid w:val="0"/>
                <w:color w:val="FF0000"/>
                <w:spacing w:val="11"/>
                <w:kern w:val="0"/>
                <w:sz w:val="24"/>
                <w:szCs w:val="24"/>
                <w:lang w:val="en-US" w:eastAsia="zh-CN"/>
              </w:rPr>
              <w:t>40.0万元</w:t>
            </w:r>
            <w:r>
              <w:rPr>
                <w:rFonts w:hint="eastAsia" w:asciiTheme="minorEastAsia" w:hAnsiTheme="minorEastAsia" w:eastAsiaTheme="minorEastAsia" w:cstheme="minorEastAsia"/>
                <w:snapToGrid w:val="0"/>
                <w:color w:val="FF0000"/>
                <w:spacing w:val="11"/>
                <w:kern w:val="0"/>
                <w:sz w:val="24"/>
                <w:szCs w:val="24"/>
                <w:lang w:val="en-US" w:eastAsia="zh-CN"/>
              </w:rPr>
              <w:t>。</w:t>
            </w:r>
          </w:p>
          <w:p w14:paraId="1FD3D1A0">
            <w:pPr>
              <w:pStyle w:val="7"/>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FF0000"/>
                <w:spacing w:val="11"/>
                <w:kern w:val="0"/>
                <w:sz w:val="24"/>
                <w:szCs w:val="24"/>
                <w:lang w:val="en-US" w:eastAsia="zh-CN"/>
              </w:rPr>
              <w:t>最高限价：40.0万元</w:t>
            </w:r>
            <w:r>
              <w:rPr>
                <w:rFonts w:hint="eastAsia" w:asciiTheme="minorEastAsia" w:hAnsiTheme="minorEastAsia" w:eastAsiaTheme="minorEastAsia" w:cstheme="minorEastAsia"/>
                <w:b/>
                <w:bCs/>
                <w:snapToGrid w:val="0"/>
                <w:color w:val="FF0000"/>
                <w:spacing w:val="11"/>
                <w:kern w:val="0"/>
                <w:sz w:val="24"/>
                <w:szCs w:val="24"/>
                <w:lang w:val="en-US" w:eastAsia="zh-CN"/>
              </w:rPr>
              <w:t>（超过限价按废标处理）</w:t>
            </w:r>
          </w:p>
        </w:tc>
      </w:tr>
      <w:tr w14:paraId="3459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1" w:type="dxa"/>
            <w:noWrap w:val="0"/>
            <w:vAlign w:val="center"/>
          </w:tcPr>
          <w:p w14:paraId="47261A3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8</w:t>
            </w:r>
          </w:p>
        </w:tc>
        <w:tc>
          <w:tcPr>
            <w:tcW w:w="1714" w:type="dxa"/>
            <w:noWrap w:val="0"/>
            <w:vAlign w:val="center"/>
          </w:tcPr>
          <w:p w14:paraId="5D4E87D3">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center"/>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招标预备会</w:t>
            </w:r>
          </w:p>
        </w:tc>
        <w:tc>
          <w:tcPr>
            <w:tcW w:w="6013" w:type="dxa"/>
            <w:noWrap w:val="0"/>
            <w:vAlign w:val="center"/>
          </w:tcPr>
          <w:p w14:paraId="6BB96AB4">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105" w:rightChars="50" w:firstLine="0" w:firstLineChars="0"/>
              <w:jc w:val="both"/>
              <w:textAlignment w:val="baseline"/>
              <w:rPr>
                <w:rFonts w:hint="eastAsia" w:asciiTheme="minorEastAsia" w:hAnsiTheme="minorEastAsia" w:eastAsiaTheme="minorEastAsia" w:cstheme="minorEastAsia"/>
                <w:snapToGrid w:val="0"/>
                <w:color w:val="000000"/>
                <w:spacing w:val="11"/>
                <w:kern w:val="0"/>
                <w:sz w:val="24"/>
                <w:szCs w:val="24"/>
                <w:lang w:val="en" w:eastAsia="zh-CN"/>
              </w:rPr>
            </w:pPr>
            <w:r>
              <w:rPr>
                <w:rFonts w:hint="eastAsia" w:asciiTheme="minorEastAsia" w:hAnsiTheme="minorEastAsia" w:eastAsiaTheme="minorEastAsia" w:cstheme="minorEastAsia"/>
                <w:snapToGrid w:val="0"/>
                <w:color w:val="000000"/>
                <w:spacing w:val="11"/>
                <w:kern w:val="0"/>
                <w:sz w:val="24"/>
                <w:szCs w:val="24"/>
                <w:lang w:val="en" w:eastAsia="zh-CN"/>
              </w:rPr>
              <w:t>日期：  年   月   日   时（本项目不组织招标预备会）</w:t>
            </w:r>
          </w:p>
        </w:tc>
      </w:tr>
      <w:tr w14:paraId="0487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1" w:type="dxa"/>
            <w:noWrap w:val="0"/>
            <w:vAlign w:val="center"/>
          </w:tcPr>
          <w:p w14:paraId="3290C76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eastAsia="zh-CN"/>
              </w:rPr>
            </w:pPr>
            <w:r>
              <w:rPr>
                <w:rFonts w:hint="eastAsia" w:asciiTheme="minorEastAsia" w:hAnsiTheme="minorEastAsia" w:eastAsiaTheme="minorEastAsia" w:cstheme="minorEastAsia"/>
                <w:snapToGrid/>
                <w:color w:val="000000"/>
                <w:kern w:val="2"/>
                <w:sz w:val="24"/>
                <w:szCs w:val="24"/>
                <w:lang w:val="en-US" w:eastAsia="zh-CN"/>
              </w:rPr>
              <w:t>9</w:t>
            </w:r>
          </w:p>
        </w:tc>
        <w:tc>
          <w:tcPr>
            <w:tcW w:w="1714" w:type="dxa"/>
            <w:noWrap w:val="0"/>
            <w:vAlign w:val="center"/>
          </w:tcPr>
          <w:p w14:paraId="008A4F3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lang w:val="en-US" w:eastAsia="zh-CN"/>
              </w:rPr>
              <w:t>响应</w:t>
            </w:r>
            <w:r>
              <w:rPr>
                <w:rFonts w:hint="eastAsia" w:asciiTheme="minorEastAsia" w:hAnsiTheme="minorEastAsia" w:eastAsiaTheme="minorEastAsia" w:cstheme="minorEastAsia"/>
                <w:snapToGrid/>
                <w:color w:val="000000"/>
                <w:kern w:val="2"/>
                <w:sz w:val="24"/>
                <w:szCs w:val="24"/>
              </w:rPr>
              <w:t>文件</w:t>
            </w:r>
          </w:p>
          <w:p w14:paraId="013356F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rPr>
              <w:t>份数</w:t>
            </w:r>
          </w:p>
        </w:tc>
        <w:tc>
          <w:tcPr>
            <w:tcW w:w="6013" w:type="dxa"/>
            <w:noWrap w:val="0"/>
            <w:vAlign w:val="center"/>
          </w:tcPr>
          <w:p w14:paraId="52E8831F">
            <w:pPr>
              <w:keepNext w:val="0"/>
              <w:keepLines w:val="0"/>
              <w:pageBreakBefore w:val="0"/>
              <w:widowControl/>
              <w:suppressLineNumbers w:val="0"/>
              <w:kinsoku/>
              <w:wordWrap/>
              <w:overflowPunct/>
              <w:topLinePunct w:val="0"/>
              <w:autoSpaceDE/>
              <w:autoSpaceDN/>
              <w:bidi w:val="0"/>
              <w:adjustRightInd/>
              <w:snapToGrid/>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CA进行所有操作。若在开标时间前没有网上投标（上传投标文件）则视为放弃投标。</w:t>
            </w:r>
          </w:p>
          <w:p w14:paraId="465BA99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105" w:leftChars="50" w:right="105" w:rightChars="50"/>
              <w:jc w:val="both"/>
              <w:textAlignment w:val="auto"/>
              <w:rPr>
                <w:rFonts w:hint="eastAsia" w:asciiTheme="minorEastAsia" w:hAnsiTheme="minorEastAsia" w:eastAsiaTheme="minorEastAsia" w:cstheme="minorEastAsia"/>
                <w:spacing w:val="0"/>
                <w:position w:val="0"/>
                <w:sz w:val="24"/>
                <w:szCs w:val="24"/>
                <w:lang w:val="en-US" w:eastAsia="zh-CN"/>
              </w:rPr>
            </w:pPr>
            <w:r>
              <w:rPr>
                <w:rFonts w:hint="eastAsia" w:asciiTheme="minorEastAsia" w:hAnsiTheme="minorEastAsia" w:eastAsiaTheme="minorEastAsia" w:cstheme="minorEastAsia"/>
                <w:b/>
                <w:color w:val="FF0000"/>
                <w:spacing w:val="0"/>
                <w:kern w:val="0"/>
                <w:position w:val="0"/>
                <w:sz w:val="24"/>
                <w:szCs w:val="24"/>
                <w:lang w:val="en-US" w:eastAsia="zh-CN" w:bidi="ar"/>
              </w:rPr>
              <w:t>投标单位需要在2024年11月11日上午10:00时前上传投标文件，否则引起的相关责任自负。</w:t>
            </w:r>
          </w:p>
          <w:p w14:paraId="34C464C5">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105" w:leftChars="50" w:right="105" w:rightChars="50" w:firstLine="480" w:firstLineChars="200"/>
              <w:jc w:val="both"/>
              <w:textAlignment w:val="auto"/>
              <w:rPr>
                <w:rFonts w:hint="eastAsia" w:asciiTheme="minorEastAsia" w:hAnsiTheme="minorEastAsia" w:eastAsiaTheme="minorEastAsia" w:cstheme="minorEastAsia"/>
                <w:b w:val="0"/>
                <w:bCs/>
                <w:color w:val="FF0000"/>
                <w:spacing w:val="0"/>
                <w:kern w:val="0"/>
                <w:position w:val="0"/>
                <w:sz w:val="24"/>
                <w:szCs w:val="24"/>
                <w:lang w:val="en-US" w:eastAsia="zh-CN" w:bidi="ar"/>
              </w:rPr>
            </w:pPr>
            <w:r>
              <w:rPr>
                <w:rFonts w:hint="eastAsia" w:asciiTheme="minorEastAsia" w:hAnsiTheme="minorEastAsia" w:eastAsiaTheme="minorEastAsia" w:cstheme="minorEastAsia"/>
                <w:b w:val="0"/>
                <w:bCs/>
                <w:color w:val="FF0000"/>
                <w:spacing w:val="0"/>
                <w:kern w:val="0"/>
                <w:position w:val="0"/>
                <w:sz w:val="24"/>
                <w:szCs w:val="24"/>
                <w:lang w:val="en-US" w:eastAsia="zh-CN" w:bidi="ar"/>
              </w:rPr>
              <w:t>请投标人在开标后5个工作日内将最终上传的投标文件打印装订成册，送至甘肃正荣项目管理咨询有限公司（甘肃省陇南市武都区东江新区建民桥南李家咀2号、联系电话：15002592750）。未送达者将上报财政部门将其拉入政府采购黑名单。具体内容：</w:t>
            </w:r>
          </w:p>
          <w:p w14:paraId="30433C5C">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105" w:leftChars="50" w:right="105" w:rightChars="50"/>
              <w:jc w:val="both"/>
              <w:textAlignment w:val="auto"/>
              <w:rPr>
                <w:rFonts w:hint="eastAsia" w:asciiTheme="minorEastAsia" w:hAnsiTheme="minorEastAsia" w:eastAsiaTheme="minorEastAsia" w:cstheme="minorEastAsia"/>
                <w:b w:val="0"/>
                <w:bCs/>
                <w:color w:val="FF0000"/>
                <w:spacing w:val="0"/>
                <w:kern w:val="0"/>
                <w:position w:val="0"/>
                <w:sz w:val="24"/>
                <w:szCs w:val="24"/>
                <w:lang w:val="en-US" w:eastAsia="zh-CN" w:bidi="ar"/>
              </w:rPr>
            </w:pPr>
            <w:r>
              <w:rPr>
                <w:rFonts w:hint="eastAsia" w:asciiTheme="minorEastAsia" w:hAnsiTheme="minorEastAsia" w:eastAsiaTheme="minorEastAsia" w:cstheme="minorEastAsia"/>
                <w:b w:val="0"/>
                <w:bCs/>
                <w:color w:val="FF0000"/>
                <w:spacing w:val="0"/>
                <w:kern w:val="0"/>
                <w:position w:val="0"/>
                <w:sz w:val="24"/>
                <w:szCs w:val="24"/>
                <w:lang w:val="en-US" w:eastAsia="zh-CN" w:bidi="ar"/>
              </w:rPr>
              <w:t>（1）纸质文件份数：正本壹份、副本贰份。</w:t>
            </w:r>
          </w:p>
          <w:p w14:paraId="5C9BB5D7">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105" w:leftChars="50" w:right="105" w:rightChars="50"/>
              <w:jc w:val="both"/>
              <w:textAlignment w:val="auto"/>
              <w:rPr>
                <w:rFonts w:hint="eastAsia" w:asciiTheme="minorEastAsia" w:hAnsiTheme="minorEastAsia" w:eastAsiaTheme="minorEastAsia" w:cstheme="minorEastAsia"/>
                <w:b w:val="0"/>
                <w:bCs/>
                <w:color w:val="FF0000"/>
                <w:spacing w:val="0"/>
                <w:kern w:val="0"/>
                <w:position w:val="0"/>
                <w:sz w:val="24"/>
                <w:szCs w:val="24"/>
                <w:lang w:val="en-US" w:eastAsia="zh-CN" w:bidi="ar"/>
              </w:rPr>
            </w:pPr>
            <w:r>
              <w:rPr>
                <w:rFonts w:hint="eastAsia" w:asciiTheme="minorEastAsia" w:hAnsiTheme="minorEastAsia" w:eastAsiaTheme="minorEastAsia" w:cstheme="minorEastAsia"/>
                <w:b w:val="0"/>
                <w:bCs/>
                <w:color w:val="FF0000"/>
                <w:spacing w:val="0"/>
                <w:kern w:val="0"/>
                <w:position w:val="0"/>
                <w:sz w:val="24"/>
                <w:szCs w:val="24"/>
                <w:lang w:val="en-US" w:eastAsia="zh-CN" w:bidi="ar"/>
              </w:rPr>
              <w:t>（2）电子版文件要求：电子版 U 盘壹份；U盘为PDF文件（PDF文件内容与纸质版文件正本完全一致）。</w:t>
            </w:r>
          </w:p>
          <w:p w14:paraId="23960BF7">
            <w:pPr>
              <w:pStyle w:val="7"/>
              <w:keepNext w:val="0"/>
              <w:keepLines w:val="0"/>
              <w:pageBreakBefore w:val="0"/>
              <w:wordWrap/>
              <w:overflowPunct/>
              <w:topLinePunct w:val="0"/>
              <w:bidi w:val="0"/>
              <w:spacing w:after="0" w:line="360" w:lineRule="auto"/>
              <w:ind w:left="105" w:leftChars="50" w:right="105" w:rightChars="50"/>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b w:val="0"/>
                <w:bCs/>
                <w:color w:val="FF0000"/>
                <w:spacing w:val="0"/>
                <w:kern w:val="0"/>
                <w:position w:val="0"/>
                <w:sz w:val="24"/>
                <w:szCs w:val="24"/>
                <w:lang w:val="en-US" w:eastAsia="zh-CN" w:bidi="ar"/>
              </w:rPr>
              <w:t xml:space="preserve">注：所有投标文件不予退回 </w:t>
            </w:r>
          </w:p>
        </w:tc>
      </w:tr>
      <w:tr w14:paraId="5BF0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91" w:type="dxa"/>
            <w:noWrap w:val="0"/>
            <w:vAlign w:val="center"/>
          </w:tcPr>
          <w:p w14:paraId="57B0696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10</w:t>
            </w:r>
          </w:p>
        </w:tc>
        <w:tc>
          <w:tcPr>
            <w:tcW w:w="1714" w:type="dxa"/>
            <w:noWrap w:val="0"/>
            <w:vAlign w:val="center"/>
          </w:tcPr>
          <w:p w14:paraId="042A4E5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lang w:val="en-US" w:eastAsia="zh-CN"/>
              </w:rPr>
              <w:t>响应</w:t>
            </w:r>
            <w:r>
              <w:rPr>
                <w:rFonts w:hint="eastAsia" w:asciiTheme="minorEastAsia" w:hAnsiTheme="minorEastAsia" w:eastAsiaTheme="minorEastAsia" w:cstheme="minorEastAsia"/>
                <w:snapToGrid/>
                <w:color w:val="000000"/>
                <w:kern w:val="2"/>
                <w:sz w:val="24"/>
                <w:szCs w:val="24"/>
              </w:rPr>
              <w:t>文件</w:t>
            </w:r>
          </w:p>
          <w:p w14:paraId="426F75B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rPr>
              <w:t>递交</w:t>
            </w:r>
          </w:p>
        </w:tc>
        <w:tc>
          <w:tcPr>
            <w:tcW w:w="6013" w:type="dxa"/>
            <w:noWrap w:val="0"/>
            <w:vAlign w:val="center"/>
          </w:tcPr>
          <w:p w14:paraId="581274F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color w:val="FF0000"/>
                <w:kern w:val="2"/>
                <w:sz w:val="24"/>
                <w:szCs w:val="24"/>
                <w:highlight w:val="none"/>
                <w:lang w:val="en-US" w:eastAsia="zh-CN"/>
              </w:rPr>
            </w:pPr>
            <w:r>
              <w:rPr>
                <w:rFonts w:hint="eastAsia" w:asciiTheme="minorEastAsia" w:hAnsiTheme="minorEastAsia" w:eastAsiaTheme="minorEastAsia" w:cstheme="minorEastAsia"/>
                <w:b w:val="0"/>
                <w:bCs/>
                <w:snapToGrid/>
                <w:color w:val="FF0000"/>
                <w:kern w:val="2"/>
                <w:sz w:val="24"/>
                <w:szCs w:val="24"/>
                <w:highlight w:val="none"/>
                <w:lang w:val="en-US" w:eastAsia="zh-CN"/>
              </w:rPr>
              <w:t>开评标活动通过“新点不见面网上开标大厅”进行</w:t>
            </w:r>
          </w:p>
          <w:p w14:paraId="5D99DEC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color w:val="auto"/>
                <w:kern w:val="2"/>
                <w:sz w:val="24"/>
                <w:szCs w:val="24"/>
              </w:rPr>
            </w:pPr>
            <w:r>
              <w:rPr>
                <w:rFonts w:hint="eastAsia" w:asciiTheme="minorEastAsia" w:hAnsiTheme="minorEastAsia" w:eastAsiaTheme="minorEastAsia" w:cstheme="minorEastAsia"/>
                <w:b w:val="0"/>
                <w:bCs/>
                <w:snapToGrid/>
                <w:color w:val="FF0000"/>
                <w:kern w:val="2"/>
                <w:sz w:val="24"/>
                <w:szCs w:val="24"/>
                <w:highlight w:val="none"/>
              </w:rPr>
              <w:t>截止时间</w:t>
            </w:r>
            <w:r>
              <w:rPr>
                <w:rFonts w:hint="eastAsia" w:asciiTheme="minorEastAsia" w:hAnsiTheme="minorEastAsia" w:eastAsiaTheme="minorEastAsia" w:cstheme="minorEastAsia"/>
                <w:b w:val="0"/>
                <w:bCs/>
                <w:snapToGrid/>
                <w:color w:val="FF0000"/>
                <w:kern w:val="2"/>
                <w:sz w:val="24"/>
                <w:szCs w:val="24"/>
                <w:highlight w:val="none"/>
                <w:lang w:eastAsia="zh-CN"/>
              </w:rPr>
              <w:t>：</w:t>
            </w:r>
            <w:r>
              <w:rPr>
                <w:rFonts w:hint="eastAsia" w:asciiTheme="minorEastAsia" w:hAnsiTheme="minorEastAsia" w:eastAsiaTheme="minorEastAsia" w:cstheme="minorEastAsia"/>
                <w:b w:val="0"/>
                <w:bCs/>
                <w:snapToGrid/>
                <w:color w:val="FF0000"/>
                <w:kern w:val="2"/>
                <w:sz w:val="24"/>
                <w:szCs w:val="24"/>
                <w:highlight w:val="none"/>
                <w:lang w:val="en" w:eastAsia="zh-CN"/>
              </w:rPr>
              <w:t>2024年</w:t>
            </w:r>
            <w:r>
              <w:rPr>
                <w:rFonts w:hint="eastAsia" w:asciiTheme="minorEastAsia" w:hAnsiTheme="minorEastAsia" w:eastAsiaTheme="minorEastAsia" w:cstheme="minorEastAsia"/>
                <w:b w:val="0"/>
                <w:bCs/>
                <w:snapToGrid/>
                <w:color w:val="FF0000"/>
                <w:kern w:val="2"/>
                <w:sz w:val="24"/>
                <w:szCs w:val="24"/>
                <w:highlight w:val="none"/>
                <w:lang w:val="en-US" w:eastAsia="zh-CN"/>
              </w:rPr>
              <w:t>11</w:t>
            </w:r>
            <w:r>
              <w:rPr>
                <w:rFonts w:hint="eastAsia" w:asciiTheme="minorEastAsia" w:hAnsiTheme="minorEastAsia" w:eastAsiaTheme="minorEastAsia" w:cstheme="minorEastAsia"/>
                <w:b w:val="0"/>
                <w:bCs/>
                <w:snapToGrid/>
                <w:color w:val="FF0000"/>
                <w:kern w:val="2"/>
                <w:sz w:val="24"/>
                <w:szCs w:val="24"/>
                <w:highlight w:val="none"/>
                <w:lang w:val="en" w:eastAsia="zh-CN"/>
              </w:rPr>
              <w:t>月</w:t>
            </w:r>
            <w:r>
              <w:rPr>
                <w:rFonts w:hint="eastAsia" w:asciiTheme="minorEastAsia" w:hAnsiTheme="minorEastAsia" w:eastAsiaTheme="minorEastAsia" w:cstheme="minorEastAsia"/>
                <w:b w:val="0"/>
                <w:bCs/>
                <w:snapToGrid/>
                <w:color w:val="FF0000"/>
                <w:kern w:val="2"/>
                <w:sz w:val="24"/>
                <w:szCs w:val="24"/>
                <w:highlight w:val="none"/>
                <w:lang w:val="en-US" w:eastAsia="zh-CN"/>
              </w:rPr>
              <w:t>11</w:t>
            </w:r>
            <w:r>
              <w:rPr>
                <w:rFonts w:hint="eastAsia" w:asciiTheme="minorEastAsia" w:hAnsiTheme="minorEastAsia" w:eastAsiaTheme="minorEastAsia" w:cstheme="minorEastAsia"/>
                <w:b w:val="0"/>
                <w:bCs/>
                <w:snapToGrid/>
                <w:color w:val="FF0000"/>
                <w:kern w:val="2"/>
                <w:sz w:val="24"/>
                <w:szCs w:val="24"/>
                <w:highlight w:val="none"/>
                <w:lang w:val="en" w:eastAsia="zh-CN"/>
              </w:rPr>
              <w:t>日</w:t>
            </w:r>
            <w:r>
              <w:rPr>
                <w:rFonts w:hint="eastAsia" w:asciiTheme="minorEastAsia" w:hAnsiTheme="minorEastAsia" w:eastAsiaTheme="minorEastAsia" w:cstheme="minorEastAsia"/>
                <w:b w:val="0"/>
                <w:bCs/>
                <w:snapToGrid/>
                <w:color w:val="FF0000"/>
                <w:kern w:val="2"/>
                <w:sz w:val="24"/>
                <w:szCs w:val="24"/>
                <w:highlight w:val="none"/>
                <w:lang w:val="en-US" w:eastAsia="zh-CN"/>
              </w:rPr>
              <w:t>上</w:t>
            </w:r>
            <w:r>
              <w:rPr>
                <w:rFonts w:hint="eastAsia" w:asciiTheme="minorEastAsia" w:hAnsiTheme="minorEastAsia" w:eastAsiaTheme="minorEastAsia" w:cstheme="minorEastAsia"/>
                <w:b w:val="0"/>
                <w:bCs/>
                <w:snapToGrid/>
                <w:color w:val="FF0000"/>
                <w:kern w:val="2"/>
                <w:sz w:val="24"/>
                <w:szCs w:val="24"/>
                <w:highlight w:val="none"/>
                <w:lang w:val="en" w:eastAsia="zh-CN"/>
              </w:rPr>
              <w:t>午</w:t>
            </w:r>
            <w:r>
              <w:rPr>
                <w:rFonts w:hint="eastAsia" w:asciiTheme="minorEastAsia" w:hAnsiTheme="minorEastAsia" w:eastAsiaTheme="minorEastAsia" w:cstheme="minorEastAsia"/>
                <w:b w:val="0"/>
                <w:bCs/>
                <w:snapToGrid/>
                <w:color w:val="FF0000"/>
                <w:kern w:val="2"/>
                <w:sz w:val="24"/>
                <w:szCs w:val="24"/>
                <w:highlight w:val="none"/>
                <w:lang w:val="en-US" w:eastAsia="zh-CN"/>
              </w:rPr>
              <w:t>10</w:t>
            </w:r>
            <w:r>
              <w:rPr>
                <w:rFonts w:hint="eastAsia" w:asciiTheme="minorEastAsia" w:hAnsiTheme="minorEastAsia" w:eastAsiaTheme="minorEastAsia" w:cstheme="minorEastAsia"/>
                <w:b w:val="0"/>
                <w:bCs/>
                <w:snapToGrid/>
                <w:color w:val="FF0000"/>
                <w:kern w:val="2"/>
                <w:sz w:val="24"/>
                <w:szCs w:val="24"/>
                <w:highlight w:val="none"/>
                <w:lang w:val="en" w:eastAsia="zh-CN"/>
              </w:rPr>
              <w:t>:</w:t>
            </w:r>
            <w:r>
              <w:rPr>
                <w:rFonts w:hint="eastAsia" w:asciiTheme="minorEastAsia" w:hAnsiTheme="minorEastAsia" w:eastAsiaTheme="minorEastAsia" w:cstheme="minorEastAsia"/>
                <w:b w:val="0"/>
                <w:bCs/>
                <w:snapToGrid/>
                <w:color w:val="FF0000"/>
                <w:kern w:val="2"/>
                <w:sz w:val="24"/>
                <w:szCs w:val="24"/>
                <w:highlight w:val="none"/>
                <w:lang w:val="en-US" w:eastAsia="zh-CN"/>
              </w:rPr>
              <w:t>0</w:t>
            </w:r>
            <w:r>
              <w:rPr>
                <w:rFonts w:hint="eastAsia" w:asciiTheme="minorEastAsia" w:hAnsiTheme="minorEastAsia" w:eastAsiaTheme="minorEastAsia" w:cstheme="minorEastAsia"/>
                <w:b w:val="0"/>
                <w:bCs/>
                <w:snapToGrid/>
                <w:color w:val="FF0000"/>
                <w:kern w:val="2"/>
                <w:sz w:val="24"/>
                <w:szCs w:val="24"/>
                <w:highlight w:val="none"/>
                <w:lang w:val="en" w:eastAsia="zh-CN"/>
              </w:rPr>
              <w:t>0时</w:t>
            </w:r>
            <w:r>
              <w:rPr>
                <w:rFonts w:hint="eastAsia" w:asciiTheme="minorEastAsia" w:hAnsiTheme="minorEastAsia" w:eastAsiaTheme="minorEastAsia" w:cstheme="minorEastAsia"/>
                <w:b w:val="0"/>
                <w:bCs/>
                <w:snapToGrid/>
                <w:color w:val="FF0000"/>
                <w:kern w:val="2"/>
                <w:sz w:val="24"/>
                <w:szCs w:val="24"/>
                <w:highlight w:val="none"/>
              </w:rPr>
              <w:t>（北京时间）逾期不予受理</w:t>
            </w:r>
          </w:p>
        </w:tc>
      </w:tr>
      <w:tr w14:paraId="29BD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91" w:type="dxa"/>
            <w:noWrap w:val="0"/>
            <w:vAlign w:val="center"/>
          </w:tcPr>
          <w:p w14:paraId="3E47D2E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11</w:t>
            </w:r>
          </w:p>
        </w:tc>
        <w:tc>
          <w:tcPr>
            <w:tcW w:w="1714" w:type="dxa"/>
            <w:noWrap w:val="0"/>
            <w:vAlign w:val="center"/>
          </w:tcPr>
          <w:p w14:paraId="5975D7E7">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eastAsia="zh-CN"/>
              </w:rPr>
            </w:pPr>
            <w:r>
              <w:rPr>
                <w:rFonts w:hint="eastAsia" w:asciiTheme="minorEastAsia" w:hAnsiTheme="minorEastAsia" w:eastAsiaTheme="minorEastAsia" w:cstheme="minorEastAsia"/>
                <w:snapToGrid/>
                <w:color w:val="000000"/>
                <w:kern w:val="2"/>
                <w:sz w:val="24"/>
                <w:szCs w:val="24"/>
                <w:lang w:eastAsia="zh-CN"/>
              </w:rPr>
              <w:t>开标时间</w:t>
            </w:r>
          </w:p>
        </w:tc>
        <w:tc>
          <w:tcPr>
            <w:tcW w:w="6013" w:type="dxa"/>
            <w:noWrap w:val="0"/>
            <w:vAlign w:val="center"/>
          </w:tcPr>
          <w:p w14:paraId="7CF9C75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val="0"/>
                <w:color w:val="auto"/>
                <w:kern w:val="2"/>
                <w:sz w:val="24"/>
                <w:szCs w:val="24"/>
                <w:highlight w:val="none"/>
                <w:lang w:val="en-US" w:eastAsia="zh-CN" w:bidi="ar-SA"/>
              </w:rPr>
            </w:pPr>
            <w:r>
              <w:rPr>
                <w:rFonts w:hint="eastAsia" w:asciiTheme="minorEastAsia" w:hAnsiTheme="minorEastAsia" w:eastAsiaTheme="minorEastAsia" w:cstheme="minorEastAsia"/>
                <w:b w:val="0"/>
                <w:bCs/>
                <w:snapToGrid/>
                <w:color w:val="FF0000"/>
                <w:kern w:val="2"/>
                <w:sz w:val="24"/>
                <w:szCs w:val="24"/>
                <w:highlight w:val="none"/>
                <w:lang w:val="en" w:eastAsia="zh-CN"/>
              </w:rPr>
              <w:t>2024年</w:t>
            </w:r>
            <w:r>
              <w:rPr>
                <w:rFonts w:hint="eastAsia" w:asciiTheme="minorEastAsia" w:hAnsiTheme="minorEastAsia" w:eastAsiaTheme="minorEastAsia" w:cstheme="minorEastAsia"/>
                <w:b w:val="0"/>
                <w:bCs/>
                <w:snapToGrid/>
                <w:color w:val="FF0000"/>
                <w:kern w:val="2"/>
                <w:sz w:val="24"/>
                <w:szCs w:val="24"/>
                <w:highlight w:val="none"/>
                <w:lang w:val="en-US" w:eastAsia="zh-CN"/>
              </w:rPr>
              <w:t>11</w:t>
            </w:r>
            <w:r>
              <w:rPr>
                <w:rFonts w:hint="eastAsia" w:asciiTheme="minorEastAsia" w:hAnsiTheme="minorEastAsia" w:eastAsiaTheme="minorEastAsia" w:cstheme="minorEastAsia"/>
                <w:b w:val="0"/>
                <w:bCs/>
                <w:snapToGrid/>
                <w:color w:val="FF0000"/>
                <w:kern w:val="2"/>
                <w:sz w:val="24"/>
                <w:szCs w:val="24"/>
                <w:highlight w:val="none"/>
                <w:lang w:val="en" w:eastAsia="zh-CN"/>
              </w:rPr>
              <w:t>月</w:t>
            </w:r>
            <w:r>
              <w:rPr>
                <w:rFonts w:hint="eastAsia" w:asciiTheme="minorEastAsia" w:hAnsiTheme="minorEastAsia" w:eastAsiaTheme="minorEastAsia" w:cstheme="minorEastAsia"/>
                <w:b w:val="0"/>
                <w:bCs/>
                <w:snapToGrid/>
                <w:color w:val="FF0000"/>
                <w:kern w:val="2"/>
                <w:sz w:val="24"/>
                <w:szCs w:val="24"/>
                <w:highlight w:val="none"/>
                <w:lang w:val="en-US" w:eastAsia="zh-CN"/>
              </w:rPr>
              <w:t>11</w:t>
            </w:r>
            <w:r>
              <w:rPr>
                <w:rFonts w:hint="eastAsia" w:asciiTheme="minorEastAsia" w:hAnsiTheme="minorEastAsia" w:eastAsiaTheme="minorEastAsia" w:cstheme="minorEastAsia"/>
                <w:b w:val="0"/>
                <w:bCs/>
                <w:snapToGrid/>
                <w:color w:val="FF0000"/>
                <w:kern w:val="2"/>
                <w:sz w:val="24"/>
                <w:szCs w:val="24"/>
                <w:highlight w:val="none"/>
                <w:lang w:val="en" w:eastAsia="zh-CN"/>
              </w:rPr>
              <w:t>日</w:t>
            </w:r>
            <w:r>
              <w:rPr>
                <w:rFonts w:hint="eastAsia" w:asciiTheme="minorEastAsia" w:hAnsiTheme="minorEastAsia" w:eastAsiaTheme="minorEastAsia" w:cstheme="minorEastAsia"/>
                <w:b w:val="0"/>
                <w:bCs/>
                <w:snapToGrid/>
                <w:color w:val="FF0000"/>
                <w:kern w:val="2"/>
                <w:sz w:val="24"/>
                <w:szCs w:val="24"/>
                <w:highlight w:val="none"/>
                <w:lang w:val="en-US" w:eastAsia="zh-CN"/>
              </w:rPr>
              <w:t>上</w:t>
            </w:r>
            <w:r>
              <w:rPr>
                <w:rFonts w:hint="eastAsia" w:asciiTheme="minorEastAsia" w:hAnsiTheme="minorEastAsia" w:eastAsiaTheme="minorEastAsia" w:cstheme="minorEastAsia"/>
                <w:b w:val="0"/>
                <w:bCs/>
                <w:snapToGrid/>
                <w:color w:val="FF0000"/>
                <w:kern w:val="2"/>
                <w:sz w:val="24"/>
                <w:szCs w:val="24"/>
                <w:highlight w:val="none"/>
                <w:lang w:val="en" w:eastAsia="zh-CN"/>
              </w:rPr>
              <w:t>午</w:t>
            </w:r>
            <w:r>
              <w:rPr>
                <w:rFonts w:hint="eastAsia" w:asciiTheme="minorEastAsia" w:hAnsiTheme="minorEastAsia" w:eastAsiaTheme="minorEastAsia" w:cstheme="minorEastAsia"/>
                <w:b w:val="0"/>
                <w:bCs/>
                <w:snapToGrid/>
                <w:color w:val="FF0000"/>
                <w:kern w:val="2"/>
                <w:sz w:val="24"/>
                <w:szCs w:val="24"/>
                <w:highlight w:val="none"/>
                <w:lang w:val="en-US" w:eastAsia="zh-CN"/>
              </w:rPr>
              <w:t>10</w:t>
            </w:r>
            <w:r>
              <w:rPr>
                <w:rFonts w:hint="eastAsia" w:asciiTheme="minorEastAsia" w:hAnsiTheme="minorEastAsia" w:eastAsiaTheme="minorEastAsia" w:cstheme="minorEastAsia"/>
                <w:b w:val="0"/>
                <w:bCs/>
                <w:snapToGrid/>
                <w:color w:val="FF0000"/>
                <w:kern w:val="2"/>
                <w:sz w:val="24"/>
                <w:szCs w:val="24"/>
                <w:highlight w:val="none"/>
                <w:lang w:val="en" w:eastAsia="zh-CN"/>
              </w:rPr>
              <w:t>:</w:t>
            </w:r>
            <w:r>
              <w:rPr>
                <w:rFonts w:hint="eastAsia" w:asciiTheme="minorEastAsia" w:hAnsiTheme="minorEastAsia" w:eastAsiaTheme="minorEastAsia" w:cstheme="minorEastAsia"/>
                <w:b w:val="0"/>
                <w:bCs/>
                <w:snapToGrid/>
                <w:color w:val="FF0000"/>
                <w:kern w:val="2"/>
                <w:sz w:val="24"/>
                <w:szCs w:val="24"/>
                <w:highlight w:val="none"/>
                <w:lang w:val="en-US" w:eastAsia="zh-CN"/>
              </w:rPr>
              <w:t>0</w:t>
            </w:r>
            <w:r>
              <w:rPr>
                <w:rFonts w:hint="eastAsia" w:asciiTheme="minorEastAsia" w:hAnsiTheme="minorEastAsia" w:eastAsiaTheme="minorEastAsia" w:cstheme="minorEastAsia"/>
                <w:b w:val="0"/>
                <w:bCs/>
                <w:snapToGrid/>
                <w:color w:val="FF0000"/>
                <w:kern w:val="2"/>
                <w:sz w:val="24"/>
                <w:szCs w:val="24"/>
                <w:highlight w:val="none"/>
                <w:lang w:val="en" w:eastAsia="zh-CN"/>
              </w:rPr>
              <w:t>0时</w:t>
            </w:r>
            <w:r>
              <w:rPr>
                <w:rFonts w:hint="eastAsia" w:asciiTheme="minorEastAsia" w:hAnsiTheme="minorEastAsia" w:eastAsiaTheme="minorEastAsia" w:cstheme="minorEastAsia"/>
                <w:b w:val="0"/>
                <w:bCs/>
                <w:snapToGrid/>
                <w:color w:val="FF0000"/>
                <w:kern w:val="2"/>
                <w:sz w:val="24"/>
                <w:szCs w:val="24"/>
                <w:highlight w:val="none"/>
                <w:lang w:val="en-US" w:eastAsia="zh-CN"/>
              </w:rPr>
              <w:t>（北京时间）</w:t>
            </w:r>
          </w:p>
        </w:tc>
      </w:tr>
      <w:tr w14:paraId="31E8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1" w:type="dxa"/>
            <w:noWrap w:val="0"/>
            <w:vAlign w:val="center"/>
          </w:tcPr>
          <w:p w14:paraId="7A96DFCF">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cstheme="minorEastAsia"/>
                <w:snapToGrid/>
                <w:color w:val="000000"/>
                <w:kern w:val="2"/>
                <w:sz w:val="24"/>
                <w:szCs w:val="24"/>
                <w:lang w:val="en-US" w:eastAsia="zh-CN"/>
              </w:rPr>
              <w:t>12</w:t>
            </w:r>
          </w:p>
        </w:tc>
        <w:tc>
          <w:tcPr>
            <w:tcW w:w="1714" w:type="dxa"/>
            <w:noWrap w:val="0"/>
            <w:vAlign w:val="center"/>
          </w:tcPr>
          <w:p w14:paraId="2E9A093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eastAsia="zh-CN"/>
              </w:rPr>
            </w:pPr>
            <w:r>
              <w:rPr>
                <w:rFonts w:hint="eastAsia" w:asciiTheme="minorEastAsia" w:hAnsiTheme="minorEastAsia" w:eastAsiaTheme="minorEastAsia" w:cstheme="minorEastAsia"/>
                <w:snapToGrid/>
                <w:color w:val="000000"/>
                <w:kern w:val="2"/>
                <w:sz w:val="24"/>
                <w:szCs w:val="24"/>
                <w:lang w:eastAsia="zh-CN"/>
              </w:rPr>
              <w:t>开标地点</w:t>
            </w:r>
          </w:p>
        </w:tc>
        <w:tc>
          <w:tcPr>
            <w:tcW w:w="6013" w:type="dxa"/>
            <w:noWrap w:val="0"/>
            <w:vAlign w:val="center"/>
          </w:tcPr>
          <w:p w14:paraId="221342C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val="0"/>
                <w:bCs/>
                <w:snapToGrid/>
                <w:color w:val="FF0000"/>
                <w:spacing w:val="838"/>
                <w:w w:val="100"/>
                <w:kern w:val="0"/>
                <w:sz w:val="24"/>
                <w:szCs w:val="24"/>
                <w:highlight w:val="none"/>
                <w:fitText w:val="960" w:id="1171015628"/>
              </w:rPr>
            </w:pPr>
            <w:r>
              <w:rPr>
                <w:rFonts w:hint="eastAsia" w:asciiTheme="minorEastAsia" w:hAnsiTheme="minorEastAsia" w:eastAsiaTheme="minorEastAsia" w:cstheme="minorEastAsia"/>
                <w:b w:val="0"/>
                <w:bCs/>
                <w:snapToGrid/>
                <w:color w:val="000000" w:themeColor="text1"/>
                <w:kern w:val="2"/>
                <w:sz w:val="24"/>
                <w:szCs w:val="24"/>
                <w:highlight w:val="none"/>
                <w14:textFill>
                  <w14:solidFill>
                    <w14:schemeClr w14:val="tx1"/>
                  </w14:solidFill>
                </w14:textFill>
              </w:rPr>
              <w:t>陇南市公共资源交易中心网络开标直播一厅</w:t>
            </w:r>
            <w:r>
              <w:rPr>
                <w:rFonts w:hint="default" w:asciiTheme="minorEastAsia" w:hAnsiTheme="minorEastAsia" w:cstheme="minorEastAsia"/>
                <w:b w:val="0"/>
                <w:bCs/>
                <w:snapToGrid/>
                <w:color w:val="000000" w:themeColor="text1"/>
                <w:kern w:val="2"/>
                <w:sz w:val="24"/>
                <w:szCs w:val="24"/>
                <w:highlight w:val="none"/>
                <w:lang w:val="en"/>
                <w14:textFill>
                  <w14:solidFill>
                    <w14:schemeClr w14:val="tx1"/>
                  </w14:solidFill>
                </w14:textFill>
              </w:rPr>
              <w:t>第</w:t>
            </w:r>
            <w:r>
              <w:rPr>
                <w:rFonts w:hint="eastAsia" w:eastAsia="宋体" w:asciiTheme="minorEastAsia" w:hAnsiTheme="minorEastAsia" w:cstheme="minorEastAsia"/>
                <w:b w:val="0"/>
                <w:bCs/>
                <w:snapToGrid/>
                <w:color w:val="000000" w:themeColor="text1"/>
                <w:kern w:val="2"/>
                <w:sz w:val="24"/>
                <w:szCs w:val="24"/>
                <w:highlight w:val="none"/>
                <w:lang w:val="en-US" w:eastAsia="zh-CN"/>
                <w14:textFill>
                  <w14:solidFill>
                    <w14:schemeClr w14:val="tx1"/>
                  </w14:solidFill>
                </w14:textFill>
              </w:rPr>
              <w:t>3</w:t>
            </w:r>
            <w:r>
              <w:rPr>
                <w:rFonts w:hint="default" w:asciiTheme="minorEastAsia" w:hAnsiTheme="minorEastAsia" w:cstheme="minorEastAsia"/>
                <w:b w:val="0"/>
                <w:bCs/>
                <w:snapToGrid/>
                <w:color w:val="000000" w:themeColor="text1"/>
                <w:kern w:val="2"/>
                <w:sz w:val="24"/>
                <w:szCs w:val="24"/>
                <w:highlight w:val="none"/>
                <w:lang w:val="en"/>
                <w14:textFill>
                  <w14:solidFill>
                    <w14:schemeClr w14:val="tx1"/>
                  </w14:solidFill>
                </w14:textFill>
              </w:rPr>
              <w:t>坐席</w:t>
            </w:r>
            <w:r>
              <w:rPr>
                <w:rFonts w:hint="eastAsia" w:asciiTheme="minorEastAsia" w:hAnsiTheme="minorEastAsia" w:eastAsiaTheme="minorEastAsia" w:cstheme="minorEastAsia"/>
                <w:b w:val="0"/>
                <w:bCs/>
                <w:snapToGrid/>
                <w:color w:val="000000" w:themeColor="text1"/>
                <w:kern w:val="2"/>
                <w:sz w:val="24"/>
                <w:szCs w:val="24"/>
                <w:highlight w:val="none"/>
                <w14:textFill>
                  <w14:solidFill>
                    <w14:schemeClr w14:val="tx1"/>
                  </w14:solidFill>
                </w14:textFill>
              </w:rPr>
              <w:t>（陇南市行政中心5号楼环保大厦）</w:t>
            </w:r>
          </w:p>
        </w:tc>
      </w:tr>
      <w:tr w14:paraId="110B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91" w:type="dxa"/>
            <w:noWrap w:val="0"/>
            <w:vAlign w:val="center"/>
          </w:tcPr>
          <w:p w14:paraId="6E1A959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3</w:t>
            </w:r>
          </w:p>
        </w:tc>
        <w:tc>
          <w:tcPr>
            <w:tcW w:w="1714" w:type="dxa"/>
            <w:noWrap w:val="0"/>
            <w:vAlign w:val="center"/>
          </w:tcPr>
          <w:p w14:paraId="5CD5682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rPr>
              <w:t>履约保证金</w:t>
            </w:r>
          </w:p>
        </w:tc>
        <w:tc>
          <w:tcPr>
            <w:tcW w:w="6013" w:type="dxa"/>
            <w:noWrap w:val="0"/>
            <w:vAlign w:val="center"/>
          </w:tcPr>
          <w:p w14:paraId="4FDB917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kern w:val="2"/>
                <w:sz w:val="24"/>
                <w:szCs w:val="24"/>
                <w:highlight w:val="none"/>
              </w:rPr>
            </w:pPr>
            <w:r>
              <w:rPr>
                <w:rFonts w:hint="eastAsia" w:asciiTheme="minorEastAsia" w:hAnsiTheme="minorEastAsia" w:eastAsiaTheme="minorEastAsia" w:cstheme="minorEastAsia"/>
                <w:snapToGrid w:val="0"/>
                <w:color w:val="000000"/>
                <w:spacing w:val="11"/>
                <w:kern w:val="0"/>
                <w:sz w:val="24"/>
                <w:szCs w:val="24"/>
                <w:lang w:val="en-US" w:eastAsia="zh-CN"/>
              </w:rPr>
              <w:t>不适用</w:t>
            </w:r>
          </w:p>
        </w:tc>
      </w:tr>
      <w:tr w14:paraId="0F1B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91" w:type="dxa"/>
            <w:noWrap w:val="0"/>
            <w:vAlign w:val="center"/>
          </w:tcPr>
          <w:p w14:paraId="10A3DD6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4</w:t>
            </w:r>
          </w:p>
        </w:tc>
        <w:tc>
          <w:tcPr>
            <w:tcW w:w="1714" w:type="dxa"/>
            <w:noWrap w:val="0"/>
            <w:vAlign w:val="center"/>
          </w:tcPr>
          <w:p w14:paraId="4F4BA76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color w:val="000000"/>
                <w:kern w:val="2"/>
                <w:sz w:val="24"/>
                <w:szCs w:val="24"/>
              </w:rPr>
              <w:t>投标保证金</w:t>
            </w:r>
          </w:p>
        </w:tc>
        <w:tc>
          <w:tcPr>
            <w:tcW w:w="6013" w:type="dxa"/>
            <w:noWrap w:val="0"/>
            <w:vAlign w:val="center"/>
          </w:tcPr>
          <w:p w14:paraId="056CB9C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color w:val="000000"/>
                <w:kern w:val="2"/>
                <w:sz w:val="24"/>
                <w:szCs w:val="24"/>
              </w:rPr>
            </w:pPr>
            <w:r>
              <w:rPr>
                <w:rFonts w:hint="eastAsia" w:asciiTheme="minorEastAsia" w:hAnsiTheme="minorEastAsia" w:eastAsiaTheme="minorEastAsia" w:cstheme="minorEastAsia"/>
                <w:snapToGrid w:val="0"/>
                <w:color w:val="000000"/>
                <w:spacing w:val="11"/>
                <w:kern w:val="0"/>
                <w:sz w:val="24"/>
                <w:szCs w:val="24"/>
                <w:lang w:val="en-US" w:eastAsia="zh-CN"/>
              </w:rPr>
              <w:t>为进一步优化营商环境举措，按照甘财采（2022）16号甘肃省财政厅关于进一步加大政府采购支持中小企业力度的通知，全省政府采购项目不再收取投标保证金。</w:t>
            </w:r>
          </w:p>
        </w:tc>
      </w:tr>
      <w:tr w14:paraId="5DA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991" w:type="dxa"/>
            <w:noWrap w:val="0"/>
            <w:vAlign w:val="center"/>
          </w:tcPr>
          <w:p w14:paraId="56FA3572">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5</w:t>
            </w:r>
          </w:p>
        </w:tc>
        <w:tc>
          <w:tcPr>
            <w:tcW w:w="1714" w:type="dxa"/>
            <w:noWrap w:val="0"/>
            <w:vAlign w:val="center"/>
          </w:tcPr>
          <w:p w14:paraId="60FC7DE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中小企业采购预留份额比例</w:t>
            </w:r>
          </w:p>
        </w:tc>
        <w:tc>
          <w:tcPr>
            <w:tcW w:w="6013" w:type="dxa"/>
            <w:noWrap w:val="0"/>
            <w:vAlign w:val="center"/>
          </w:tcPr>
          <w:p w14:paraId="53A08E6D">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100%</w:t>
            </w:r>
          </w:p>
        </w:tc>
      </w:tr>
      <w:tr w14:paraId="5B4B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3" w:hRule="atLeast"/>
          <w:jc w:val="center"/>
        </w:trPr>
        <w:tc>
          <w:tcPr>
            <w:tcW w:w="991" w:type="dxa"/>
            <w:noWrap w:val="0"/>
            <w:vAlign w:val="center"/>
          </w:tcPr>
          <w:p w14:paraId="204F043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6</w:t>
            </w:r>
          </w:p>
        </w:tc>
        <w:tc>
          <w:tcPr>
            <w:tcW w:w="1714" w:type="dxa"/>
            <w:noWrap w:val="0"/>
            <w:vAlign w:val="center"/>
          </w:tcPr>
          <w:p w14:paraId="3E1536C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落实支持中小企业政府采购政策</w:t>
            </w:r>
          </w:p>
        </w:tc>
        <w:tc>
          <w:tcPr>
            <w:tcW w:w="6013" w:type="dxa"/>
            <w:noWrap w:val="0"/>
            <w:vAlign w:val="center"/>
          </w:tcPr>
          <w:p w14:paraId="359A76A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1、执行中小企业声明函制度。根据工业和信息化部、国家统计局、国 家发展和改革委员会、财政部等部委发布的《关于印发中小企业划型标准規定的通知》（工信部联企业（2011)300号），按照本次采购标的所属行业的划型标准，符合条件的中小微企业应按照招标文件格式要求提供《中小企业声明函》，仅需出具《中小企业声明函》即可享受相关扶 持政策。投标供应商需对《中小企业声明函》内容的真实性负责，成交供应商享受中小企业扶持政策的，《中小企业声明函》随成交结果一并公开。</w:t>
            </w:r>
          </w:p>
          <w:p w14:paraId="60095CF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2、投标人提供的货物由中小企业生产且使用该中小企业商号或者注册商标的，享受中小企业扶持政策。供应商提供的货物既有中小企业制造的货物。也有大型企业制造的货物的，不享受中小企业扶持政策。</w:t>
            </w:r>
          </w:p>
          <w:p w14:paraId="60DA46E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3、提供由省级以上监狱管理局、戒毒管理局（含新疆生产建设兵团） 出具的属于监狱企业证明文件（原件彩色扫描件）的，视同为小型和微型企业。</w:t>
            </w:r>
          </w:p>
          <w:p w14:paraId="2DCFFFE2">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4、符合享受政府采购支持政策的残疾人福利性单位条件且提供《残疾人福利性单位声明函》的，视同为小型和微型企业。</w:t>
            </w:r>
          </w:p>
          <w:p w14:paraId="1316700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5、投标人不属于中小企业的，则不享受中小企业扶持政策。</w:t>
            </w:r>
          </w:p>
        </w:tc>
      </w:tr>
      <w:tr w14:paraId="0466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1" w:type="dxa"/>
            <w:noWrap w:val="0"/>
            <w:vAlign w:val="center"/>
          </w:tcPr>
          <w:p w14:paraId="2CC75C1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7</w:t>
            </w:r>
          </w:p>
        </w:tc>
        <w:tc>
          <w:tcPr>
            <w:tcW w:w="1714" w:type="dxa"/>
            <w:noWrap w:val="0"/>
            <w:vAlign w:val="center"/>
          </w:tcPr>
          <w:p w14:paraId="6DE46653">
            <w:pPr>
              <w:keepNext w:val="0"/>
              <w:keepLines w:val="0"/>
              <w:pageBreakBefore w:val="0"/>
              <w:widowControl w:val="0"/>
              <w:kinsoku/>
              <w:wordWrap/>
              <w:overflowPunct/>
              <w:topLinePunct w:val="0"/>
              <w:autoSpaceDE/>
              <w:autoSpaceDN/>
              <w:bidi w:val="0"/>
              <w:adjustRightInd/>
              <w:snapToGrid w:val="0"/>
              <w:spacing w:line="360" w:lineRule="auto"/>
              <w:ind w:right="105" w:rightChars="50"/>
              <w:jc w:val="both"/>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是否存在以注册资本金、资产总额、营业收入、从业人员等规模条件对中小企业实行差别待遇或歧视待遇的情况</w:t>
            </w:r>
          </w:p>
        </w:tc>
        <w:tc>
          <w:tcPr>
            <w:tcW w:w="6013" w:type="dxa"/>
            <w:noWrap w:val="0"/>
            <w:vAlign w:val="center"/>
          </w:tcPr>
          <w:p w14:paraId="50E9B16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385D9D2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3B82DEA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7E179593">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31903EA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7D7FD7D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230CD775">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否</w:t>
            </w:r>
          </w:p>
        </w:tc>
      </w:tr>
      <w:tr w14:paraId="2EF4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1" w:type="dxa"/>
            <w:noWrap w:val="0"/>
            <w:vAlign w:val="center"/>
          </w:tcPr>
          <w:p w14:paraId="01A1257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default"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1</w:t>
            </w:r>
            <w:r>
              <w:rPr>
                <w:rFonts w:hint="eastAsia" w:asciiTheme="minorEastAsia" w:hAnsiTheme="minorEastAsia" w:cstheme="minorEastAsia"/>
                <w:snapToGrid/>
                <w:color w:val="000000"/>
                <w:kern w:val="2"/>
                <w:sz w:val="24"/>
                <w:szCs w:val="24"/>
                <w:lang w:val="en-US" w:eastAsia="zh-CN"/>
              </w:rPr>
              <w:t>8</w:t>
            </w:r>
          </w:p>
        </w:tc>
        <w:tc>
          <w:tcPr>
            <w:tcW w:w="1714" w:type="dxa"/>
            <w:noWrap w:val="0"/>
            <w:vAlign w:val="center"/>
          </w:tcPr>
          <w:p w14:paraId="6D98DEC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采购代理</w:t>
            </w:r>
          </w:p>
          <w:p w14:paraId="3F9C51EF">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center"/>
              <w:textAlignment w:val="auto"/>
              <w:rPr>
                <w:rFonts w:hint="eastAsia" w:asciiTheme="minorEastAsia" w:hAnsiTheme="minorEastAsia" w:eastAsiaTheme="minorEastAsia" w:cstheme="minorEastAsia"/>
                <w:snapToGrid/>
                <w:color w:val="000000"/>
                <w:kern w:val="2"/>
                <w:sz w:val="24"/>
                <w:szCs w:val="24"/>
                <w:lang w:val="en-US" w:eastAsia="zh-CN"/>
              </w:rPr>
            </w:pPr>
            <w:r>
              <w:rPr>
                <w:rFonts w:hint="eastAsia" w:asciiTheme="minorEastAsia" w:hAnsiTheme="minorEastAsia" w:eastAsiaTheme="minorEastAsia" w:cstheme="minorEastAsia"/>
                <w:snapToGrid/>
                <w:color w:val="000000"/>
                <w:kern w:val="2"/>
                <w:sz w:val="24"/>
                <w:szCs w:val="24"/>
                <w:lang w:val="en-US" w:eastAsia="zh-CN"/>
              </w:rPr>
              <w:t>服务费</w:t>
            </w:r>
          </w:p>
        </w:tc>
        <w:tc>
          <w:tcPr>
            <w:tcW w:w="6013" w:type="dxa"/>
            <w:noWrap w:val="0"/>
            <w:vAlign w:val="center"/>
          </w:tcPr>
          <w:p w14:paraId="4CBEC95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参照国家计委颁发的《招标代理服务收费管理暂行办法》（计价格[2002]1980 号）、《国家发展改革委办办公厅关于招标代理服务费收有关问题的通知》（发改办价格[2003]857 号）规定的标准和政府采购招标代理委托协议约定，由中标供应商在中标公示期结束后，领取《中标通知书》前，一次性支付招标代理服务费及相关费用给甘肃正荣项目管理咨询有限公司。</w:t>
            </w:r>
          </w:p>
          <w:p w14:paraId="5AA48F3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收款方式：现金或转账。</w:t>
            </w:r>
          </w:p>
          <w:p w14:paraId="255D83CA">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招标代理服务费缴纳：</w:t>
            </w:r>
          </w:p>
          <w:p w14:paraId="5839793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 xml:space="preserve">账户名：甘肃正荣项目管理咨询有限公司 </w:t>
            </w:r>
          </w:p>
          <w:p w14:paraId="0EFE5DA3">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账  号：61012901100010436</w:t>
            </w:r>
          </w:p>
          <w:p w14:paraId="73724EA2">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开户行：甘肃银行股份有限公司武都支行</w:t>
            </w:r>
          </w:p>
        </w:tc>
      </w:tr>
      <w:tr w14:paraId="2134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718" w:type="dxa"/>
            <w:gridSpan w:val="3"/>
            <w:noWrap w:val="0"/>
            <w:vAlign w:val="center"/>
          </w:tcPr>
          <w:p w14:paraId="7722653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left"/>
              <w:textAlignment w:val="auto"/>
              <w:rPr>
                <w:rFonts w:hint="eastAsia" w:asciiTheme="minorEastAsia" w:hAnsiTheme="minorEastAsia" w:eastAsiaTheme="minorEastAsia" w:cstheme="minorEastAsia"/>
                <w:b/>
                <w:bCs/>
                <w:color w:val="FF0000"/>
                <w:spacing w:val="0"/>
                <w:position w:val="0"/>
                <w:sz w:val="24"/>
                <w:szCs w:val="24"/>
              </w:rPr>
            </w:pPr>
            <w:r>
              <w:rPr>
                <w:rFonts w:hint="eastAsia" w:asciiTheme="minorEastAsia" w:hAnsiTheme="minorEastAsia" w:eastAsiaTheme="minorEastAsia" w:cstheme="minorEastAsia"/>
                <w:b/>
                <w:bCs/>
                <w:color w:val="FF0000"/>
                <w:spacing w:val="0"/>
                <w:position w:val="0"/>
                <w:sz w:val="24"/>
                <w:szCs w:val="24"/>
              </w:rPr>
              <w:t>注：</w:t>
            </w:r>
          </w:p>
          <w:p w14:paraId="747780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05" w:leftChars="50" w:right="105" w:rightChars="50" w:firstLine="482" w:firstLineChars="200"/>
              <w:jc w:val="both"/>
              <w:textAlignment w:val="auto"/>
              <w:rPr>
                <w:rFonts w:hint="eastAsia" w:asciiTheme="minorEastAsia" w:hAnsiTheme="minorEastAsia" w:eastAsiaTheme="minorEastAsia" w:cstheme="minorEastAsia"/>
                <w:b/>
                <w:bCs/>
                <w:color w:val="FF0000"/>
                <w:spacing w:val="0"/>
                <w:position w:val="0"/>
                <w:sz w:val="24"/>
                <w:szCs w:val="24"/>
              </w:rPr>
            </w:pPr>
            <w:r>
              <w:rPr>
                <w:rFonts w:hint="eastAsia" w:asciiTheme="minorEastAsia" w:hAnsiTheme="minorEastAsia" w:eastAsiaTheme="minorEastAsia" w:cstheme="minorEastAsia"/>
                <w:b/>
                <w:bCs/>
                <w:color w:val="FF0000"/>
                <w:spacing w:val="0"/>
                <w:kern w:val="2"/>
                <w:position w:val="0"/>
                <w:sz w:val="24"/>
                <w:szCs w:val="24"/>
                <w:lang w:val="en-US" w:eastAsia="zh-CN" w:bidi="ar-SA"/>
              </w:rPr>
              <w:t>1、</w:t>
            </w:r>
            <w:r>
              <w:rPr>
                <w:rFonts w:hint="eastAsia" w:asciiTheme="minorEastAsia" w:hAnsiTheme="minorEastAsia" w:eastAsiaTheme="minorEastAsia" w:cstheme="minorEastAsia"/>
                <w:b/>
                <w:bCs/>
                <w:color w:val="FF0000"/>
                <w:spacing w:val="0"/>
                <w:position w:val="0"/>
                <w:sz w:val="24"/>
                <w:szCs w:val="24"/>
              </w:rPr>
              <w:t>招标代理费</w:t>
            </w:r>
            <w:r>
              <w:rPr>
                <w:rFonts w:hint="eastAsia" w:asciiTheme="minorEastAsia" w:hAnsiTheme="minorEastAsia" w:eastAsiaTheme="minorEastAsia" w:cstheme="minorEastAsia"/>
                <w:b/>
                <w:bCs/>
                <w:color w:val="FF0000"/>
                <w:spacing w:val="0"/>
                <w:position w:val="0"/>
                <w:sz w:val="24"/>
                <w:szCs w:val="24"/>
                <w:lang w:val="en-US" w:eastAsia="zh-CN"/>
              </w:rPr>
              <w:t>等相关费用</w:t>
            </w:r>
            <w:r>
              <w:rPr>
                <w:rFonts w:hint="eastAsia" w:asciiTheme="minorEastAsia" w:hAnsiTheme="minorEastAsia" w:eastAsiaTheme="minorEastAsia" w:cstheme="minorEastAsia"/>
                <w:b/>
                <w:bCs/>
                <w:color w:val="FF0000"/>
                <w:spacing w:val="0"/>
                <w:position w:val="0"/>
                <w:sz w:val="24"/>
                <w:szCs w:val="24"/>
              </w:rPr>
              <w:t>由中标单位支付。如前后不</w:t>
            </w:r>
            <w:r>
              <w:rPr>
                <w:rFonts w:hint="eastAsia" w:asciiTheme="minorEastAsia" w:hAnsiTheme="minorEastAsia" w:eastAsiaTheme="minorEastAsia" w:cstheme="minorEastAsia"/>
                <w:b/>
                <w:bCs/>
                <w:color w:val="FF0000"/>
                <w:spacing w:val="0"/>
                <w:position w:val="0"/>
                <w:sz w:val="24"/>
                <w:szCs w:val="24"/>
                <w:lang w:val="en-US" w:eastAsia="zh-CN"/>
              </w:rPr>
              <w:t>一</w:t>
            </w:r>
            <w:r>
              <w:rPr>
                <w:rFonts w:hint="eastAsia" w:asciiTheme="minorEastAsia" w:hAnsiTheme="minorEastAsia" w:eastAsiaTheme="minorEastAsia" w:cstheme="minorEastAsia"/>
                <w:b/>
                <w:bCs/>
                <w:color w:val="FF0000"/>
                <w:spacing w:val="0"/>
                <w:position w:val="0"/>
                <w:sz w:val="24"/>
                <w:szCs w:val="24"/>
              </w:rPr>
              <w:t>致之处，以前附表为准。</w:t>
            </w:r>
          </w:p>
          <w:p w14:paraId="105CD5C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05" w:leftChars="50" w:right="105" w:rightChars="50" w:firstLine="482" w:firstLineChars="200"/>
              <w:jc w:val="both"/>
              <w:textAlignment w:val="auto"/>
              <w:rPr>
                <w:rFonts w:hint="eastAsia" w:asciiTheme="minorEastAsia" w:hAnsiTheme="minorEastAsia" w:eastAsiaTheme="minorEastAsia" w:cstheme="minorEastAsia"/>
                <w:b/>
                <w:bCs/>
                <w:color w:val="FF0000"/>
                <w:spacing w:val="0"/>
                <w:position w:val="0"/>
                <w:sz w:val="24"/>
                <w:szCs w:val="24"/>
              </w:rPr>
            </w:pPr>
            <w:r>
              <w:rPr>
                <w:rFonts w:hint="eastAsia" w:asciiTheme="minorEastAsia" w:hAnsiTheme="minorEastAsia" w:eastAsiaTheme="minorEastAsia" w:cstheme="minorEastAsia"/>
                <w:b/>
                <w:bCs/>
                <w:color w:val="FF0000"/>
                <w:spacing w:val="0"/>
                <w:kern w:val="2"/>
                <w:position w:val="0"/>
                <w:sz w:val="24"/>
                <w:szCs w:val="24"/>
                <w:lang w:val="en-US" w:eastAsia="zh-CN" w:bidi="ar-SA"/>
              </w:rPr>
              <w:t>2、</w:t>
            </w:r>
            <w:r>
              <w:rPr>
                <w:rFonts w:hint="eastAsia" w:asciiTheme="minorEastAsia" w:hAnsiTheme="minorEastAsia" w:eastAsiaTheme="minorEastAsia" w:cstheme="minorEastAsia"/>
                <w:b/>
                <w:bCs/>
                <w:color w:val="FF0000"/>
                <w:spacing w:val="0"/>
                <w:position w:val="0"/>
                <w:sz w:val="24"/>
                <w:szCs w:val="24"/>
              </w:rPr>
              <w:t>开始开标前检查自己开标设备网络稳定性，如有中途退出等问题，后果自负</w:t>
            </w:r>
            <w:r>
              <w:rPr>
                <w:rFonts w:hint="eastAsia" w:asciiTheme="minorEastAsia" w:hAnsiTheme="minorEastAsia" w:eastAsiaTheme="minorEastAsia" w:cstheme="minorEastAsia"/>
                <w:b/>
                <w:bCs/>
                <w:color w:val="FF0000"/>
                <w:spacing w:val="0"/>
                <w:position w:val="0"/>
                <w:sz w:val="24"/>
                <w:szCs w:val="24"/>
                <w:lang w:eastAsia="zh-CN"/>
              </w:rPr>
              <w:t>。</w:t>
            </w:r>
          </w:p>
          <w:p w14:paraId="4410A87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482" w:firstLineChars="20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b/>
                <w:bCs/>
                <w:color w:val="FF0000"/>
                <w:spacing w:val="0"/>
                <w:kern w:val="2"/>
                <w:position w:val="0"/>
                <w:sz w:val="24"/>
                <w:szCs w:val="24"/>
                <w:lang w:val="en-US" w:eastAsia="zh-CN" w:bidi="ar-SA"/>
              </w:rPr>
              <w:t>3、</w:t>
            </w:r>
            <w:r>
              <w:rPr>
                <w:rFonts w:hint="eastAsia" w:asciiTheme="minorEastAsia" w:hAnsiTheme="minorEastAsia" w:eastAsiaTheme="minorEastAsia" w:cstheme="minorEastAsia"/>
                <w:b/>
                <w:bCs/>
                <w:color w:val="FF0000"/>
                <w:spacing w:val="0"/>
                <w:position w:val="0"/>
                <w:sz w:val="24"/>
                <w:szCs w:val="24"/>
              </w:rPr>
              <w:t>投标人在投标时请前登录陇南市公共资源交易网--</w:t>
            </w:r>
            <w:r>
              <w:rPr>
                <w:rFonts w:hint="eastAsia" w:asciiTheme="minorEastAsia" w:hAnsiTheme="minorEastAsia" w:eastAsiaTheme="minorEastAsia" w:cstheme="minorEastAsia"/>
                <w:b/>
                <w:bCs/>
                <w:color w:val="FF0000"/>
                <w:spacing w:val="0"/>
                <w:position w:val="0"/>
                <w:sz w:val="24"/>
                <w:szCs w:val="24"/>
                <w:lang w:val="en-US" w:eastAsia="zh-CN"/>
              </w:rPr>
              <w:t>--</w:t>
            </w:r>
            <w:r>
              <w:rPr>
                <w:rFonts w:hint="eastAsia" w:asciiTheme="minorEastAsia" w:hAnsiTheme="minorEastAsia" w:eastAsiaTheme="minorEastAsia" w:cstheme="minorEastAsia"/>
                <w:b/>
                <w:bCs/>
                <w:color w:val="FF0000"/>
                <w:spacing w:val="0"/>
                <w:position w:val="0"/>
                <w:sz w:val="24"/>
                <w:szCs w:val="24"/>
              </w:rPr>
              <w:t>不见面开标大厅找到相对应的项目和包号进行签到。</w:t>
            </w:r>
          </w:p>
        </w:tc>
      </w:tr>
    </w:tbl>
    <w:p w14:paraId="41C6436B">
      <w:pPr>
        <w:pStyle w:val="7"/>
        <w:rPr>
          <w:rFonts w:hint="eastAsia"/>
        </w:rPr>
      </w:pPr>
    </w:p>
    <w:p w14:paraId="2310AED7">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4"/>
          <w:szCs w:val="24"/>
        </w:rPr>
        <w:sectPr>
          <w:footerReference r:id="rId7" w:type="default"/>
          <w:pgSz w:w="11905" w:h="16839"/>
          <w:pgMar w:top="1440" w:right="1800" w:bottom="1440" w:left="1800" w:header="850" w:footer="992" w:gutter="0"/>
          <w:pgNumType w:fmt="decimal"/>
          <w:cols w:space="720" w:num="1"/>
        </w:sectPr>
      </w:pPr>
    </w:p>
    <w:p w14:paraId="7C10EB76">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highlight w:val="none"/>
          <w:lang w:val="en-US" w:eastAsia="zh-CN" w:bidi="ar"/>
        </w:rPr>
      </w:pPr>
      <w:bookmarkStart w:id="3" w:name="_Toc2484"/>
      <w:r>
        <w:rPr>
          <w:rFonts w:hint="eastAsia" w:asciiTheme="minorEastAsia" w:hAnsiTheme="minorEastAsia" w:eastAsiaTheme="minorEastAsia" w:cstheme="minorEastAsia"/>
          <w:b/>
          <w:bCs/>
          <w:i w:val="0"/>
          <w:iCs w:val="0"/>
          <w:caps w:val="0"/>
          <w:snapToGrid w:val="0"/>
          <w:color w:val="000000"/>
          <w:spacing w:val="0"/>
          <w:kern w:val="0"/>
          <w:sz w:val="44"/>
          <w:szCs w:val="44"/>
          <w:highlight w:val="none"/>
          <w:lang w:val="en-US" w:eastAsia="zh-CN" w:bidi="ar"/>
        </w:rPr>
        <w:t>服务技术及</w:t>
      </w:r>
      <w:bookmarkEnd w:id="3"/>
      <w:r>
        <w:rPr>
          <w:rFonts w:hint="eastAsia" w:asciiTheme="minorEastAsia" w:hAnsiTheme="minorEastAsia" w:eastAsiaTheme="minorEastAsia" w:cstheme="minorEastAsia"/>
          <w:b/>
          <w:bCs/>
          <w:i w:val="0"/>
          <w:iCs w:val="0"/>
          <w:caps w:val="0"/>
          <w:snapToGrid w:val="0"/>
          <w:color w:val="000000"/>
          <w:spacing w:val="0"/>
          <w:kern w:val="0"/>
          <w:sz w:val="44"/>
          <w:szCs w:val="44"/>
          <w:highlight w:val="none"/>
          <w:lang w:val="en-US" w:eastAsia="zh-CN" w:bidi="ar"/>
        </w:rPr>
        <w:t>参数需求</w:t>
      </w:r>
    </w:p>
    <w:p w14:paraId="0A94FAC2">
      <w:pPr>
        <w:pageBreakBefore w:val="0"/>
        <w:numPr>
          <w:ilvl w:val="0"/>
          <w:numId w:val="0"/>
        </w:numPr>
        <w:pBdr>
          <w:top w:val="none" w:color="auto" w:sz="0" w:space="0"/>
          <w:left w:val="none" w:color="auto" w:sz="0" w:space="0"/>
          <w:bottom w:val="none" w:color="auto" w:sz="0" w:space="0"/>
          <w:right w:val="none" w:color="auto" w:sz="0" w:space="0"/>
        </w:pBdr>
        <w:overflowPunct/>
        <w:topLinePunct w:val="0"/>
        <w:bidi w:val="0"/>
        <w:spacing w:line="360" w:lineRule="auto"/>
        <w:jc w:val="left"/>
        <w:rPr>
          <w:rFonts w:hint="eastAsia" w:ascii="宋体" w:hAnsi="宋体" w:eastAsia="宋体" w:cs="宋体"/>
          <w:b/>
          <w:bCs w:val="0"/>
          <w:kern w:val="2"/>
          <w:sz w:val="32"/>
          <w:szCs w:val="32"/>
          <w:lang w:val="en-US" w:eastAsia="zh-CN" w:bidi="ar-SA"/>
        </w:rPr>
      </w:pPr>
      <w:bookmarkStart w:id="4" w:name="_Toc24411"/>
    </w:p>
    <w:p w14:paraId="61603513">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default" w:asciiTheme="minorEastAsia" w:hAnsiTheme="minorEastAsia" w:eastAsiaTheme="minorEastAsia" w:cstheme="minorEastAsia"/>
          <w:b/>
          <w:bCs/>
          <w:snapToGrid w:val="0"/>
          <w:color w:val="000000"/>
          <w:spacing w:val="11"/>
          <w:kern w:val="0"/>
          <w:sz w:val="24"/>
          <w:szCs w:val="24"/>
          <w:lang w:val="en-US" w:eastAsia="zh-CN"/>
        </w:rPr>
      </w:pPr>
      <w:r>
        <w:rPr>
          <w:rFonts w:hint="eastAsia" w:asciiTheme="minorEastAsia" w:hAnsiTheme="minorEastAsia" w:eastAsiaTheme="minorEastAsia" w:cstheme="minorEastAsia"/>
          <w:b/>
          <w:bCs/>
          <w:snapToGrid w:val="0"/>
          <w:color w:val="000000"/>
          <w:spacing w:val="11"/>
          <w:kern w:val="0"/>
          <w:sz w:val="24"/>
          <w:szCs w:val="24"/>
          <w:lang w:val="en-US" w:eastAsia="zh-CN"/>
        </w:rPr>
        <w:t>一、培训目标</w:t>
      </w:r>
    </w:p>
    <w:p w14:paraId="3316194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 xml:space="preserve">为加快推进农村电商发展，积极响应国家提出的“电商帮扶”“乡村振兴”等发展战略，加快我县农村直播电商人才队伍建设和加快合作社、企业电商转型升级，培养更多理论知识和实践能力相结合的复合型人才。我县将举办2024年短视频直播电商培训，聘请电子商务高级讲师，帮助全县创业青年、农业合作社人员、农产品生产企业人员等学会短视频拍摄、网货打造、直播带货，为康县农特产品拓展营销新渠道。 </w:t>
      </w:r>
    </w:p>
    <w:p w14:paraId="29ADF6D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b/>
          <w:bCs/>
          <w:snapToGrid w:val="0"/>
          <w:color w:val="000000"/>
          <w:spacing w:val="11"/>
          <w:kern w:val="0"/>
          <w:sz w:val="24"/>
          <w:szCs w:val="24"/>
          <w:lang w:val="en-US" w:eastAsia="zh-CN"/>
        </w:rPr>
        <w:t>二、培训对象</w:t>
      </w:r>
    </w:p>
    <w:p w14:paraId="17B1933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1.各乡镇电商分管领导、业务骨干；</w:t>
      </w:r>
    </w:p>
    <w:p w14:paraId="7CE426D3">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2.电商企业人员、农民专业合作人员、返乡创业青年、退伍军人、残疾人等；</w:t>
      </w:r>
    </w:p>
    <w:p w14:paraId="332E9F9B">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3.已经掌握电子商务基础技能的网络创业者、网店运营人员。</w:t>
      </w:r>
    </w:p>
    <w:p w14:paraId="38F2739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default"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预计培训人数：200人左右。</w:t>
      </w:r>
    </w:p>
    <w:p w14:paraId="4AF68FE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bCs/>
          <w:snapToGrid w:val="0"/>
          <w:color w:val="000000"/>
          <w:spacing w:val="11"/>
          <w:kern w:val="0"/>
          <w:sz w:val="24"/>
          <w:szCs w:val="24"/>
          <w:lang w:val="en-US" w:eastAsia="zh-CN"/>
        </w:rPr>
      </w:pPr>
      <w:r>
        <w:rPr>
          <w:rFonts w:hint="eastAsia" w:asciiTheme="minorEastAsia" w:hAnsiTheme="minorEastAsia" w:eastAsiaTheme="minorEastAsia" w:cstheme="minorEastAsia"/>
          <w:b/>
          <w:bCs/>
          <w:snapToGrid w:val="0"/>
          <w:color w:val="000000"/>
          <w:spacing w:val="11"/>
          <w:kern w:val="0"/>
          <w:sz w:val="24"/>
          <w:szCs w:val="24"/>
          <w:lang w:val="en-US" w:eastAsia="zh-CN"/>
        </w:rPr>
        <w:t>三、培训时间地点</w:t>
      </w:r>
    </w:p>
    <w:p w14:paraId="0B13FD8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default"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1.培训时间：11月—12月；</w:t>
      </w:r>
    </w:p>
    <w:p w14:paraId="27E6F2DF">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default"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2.培训地点：康县</w:t>
      </w:r>
    </w:p>
    <w:p w14:paraId="2DBBBAA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b/>
          <w:bCs/>
          <w:snapToGrid w:val="0"/>
          <w:color w:val="000000"/>
          <w:spacing w:val="11"/>
          <w:kern w:val="0"/>
          <w:sz w:val="24"/>
          <w:szCs w:val="24"/>
          <w:lang w:val="en-US" w:eastAsia="zh-CN"/>
        </w:rPr>
      </w:pPr>
      <w:r>
        <w:rPr>
          <w:rFonts w:hint="eastAsia" w:asciiTheme="minorEastAsia" w:hAnsiTheme="minorEastAsia" w:eastAsiaTheme="minorEastAsia" w:cstheme="minorEastAsia"/>
          <w:b/>
          <w:bCs/>
          <w:snapToGrid w:val="0"/>
          <w:color w:val="000000"/>
          <w:spacing w:val="11"/>
          <w:kern w:val="0"/>
          <w:sz w:val="24"/>
          <w:szCs w:val="24"/>
          <w:lang w:val="en-US" w:eastAsia="zh-CN"/>
        </w:rPr>
        <w:t>四、培训内容</w:t>
      </w:r>
    </w:p>
    <w:p w14:paraId="66E6309E">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1.短视频拍摄技能。（1）短视频概述（2）拍摄器材介绍（3）拍摄技巧讲解（4）后期制作与编辑（5）短视频创作实践（6）优秀案例分析。</w:t>
      </w:r>
    </w:p>
    <w:p w14:paraId="0A6D6163">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2.电商直播运营。（1）电商直播基础理论知识（2）直播平台和工具的使用（3）直播营销策略（4）直播销售技巧（5）产品展示与推荐（6）观众 互动与沟通（7）数据分析与优化（8）电商直播法规与伦理。</w:t>
      </w:r>
    </w:p>
    <w:p w14:paraId="6FCF4E3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default" w:asciiTheme="minorEastAsia" w:hAnsiTheme="minorEastAsia" w:eastAsiaTheme="minorEastAsia" w:cstheme="minorEastAsia"/>
          <w:b/>
          <w:bCs/>
          <w:snapToGrid w:val="0"/>
          <w:color w:val="000000"/>
          <w:spacing w:val="11"/>
          <w:kern w:val="0"/>
          <w:sz w:val="24"/>
          <w:szCs w:val="24"/>
          <w:lang w:val="en-US" w:eastAsia="zh-CN"/>
        </w:rPr>
      </w:pPr>
      <w:r>
        <w:rPr>
          <w:rFonts w:hint="eastAsia" w:asciiTheme="minorEastAsia" w:hAnsiTheme="minorEastAsia" w:eastAsiaTheme="minorEastAsia" w:cstheme="minorEastAsia"/>
          <w:b/>
          <w:bCs/>
          <w:snapToGrid w:val="0"/>
          <w:color w:val="000000"/>
          <w:spacing w:val="11"/>
          <w:kern w:val="0"/>
          <w:sz w:val="24"/>
          <w:szCs w:val="24"/>
          <w:lang w:val="en-US" w:eastAsia="zh-CN"/>
        </w:rPr>
        <w:t>五、培训方式</w:t>
      </w:r>
    </w:p>
    <w:p w14:paraId="5E6A92CC">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（一）普及培训</w:t>
      </w:r>
    </w:p>
    <w:p w14:paraId="52D36809">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1、对象：全县21乡镇报名推荐200人左右；</w:t>
      </w:r>
    </w:p>
    <w:p w14:paraId="2A1AE9CF">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2、内容：普及当前流行的各大直播平台特点、发展趋势，短视频概述、拍摄器材介绍、电商直播基础理论知识、直播平台和工具的使用等，挑选有意向，有兴趣，有条件加入农村直播电商团队的人员。</w:t>
      </w:r>
    </w:p>
    <w:p w14:paraId="63C08E16">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default"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3、时间：3天</w:t>
      </w:r>
    </w:p>
    <w:p w14:paraId="5D3F3398">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（二）集中培训</w:t>
      </w:r>
    </w:p>
    <w:p w14:paraId="61F6238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1.对象：通过普及培训挑选40名优秀学员；</w:t>
      </w:r>
    </w:p>
    <w:p w14:paraId="58D5321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2.内容：详细解析新媒体发展趋势及各平台规则，协助新人开设直播平台账号，进行短视频拍摄、后期制作与编辑及直播运营的实施训练，参培人员100%开设或提升直播账号。</w:t>
      </w:r>
    </w:p>
    <w:p w14:paraId="58B24987">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3.时间：4天</w:t>
      </w:r>
    </w:p>
    <w:p w14:paraId="13E88E4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（三）一对一培训</w:t>
      </w:r>
    </w:p>
    <w:p w14:paraId="1E5B2EC7">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1.对象：通过集中培训选取20名优秀学员；</w:t>
      </w:r>
    </w:p>
    <w:p w14:paraId="6784D772">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2.内容：将优秀学员进行深度培训指导，对学员进行运营陪跑训练。且根据学员特性进行主播、助播、运营人员的专业定位培训，培育出一批电商直播职业人才，并争取在其中选拔出一批康县自己的直播电商老师或领军人物。</w:t>
      </w:r>
    </w:p>
    <w:p w14:paraId="6A940661">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r>
        <w:rPr>
          <w:rFonts w:hint="eastAsia" w:asciiTheme="minorEastAsia" w:hAnsiTheme="minorEastAsia" w:eastAsiaTheme="minorEastAsia" w:cstheme="minorEastAsia"/>
          <w:snapToGrid w:val="0"/>
          <w:color w:val="000000"/>
          <w:spacing w:val="11"/>
          <w:kern w:val="0"/>
          <w:sz w:val="24"/>
          <w:szCs w:val="24"/>
          <w:lang w:val="en-US" w:eastAsia="zh-CN"/>
        </w:rPr>
        <w:t>3.时间：4天</w:t>
      </w:r>
    </w:p>
    <w:p w14:paraId="39E29A60">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5F4CA0C4">
      <w:pPr>
        <w:keepNext w:val="0"/>
        <w:keepLines w:val="0"/>
        <w:pageBreakBefore w:val="0"/>
        <w:widowControl w:val="0"/>
        <w:kinsoku/>
        <w:wordWrap/>
        <w:overflowPunct/>
        <w:topLinePunct w:val="0"/>
        <w:autoSpaceDE/>
        <w:autoSpaceDN/>
        <w:bidi w:val="0"/>
        <w:adjustRightInd/>
        <w:snapToGrid w:val="0"/>
        <w:spacing w:line="360" w:lineRule="auto"/>
        <w:ind w:left="105" w:leftChars="50" w:right="105" w:rightChars="50" w:firstLine="0" w:firstLineChars="0"/>
        <w:jc w:val="both"/>
        <w:textAlignment w:val="auto"/>
        <w:rPr>
          <w:rFonts w:hint="eastAsia" w:asciiTheme="minorEastAsia" w:hAnsiTheme="minorEastAsia" w:eastAsiaTheme="minorEastAsia" w:cstheme="minorEastAsia"/>
          <w:snapToGrid w:val="0"/>
          <w:color w:val="000000"/>
          <w:spacing w:val="11"/>
          <w:kern w:val="0"/>
          <w:sz w:val="24"/>
          <w:szCs w:val="24"/>
          <w:lang w:val="en-US" w:eastAsia="zh-CN"/>
        </w:rPr>
      </w:pPr>
    </w:p>
    <w:p w14:paraId="5ED466BD">
      <w:pPr>
        <w:spacing w:before="147" w:line="362" w:lineRule="auto"/>
        <w:ind w:left="116" w:right="814" w:firstLine="14"/>
        <w:jc w:val="left"/>
        <w:rPr>
          <w:rFonts w:hint="eastAsia" w:ascii="宋体" w:hAnsi="宋体" w:eastAsia="宋体" w:cs="宋体"/>
          <w:color w:val="0000FF"/>
          <w:spacing w:val="9"/>
          <w:kern w:val="0"/>
          <w:sz w:val="28"/>
          <w:szCs w:val="28"/>
          <w:lang w:val="en-US" w:eastAsia="zh-CN"/>
          <w14:textOutline w14:w="4358" w14:cap="sq" w14:cmpd="sng">
            <w14:solidFill>
              <w14:srgbClr w14:val="000000"/>
            </w14:solidFill>
            <w14:prstDash w14:val="solid"/>
            <w14:bevel/>
          </w14:textOutline>
        </w:rPr>
      </w:pPr>
      <w:r>
        <w:rPr>
          <w:rFonts w:hint="eastAsia" w:ascii="宋体" w:hAnsi="宋体" w:eastAsia="宋体" w:cs="宋体"/>
          <w:color w:val="0000FF"/>
          <w:spacing w:val="9"/>
          <w:kern w:val="0"/>
          <w:sz w:val="28"/>
          <w:szCs w:val="28"/>
          <w:lang w:val="en-US" w:eastAsia="zh-CN"/>
          <w14:textOutline w14:w="4358" w14:cap="sq" w14:cmpd="sng">
            <w14:solidFill>
              <w14:srgbClr w14:val="000000"/>
            </w14:solidFill>
            <w14:prstDash w14:val="solid"/>
            <w14:bevel/>
          </w14:textOutline>
        </w:rPr>
        <w:t>一、服务标准：</w:t>
      </w:r>
    </w:p>
    <w:p w14:paraId="24AA52E9">
      <w:pPr>
        <w:pStyle w:val="17"/>
        <w:spacing w:line="360" w:lineRule="auto"/>
        <w:ind w:left="0" w:leftChars="0" w:firstLine="480" w:firstLineChars="200"/>
        <w:jc w:val="both"/>
        <w:rPr>
          <w:rFonts w:hint="eastAsia" w:ascii="宋体" w:hAnsi="宋体" w:eastAsia="宋体" w:cs="宋体"/>
          <w:b/>
          <w:bCs/>
          <w:i w:val="0"/>
          <w:iCs w:val="0"/>
          <w:caps w:val="0"/>
          <w:snapToGrid/>
          <w:color w:val="auto"/>
          <w:spacing w:val="0"/>
          <w:kern w:val="0"/>
          <w:sz w:val="24"/>
          <w:szCs w:val="24"/>
          <w:lang w:val="en-US" w:eastAsia="zh-CN" w:bidi="ar"/>
        </w:rPr>
      </w:pPr>
      <w:r>
        <w:rPr>
          <w:rFonts w:hint="eastAsia" w:ascii="宋体" w:hAnsi="宋体" w:eastAsia="宋体" w:cs="宋体"/>
          <w:color w:val="auto"/>
          <w:sz w:val="24"/>
          <w:szCs w:val="24"/>
          <w:lang w:val="en-US" w:eastAsia="zh-CN"/>
        </w:rPr>
        <w:t>按照国家相关行业标准执行</w:t>
      </w:r>
      <w:r>
        <w:rPr>
          <w:rFonts w:hint="eastAsia" w:ascii="宋体" w:hAnsi="宋体" w:eastAsia="宋体" w:cs="宋体"/>
          <w:b/>
          <w:bCs/>
          <w:i w:val="0"/>
          <w:iCs w:val="0"/>
          <w:caps w:val="0"/>
          <w:snapToGrid/>
          <w:color w:val="auto"/>
          <w:spacing w:val="0"/>
          <w:kern w:val="0"/>
          <w:sz w:val="24"/>
          <w:szCs w:val="24"/>
          <w:lang w:val="en-US" w:eastAsia="zh-CN" w:bidi="ar"/>
        </w:rPr>
        <w:t>。</w:t>
      </w:r>
    </w:p>
    <w:p w14:paraId="4801019B">
      <w:pPr>
        <w:spacing w:before="147" w:line="362" w:lineRule="auto"/>
        <w:ind w:left="116" w:right="814" w:firstLine="14"/>
        <w:jc w:val="left"/>
        <w:rPr>
          <w:rFonts w:hint="default" w:ascii="宋体" w:hAnsi="宋体" w:eastAsia="宋体" w:cs="宋体"/>
          <w:color w:val="0000FF"/>
          <w:spacing w:val="11"/>
          <w:kern w:val="0"/>
          <w:sz w:val="24"/>
          <w:szCs w:val="24"/>
          <w:lang w:val="en-US" w:eastAsia="zh-CN"/>
        </w:rPr>
      </w:pPr>
      <w:r>
        <w:rPr>
          <w:rFonts w:hint="eastAsia" w:ascii="宋体" w:hAnsi="宋体" w:eastAsia="宋体" w:cs="宋体"/>
          <w:color w:val="0000FF"/>
          <w:spacing w:val="9"/>
          <w:kern w:val="0"/>
          <w:sz w:val="28"/>
          <w:szCs w:val="28"/>
          <w:lang w:val="en-US" w:eastAsia="zh-CN"/>
          <w14:textOutline w14:w="4358" w14:cap="sq" w14:cmpd="sng">
            <w14:solidFill>
              <w14:srgbClr w14:val="000000"/>
            </w14:solidFill>
            <w14:prstDash w14:val="solid"/>
            <w14:bevel/>
          </w14:textOutline>
        </w:rPr>
        <w:t>二、服务方式、服务期限及服务地点：</w:t>
      </w:r>
    </w:p>
    <w:p w14:paraId="49D56358">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default" w:ascii="宋体" w:hAnsi="宋体" w:eastAsia="宋体" w:cs="宋体"/>
          <w:color w:val="auto"/>
          <w:spacing w:val="11"/>
          <w:kern w:val="0"/>
          <w:sz w:val="24"/>
          <w:szCs w:val="24"/>
          <w:lang w:val="en-US" w:eastAsia="zh-CN"/>
        </w:rPr>
      </w:pPr>
      <w:r>
        <w:rPr>
          <w:rFonts w:hint="eastAsia" w:ascii="宋体" w:hAnsi="宋体" w:eastAsia="宋体" w:cs="宋体"/>
          <w:color w:val="auto"/>
          <w:spacing w:val="11"/>
          <w:kern w:val="0"/>
          <w:sz w:val="24"/>
          <w:szCs w:val="24"/>
          <w:lang w:val="en-US" w:eastAsia="zh-CN"/>
        </w:rPr>
        <w:t>1、服务方式：甲方指定方式。</w:t>
      </w:r>
    </w:p>
    <w:p w14:paraId="6D768541">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default" w:ascii="宋体" w:hAnsi="宋体" w:eastAsia="宋体" w:cs="宋体"/>
          <w:color w:val="auto"/>
          <w:spacing w:val="11"/>
          <w:kern w:val="0"/>
          <w:sz w:val="24"/>
          <w:szCs w:val="24"/>
          <w:lang w:val="en-US" w:eastAsia="zh-CN"/>
        </w:rPr>
      </w:pPr>
      <w:r>
        <w:rPr>
          <w:rFonts w:hint="eastAsia" w:ascii="宋体" w:hAnsi="宋体" w:eastAsia="宋体" w:cs="宋体"/>
          <w:color w:val="auto"/>
          <w:spacing w:val="11"/>
          <w:kern w:val="0"/>
          <w:sz w:val="24"/>
          <w:szCs w:val="24"/>
          <w:lang w:val="en-US" w:eastAsia="zh-CN"/>
        </w:rPr>
        <w:t>2、服务期限：甲方指定时间。</w:t>
      </w:r>
    </w:p>
    <w:p w14:paraId="0F092D13">
      <w:pPr>
        <w:widowControl/>
        <w:numPr>
          <w:ilvl w:val="0"/>
          <w:numId w:val="0"/>
        </w:numPr>
        <w:kinsoku w:val="0"/>
        <w:autoSpaceDE w:val="0"/>
        <w:autoSpaceDN w:val="0"/>
        <w:adjustRightInd w:val="0"/>
        <w:snapToGrid w:val="0"/>
        <w:spacing w:before="76" w:line="360" w:lineRule="auto"/>
        <w:ind w:right="87" w:rightChars="0" w:firstLine="524" w:firstLineChars="200"/>
        <w:jc w:val="both"/>
        <w:textAlignment w:val="baseline"/>
        <w:rPr>
          <w:rFonts w:hint="default"/>
          <w:color w:val="auto"/>
          <w:lang w:val="en-US" w:eastAsia="zh-CN"/>
        </w:rPr>
      </w:pPr>
      <w:r>
        <w:rPr>
          <w:rFonts w:hint="eastAsia" w:ascii="宋体" w:hAnsi="宋体" w:eastAsia="宋体" w:cs="宋体"/>
          <w:color w:val="auto"/>
          <w:spacing w:val="11"/>
          <w:kern w:val="0"/>
          <w:sz w:val="24"/>
          <w:szCs w:val="24"/>
          <w:lang w:val="en-US" w:eastAsia="zh-CN"/>
        </w:rPr>
        <w:t>3、服务地点：甲方指定地点。</w:t>
      </w:r>
    </w:p>
    <w:p w14:paraId="7425572F">
      <w:pPr>
        <w:spacing w:before="147" w:line="362" w:lineRule="auto"/>
        <w:ind w:left="116" w:right="814" w:firstLine="14"/>
        <w:jc w:val="left"/>
        <w:rPr>
          <w:rFonts w:hint="eastAsia" w:ascii="宋体" w:hAnsi="宋体" w:eastAsia="宋体" w:cs="宋体"/>
          <w:color w:val="0000FF"/>
          <w:spacing w:val="11"/>
          <w:kern w:val="0"/>
          <w:sz w:val="24"/>
          <w:szCs w:val="24"/>
          <w:lang w:val="en-US" w:eastAsia="zh-CN"/>
        </w:rPr>
      </w:pPr>
      <w:r>
        <w:rPr>
          <w:rFonts w:hint="eastAsia" w:ascii="宋体" w:hAnsi="宋体" w:eastAsia="宋体" w:cs="宋体"/>
          <w:color w:val="0000FF"/>
          <w:spacing w:val="9"/>
          <w:kern w:val="0"/>
          <w:sz w:val="28"/>
          <w:szCs w:val="28"/>
          <w:lang w:val="en-US" w:eastAsia="zh-CN"/>
          <w14:textOutline w14:w="4358" w14:cap="sq" w14:cmpd="sng">
            <w14:solidFill>
              <w14:srgbClr w14:val="000000"/>
            </w14:solidFill>
            <w14:prstDash w14:val="solid"/>
            <w14:bevel/>
          </w14:textOutline>
        </w:rPr>
        <w:t>三、付款方式：</w:t>
      </w:r>
    </w:p>
    <w:p w14:paraId="1A0E97FE">
      <w:pPr>
        <w:widowControl w:val="0"/>
        <w:numPr>
          <w:ilvl w:val="0"/>
          <w:numId w:val="0"/>
        </w:numPr>
        <w:spacing w:after="120" w:line="360" w:lineRule="auto"/>
        <w:ind w:leftChars="0" w:firstLine="484" w:firstLineChars="200"/>
        <w:jc w:val="both"/>
        <w:rPr>
          <w:rFonts w:hint="eastAsia" w:ascii="宋体" w:hAnsi="宋体" w:eastAsia="宋体" w:cs="宋体"/>
          <w:b w:val="0"/>
          <w:bCs w:val="0"/>
          <w:snapToGrid w:val="0"/>
          <w:color w:val="auto"/>
          <w:spacing w:val="6"/>
          <w:kern w:val="0"/>
          <w:sz w:val="23"/>
          <w:szCs w:val="23"/>
          <w:lang w:val="en-US" w:eastAsia="zh-CN" w:bidi="ar-SA"/>
        </w:rPr>
      </w:pPr>
      <w:r>
        <w:rPr>
          <w:rFonts w:hint="eastAsia" w:ascii="宋体" w:hAnsi="宋体" w:eastAsia="宋体" w:cs="宋体"/>
          <w:b w:val="0"/>
          <w:bCs w:val="0"/>
          <w:snapToGrid w:val="0"/>
          <w:color w:val="auto"/>
          <w:spacing w:val="6"/>
          <w:kern w:val="0"/>
          <w:sz w:val="23"/>
          <w:szCs w:val="23"/>
          <w:lang w:val="en-US" w:eastAsia="zh-CN" w:bidi="ar-SA"/>
        </w:rPr>
        <w:t>具体以双方签订合同为准。</w:t>
      </w:r>
    </w:p>
    <w:p w14:paraId="771BC96D">
      <w:pPr>
        <w:rPr>
          <w:rFonts w:hint="eastAsia" w:asciiTheme="minorEastAsia" w:hAnsiTheme="minorEastAsia" w:eastAsiaTheme="minorEastAsia" w:cstheme="minorEastAsia"/>
          <w:lang w:val="en-US" w:eastAsia="zh-CN"/>
        </w:rPr>
      </w:pPr>
    </w:p>
    <w:p w14:paraId="34624531">
      <w:pPr>
        <w:rPr>
          <w:rFonts w:hint="eastAsia" w:asciiTheme="minorEastAsia" w:hAnsiTheme="minorEastAsia" w:eastAsiaTheme="minorEastAsia" w:cstheme="minorEastAsia"/>
          <w:lang w:val="en-US" w:eastAsia="zh-CN"/>
        </w:rPr>
      </w:pPr>
    </w:p>
    <w:p w14:paraId="31692773">
      <w:pPr>
        <w:rPr>
          <w:rFonts w:hint="eastAsia" w:asciiTheme="minorEastAsia" w:hAnsiTheme="minorEastAsia" w:eastAsiaTheme="minorEastAsia" w:cstheme="minorEastAsia"/>
          <w:lang w:val="en-US" w:eastAsia="zh-CN"/>
        </w:rPr>
      </w:pPr>
    </w:p>
    <w:bookmarkEnd w:id="4"/>
    <w:p w14:paraId="4F22EE10">
      <w:pPr>
        <w:keepNext w:val="0"/>
        <w:keepLines w:val="0"/>
        <w:pageBreakBefore w:val="0"/>
        <w:widowControl w:val="0"/>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5" w:name="_Toc17167"/>
      <w:bookmarkStart w:id="6" w:name="_Toc9455"/>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投标人须知</w:t>
      </w:r>
      <w:bookmarkEnd w:id="5"/>
      <w:bookmarkEnd w:id="6"/>
    </w:p>
    <w:p w14:paraId="21B494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7" w:name="_Toc10279"/>
      <w:bookmarkStart w:id="8" w:name="_Toc20731"/>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一、总则</w:t>
      </w:r>
      <w:bookmarkEnd w:id="7"/>
      <w:bookmarkEnd w:id="8"/>
    </w:p>
    <w:p w14:paraId="34CC63D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9" w:name="_Toc7441"/>
      <w:bookmarkStart w:id="10" w:name="_Toc28352"/>
      <w:bookmarkStart w:id="11" w:name="_Toc940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1.适用法律、法规</w:t>
      </w:r>
      <w:bookmarkEnd w:id="9"/>
      <w:bookmarkEnd w:id="10"/>
    </w:p>
    <w:p w14:paraId="07CC9A77">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本次招标适用的主要法律、法规为《中华人民共和国招投标法》及其它相关法规。</w:t>
      </w:r>
    </w:p>
    <w:p w14:paraId="7D65833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2.资金</w:t>
      </w:r>
    </w:p>
    <w:p w14:paraId="46A6A913">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lang w:val="en-US" w:eastAsia="zh-CN"/>
        </w:rPr>
      </w:pPr>
      <w:r>
        <w:rPr>
          <w:rFonts w:hint="eastAsia" w:asciiTheme="minorEastAsia" w:hAnsiTheme="minorEastAsia" w:eastAsiaTheme="minorEastAsia" w:cstheme="minorEastAsia"/>
          <w:spacing w:val="0"/>
          <w:position w:val="0"/>
          <w:sz w:val="28"/>
          <w:szCs w:val="28"/>
          <w:lang w:val="en-US" w:eastAsia="zh-CN"/>
        </w:rPr>
        <w:t>2.1 本项目的资金属于财政资金，资金来源已经落实，计划用于支付本次采购后所签订的合同项下的款项。</w:t>
      </w:r>
    </w:p>
    <w:p w14:paraId="2380A9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3.释义</w:t>
      </w:r>
    </w:p>
    <w:p w14:paraId="38660B27">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3.1.招标人：系指依法进行招标的国家机关、事业单位、团体组织。</w:t>
      </w:r>
    </w:p>
    <w:p w14:paraId="42FF46A1">
      <w:pPr>
        <w:keepNext w:val="0"/>
        <w:keepLines w:val="0"/>
        <w:pageBreakBefore w:val="0"/>
        <w:widowControl w:val="0"/>
        <w:wordWrap/>
        <w:overflowPunct/>
        <w:topLinePunct w:val="0"/>
        <w:bidi w:val="0"/>
        <w:spacing w:beforeAutospacing="0" w:afterAutospacing="0" w:line="360" w:lineRule="auto"/>
        <w:ind w:left="0" w:right="0" w:rightChars="0" w:firstLine="840" w:firstLineChars="3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3.2.招标代理机构：系指接受招标人委托，经财政部门认定资格的代理机构。</w:t>
      </w:r>
    </w:p>
    <w:p w14:paraId="6AA925F9">
      <w:pPr>
        <w:keepNext w:val="0"/>
        <w:keepLines w:val="0"/>
        <w:pageBreakBefore w:val="0"/>
        <w:widowControl w:val="0"/>
        <w:wordWrap/>
        <w:overflowPunct/>
        <w:topLinePunct w:val="0"/>
        <w:bidi w:val="0"/>
        <w:spacing w:beforeAutospacing="0" w:afterAutospacing="0" w:line="360" w:lineRule="auto"/>
        <w:ind w:left="0" w:right="0" w:rightChars="0" w:firstLine="840" w:firstLineChars="3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3.3.投标人：是指按竞争性磋商公告购买了竞争性磋商文件进行投标的供应商。</w:t>
      </w:r>
    </w:p>
    <w:p w14:paraId="67C35413">
      <w:pPr>
        <w:keepNext w:val="0"/>
        <w:keepLines w:val="0"/>
        <w:pageBreakBefore w:val="0"/>
        <w:widowControl w:val="0"/>
        <w:wordWrap/>
        <w:overflowPunct/>
        <w:topLinePunct w:val="0"/>
        <w:bidi w:val="0"/>
        <w:spacing w:beforeAutospacing="0" w:afterAutospacing="0" w:line="360" w:lineRule="auto"/>
        <w:ind w:left="0" w:right="0" w:rightChars="0" w:firstLine="840" w:firstLineChars="3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3.4.中标人：指依法确定中标资格并授予合同的投标人。</w:t>
      </w:r>
    </w:p>
    <w:p w14:paraId="3A9EFA91">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3.5.竞争性磋商文件：是指包括项目公告、竞争性磋商文件以及竞争性磋商文件的补充、变更和澄清等一系列文件。</w:t>
      </w:r>
    </w:p>
    <w:p w14:paraId="39D971B8">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3.6.货物：系指投标人按竞争性磋商文件要求，向招标人提供的各种形态和种类的物品，包括原材料、设备、产品(包括软件)及相关的备品备件、工具、手册及其它技术资料和材料。</w:t>
      </w:r>
    </w:p>
    <w:p w14:paraId="428EF4E8">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3.7.服务：系指竞争性磋商文件规定投标人须承担的系统集成、安装、调试、技术协助、校准、培训以及其它类似的义务。</w:t>
      </w:r>
    </w:p>
    <w:p w14:paraId="73328704">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3.8.偏离：系指投标文件对竞争性磋商文件的偏离，即不满足、或不响应竞争性磋商文件的要求。偏离分为对竞争性磋商文件的实质性要求条款偏离和对竞争性磋商文件的一般商务和技术条款(参数)偏离。</w:t>
      </w:r>
    </w:p>
    <w:p w14:paraId="6F30716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3.9.实质性条款：除法律、法规和规章规定外，竞争性磋商文件中用“拒绝”、“不接受”、“无效”、“不得”等文字规定条款为实质性要求条款(即重要条款)，对其中任何一条的偏离，在评标时将其视为无效投标。未用上述文字规定或符号标注的条款为非实质性要求条款(即一般条款)。</w:t>
      </w:r>
    </w:p>
    <w:p w14:paraId="34DDBF5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3.10.日期、天数、时间：未有特别说明时，均为公历日(天)及北京时间。</w:t>
      </w:r>
    </w:p>
    <w:p w14:paraId="41A535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spacing w:val="0"/>
          <w:position w:val="0"/>
          <w:sz w:val="28"/>
          <w:szCs w:val="28"/>
          <w:lang w:eastAsia="zh-CN"/>
        </w:rPr>
      </w:pPr>
      <w:bookmarkStart w:id="12" w:name="_Toc4944"/>
      <w:bookmarkStart w:id="13" w:name="_Toc2799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4.投标人资格要求</w:t>
      </w:r>
      <w:bookmarkEnd w:id="12"/>
      <w:bookmarkEnd w:id="13"/>
    </w:p>
    <w:p w14:paraId="17D3D8B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4.1.根据《中华人民共和国招投标法》的要求</w:t>
      </w:r>
      <w:r>
        <w:rPr>
          <w:rFonts w:hint="eastAsia" w:asciiTheme="minorEastAsia" w:hAnsiTheme="minorEastAsia" w:eastAsiaTheme="minorEastAsia" w:cstheme="minorEastAsia"/>
          <w:spacing w:val="0"/>
          <w:position w:val="0"/>
          <w:sz w:val="28"/>
          <w:szCs w:val="28"/>
          <w:lang w:eastAsia="zh-CN"/>
        </w:rPr>
        <w:t>；</w:t>
      </w:r>
    </w:p>
    <w:p w14:paraId="20BDB0A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4.2.竞争性磋商公告中规定的特定资格要求；</w:t>
      </w:r>
    </w:p>
    <w:p w14:paraId="4F829BB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4.3.投标人投标不得存在下列情形之一：</w:t>
      </w:r>
    </w:p>
    <w:p w14:paraId="0020691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1)与招标人或招标代理机构存在隶属关系或者其他利害关系；</w:t>
      </w:r>
    </w:p>
    <w:p w14:paraId="731D037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2)法定代表人或者负责人为同一人或者存在控股、管理关系的两个以上投标人，不得参加同一招标项目同一包(标段)的投标。</w:t>
      </w:r>
    </w:p>
    <w:p w14:paraId="061A28EE">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4.4.投标人</w:t>
      </w:r>
      <w:r>
        <w:rPr>
          <w:rFonts w:hint="eastAsia" w:asciiTheme="minorEastAsia" w:hAnsiTheme="minorEastAsia" w:eastAsiaTheme="minorEastAsia" w:cstheme="minorEastAsia"/>
          <w:spacing w:val="0"/>
          <w:position w:val="0"/>
          <w:sz w:val="28"/>
          <w:szCs w:val="28"/>
          <w:lang w:val="en-US" w:eastAsia="zh-CN"/>
        </w:rPr>
        <w:t>获取</w:t>
      </w:r>
      <w:r>
        <w:rPr>
          <w:rFonts w:hint="eastAsia" w:asciiTheme="minorEastAsia" w:hAnsiTheme="minorEastAsia" w:eastAsiaTheme="minorEastAsia" w:cstheme="minorEastAsia"/>
          <w:spacing w:val="0"/>
          <w:position w:val="0"/>
          <w:sz w:val="28"/>
          <w:szCs w:val="28"/>
        </w:rPr>
        <w:t>了本竞争性磋商文件并非意味着完全满足了合格投标人的条件，一切均以评标委员会审核的结果为准。</w:t>
      </w:r>
    </w:p>
    <w:p w14:paraId="572F391D">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4.5.不接受联合体投标。</w:t>
      </w:r>
    </w:p>
    <w:p w14:paraId="40F7E8F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4" w:name="_Toc26698"/>
      <w:bookmarkStart w:id="15" w:name="_Toc2696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5.授权委托</w:t>
      </w:r>
      <w:bookmarkEnd w:id="14"/>
      <w:bookmarkEnd w:id="15"/>
    </w:p>
    <w:p w14:paraId="6340CF7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5.1.投标人代表不是投标人的法定代表人或负责人，应持有授权委托书，并附法定代表人或负责人身份证明。</w:t>
      </w:r>
    </w:p>
    <w:p w14:paraId="01A94B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 w:name="_Toc25086"/>
      <w:bookmarkStart w:id="17" w:name="_Toc1500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6.投标费用</w:t>
      </w:r>
      <w:bookmarkEnd w:id="16"/>
      <w:bookmarkEnd w:id="17"/>
    </w:p>
    <w:p w14:paraId="173ADF5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6.1.投标人应承担所有与准备和参加投标有关的费用。不论投标的结果如何，招标代理机构和招标人在任何情况下均无义务和责任承担这些费用。</w:t>
      </w:r>
    </w:p>
    <w:p w14:paraId="62A2306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1"/>
        <w:rPr>
          <w:rFonts w:hint="eastAsia" w:asciiTheme="minorEastAsia" w:hAnsiTheme="minorEastAsia" w:eastAsiaTheme="minorEastAsia" w:cstheme="minorEastAsia"/>
          <w:spacing w:val="0"/>
          <w:position w:val="0"/>
          <w:sz w:val="28"/>
          <w:szCs w:val="28"/>
        </w:rPr>
      </w:pPr>
      <w:bookmarkStart w:id="18" w:name="_Toc31180"/>
      <w:bookmarkStart w:id="19" w:name="_Toc32609"/>
      <w:bookmarkStart w:id="20" w:name="_Toc12948"/>
      <w:bookmarkStart w:id="21" w:name="_Toc30672"/>
      <w:bookmarkStart w:id="22" w:name="_Toc27980"/>
      <w:bookmarkStart w:id="23" w:name="_Toc5153"/>
      <w:bookmarkStart w:id="24" w:name="_Toc18548"/>
      <w:bookmarkStart w:id="25" w:name="_Toc7655"/>
      <w:r>
        <w:rPr>
          <w:rFonts w:hint="eastAsia" w:asciiTheme="minorEastAsia" w:hAnsiTheme="minorEastAsia" w:eastAsiaTheme="minorEastAsia" w:cstheme="minorEastAsia"/>
          <w:spacing w:val="0"/>
          <w:position w:val="0"/>
          <w:sz w:val="28"/>
          <w:szCs w:val="28"/>
        </w:rPr>
        <w:t>6.2.现场考察：招标人不组织现场踏勘，投标人自行考察现场，费用自理。</w:t>
      </w:r>
      <w:bookmarkEnd w:id="18"/>
      <w:bookmarkEnd w:id="19"/>
      <w:bookmarkEnd w:id="20"/>
      <w:bookmarkEnd w:id="21"/>
      <w:bookmarkEnd w:id="22"/>
      <w:bookmarkEnd w:id="23"/>
      <w:bookmarkEnd w:id="24"/>
      <w:bookmarkEnd w:id="25"/>
    </w:p>
    <w:p w14:paraId="6F7B9F3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26" w:name="_Toc16766"/>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二、竞争性磋商文件</w:t>
      </w:r>
      <w:bookmarkEnd w:id="11"/>
      <w:bookmarkEnd w:id="26"/>
    </w:p>
    <w:p w14:paraId="69C5016A">
      <w:pPr>
        <w:keepNext w:val="0"/>
        <w:keepLines w:val="0"/>
        <w:pageBreakBefore w:val="0"/>
        <w:widowControl w:val="0"/>
        <w:wordWrap/>
        <w:overflowPunct/>
        <w:topLinePunct w:val="0"/>
        <w:bidi w:val="0"/>
        <w:spacing w:beforeAutospacing="0" w:afterAutospacing="0" w:line="360" w:lineRule="auto"/>
        <w:ind w:left="0" w:right="0" w:firstLine="562" w:firstLineChars="200"/>
        <w:outlineLvl w:val="2"/>
        <w:rPr>
          <w:rFonts w:hint="eastAsia" w:asciiTheme="minorEastAsia" w:hAnsiTheme="minorEastAsia" w:eastAsiaTheme="minorEastAsia" w:cstheme="minorEastAsia"/>
          <w:spacing w:val="0"/>
          <w:position w:val="0"/>
          <w:sz w:val="28"/>
          <w:szCs w:val="28"/>
        </w:rPr>
      </w:pPr>
      <w:bookmarkStart w:id="27" w:name="_Toc1982"/>
      <w:bookmarkStart w:id="28" w:name="_Toc7809"/>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7.竞争性磋商文件组成</w:t>
      </w:r>
      <w:bookmarkEnd w:id="27"/>
      <w:bookmarkEnd w:id="28"/>
    </w:p>
    <w:p w14:paraId="000AB4EC">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7.1.竞争性磋商文件共分</w:t>
      </w:r>
      <w:r>
        <w:rPr>
          <w:rFonts w:hint="eastAsia" w:asciiTheme="minorEastAsia" w:hAnsiTheme="minorEastAsia" w:eastAsiaTheme="minorEastAsia" w:cstheme="minorEastAsia"/>
          <w:spacing w:val="0"/>
          <w:position w:val="0"/>
          <w:sz w:val="28"/>
          <w:szCs w:val="28"/>
          <w:lang w:val="en-US" w:eastAsia="zh-CN"/>
        </w:rPr>
        <w:t>为七</w:t>
      </w:r>
      <w:r>
        <w:rPr>
          <w:rFonts w:hint="eastAsia" w:asciiTheme="minorEastAsia" w:hAnsiTheme="minorEastAsia" w:eastAsiaTheme="minorEastAsia" w:cstheme="minorEastAsia"/>
          <w:spacing w:val="0"/>
          <w:position w:val="0"/>
          <w:sz w:val="28"/>
          <w:szCs w:val="28"/>
        </w:rPr>
        <w:t>章，其内容如下：</w:t>
      </w:r>
    </w:p>
    <w:p w14:paraId="16943A2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第一章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竞争性磋商公告</w:t>
      </w:r>
    </w:p>
    <w:p w14:paraId="3565A95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第二章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投标须知前附表</w:t>
      </w:r>
    </w:p>
    <w:p w14:paraId="08A0FD1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第三章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技术规格、参数与要求</w:t>
      </w:r>
    </w:p>
    <w:p w14:paraId="113EB493">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第四章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投标人须知</w:t>
      </w:r>
    </w:p>
    <w:p w14:paraId="2C5EADA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第五章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napToGrid w:val="0"/>
          <w:color w:val="000000"/>
          <w:spacing w:val="0"/>
          <w:kern w:val="0"/>
          <w:position w:val="0"/>
          <w:sz w:val="28"/>
          <w:szCs w:val="28"/>
          <w:lang w:val="en-US" w:eastAsia="zh-CN"/>
        </w:rPr>
        <w:t>评标方法及标准</w:t>
      </w:r>
    </w:p>
    <w:p w14:paraId="3F34A17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lang w:val="en-US" w:eastAsia="zh-CN"/>
        </w:rPr>
      </w:pPr>
      <w:r>
        <w:rPr>
          <w:rFonts w:hint="eastAsia" w:asciiTheme="minorEastAsia" w:hAnsiTheme="minorEastAsia" w:eastAsiaTheme="minorEastAsia" w:cstheme="minorEastAsia"/>
          <w:spacing w:val="0"/>
          <w:position w:val="0"/>
          <w:sz w:val="28"/>
          <w:szCs w:val="28"/>
        </w:rPr>
        <w:t>第六章</w:t>
      </w:r>
      <w:r>
        <w:rPr>
          <w:rFonts w:hint="eastAsia" w:asciiTheme="minorEastAsia" w:hAnsiTheme="minorEastAsia" w:eastAsiaTheme="minorEastAsia" w:cstheme="minorEastAsia"/>
          <w:spacing w:val="0"/>
          <w:position w:val="0"/>
          <w:sz w:val="28"/>
          <w:szCs w:val="28"/>
          <w:lang w:val="en-US" w:eastAsia="zh-CN"/>
        </w:rPr>
        <w:t xml:space="preserve"> 政府采购合同</w:t>
      </w:r>
    </w:p>
    <w:p w14:paraId="3A32930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lang w:val="en-US"/>
        </w:rPr>
      </w:pPr>
      <w:r>
        <w:rPr>
          <w:rFonts w:hint="eastAsia" w:asciiTheme="minorEastAsia" w:hAnsiTheme="minorEastAsia" w:eastAsiaTheme="minorEastAsia" w:cstheme="minorEastAsia"/>
          <w:spacing w:val="0"/>
          <w:position w:val="0"/>
          <w:sz w:val="28"/>
          <w:szCs w:val="28"/>
          <w:lang w:val="en-US" w:eastAsia="zh-CN"/>
        </w:rPr>
        <w:t>第七章  投标文件格式</w:t>
      </w:r>
    </w:p>
    <w:p w14:paraId="02E6211E">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7.2.对竞争性磋商文件所作的澄清、修改，构成竞争性磋商文件的组成部分。</w:t>
      </w:r>
    </w:p>
    <w:p w14:paraId="188112C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7.3.投标人应仔细阅读竞争性磋商文件的全部内容，按照竞争性磋商文件要求编制投标文件。任何对竞争性磋商文件的忽略或误解不能作为投标文件存在缺陷或瑕疵的理由，其风险由投标人自行承担。</w:t>
      </w:r>
    </w:p>
    <w:p w14:paraId="3924B5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29" w:name="_Toc27782"/>
      <w:bookmarkStart w:id="30" w:name="_Toc2865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8.竞争性磋商文件的澄清、修改</w:t>
      </w:r>
      <w:bookmarkEnd w:id="29"/>
      <w:bookmarkEnd w:id="30"/>
    </w:p>
    <w:p w14:paraId="52FB0D9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8.1.招标人及招标代理机构对已发出的竞争性磋商文件进行必要澄清或者修改的，应当在竞争性磋商文件要求提交投标文件截止时间十五日前，在政府指定的网站信息发布媒体(甘肃政府采购网</w:t>
      </w:r>
      <w:r>
        <w:rPr>
          <w:rFonts w:hint="eastAsia" w:asciiTheme="minorEastAsia" w:hAnsiTheme="minorEastAsia" w:eastAsiaTheme="minorEastAsia" w:cstheme="minorEastAsia"/>
          <w:spacing w:val="0"/>
          <w:position w:val="0"/>
          <w:sz w:val="28"/>
          <w:szCs w:val="28"/>
          <w:lang w:val="en-US" w:eastAsia="zh-CN"/>
        </w:rPr>
        <w:t>及陇南市公共资源交易网</w:t>
      </w:r>
      <w:r>
        <w:rPr>
          <w:rFonts w:hint="eastAsia" w:asciiTheme="minorEastAsia" w:hAnsiTheme="minorEastAsia" w:eastAsiaTheme="minorEastAsia" w:cstheme="minorEastAsia"/>
          <w:spacing w:val="0"/>
          <w:position w:val="0"/>
          <w:sz w:val="28"/>
          <w:szCs w:val="28"/>
        </w:rPr>
        <w:t>，下同)上发布更正公告，并以书面形式通知所有竞争性磋商文件收受人。该澄清或者修改的内容为竞争性磋商文件的组成部分。</w:t>
      </w:r>
    </w:p>
    <w:p w14:paraId="310408F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8.2.招标人及招标代理机构可以视招标具体情况，延长投标截止时间和开标时间，但至少应当在竞争性磋商文件要求提交投标文件的截止时间三日前，将变更时间书面通知所有竞争性磋商文件收受人，并在政府部门指定的甘肃政府采购网</w:t>
      </w:r>
      <w:r>
        <w:rPr>
          <w:rFonts w:hint="eastAsia" w:asciiTheme="minorEastAsia" w:hAnsiTheme="minorEastAsia" w:eastAsiaTheme="minorEastAsia" w:cstheme="minorEastAsia"/>
          <w:spacing w:val="0"/>
          <w:position w:val="0"/>
          <w:sz w:val="28"/>
          <w:szCs w:val="28"/>
          <w:lang w:val="en-US" w:eastAsia="zh-CN"/>
        </w:rPr>
        <w:t>及陇南市公共资源交易网</w:t>
      </w:r>
      <w:r>
        <w:rPr>
          <w:rFonts w:hint="eastAsia" w:asciiTheme="minorEastAsia" w:hAnsiTheme="minorEastAsia" w:eastAsiaTheme="minorEastAsia" w:cstheme="minorEastAsia"/>
          <w:spacing w:val="0"/>
          <w:position w:val="0"/>
          <w:sz w:val="28"/>
          <w:szCs w:val="28"/>
        </w:rPr>
        <w:t>发布媒体上发布变更公告。</w:t>
      </w:r>
    </w:p>
    <w:p w14:paraId="5098B8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31" w:name="_Toc12013"/>
      <w:bookmarkStart w:id="32" w:name="_Toc19736"/>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三、投标文件</w:t>
      </w:r>
      <w:bookmarkEnd w:id="31"/>
      <w:bookmarkEnd w:id="32"/>
    </w:p>
    <w:p w14:paraId="2C6013D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3" w:name="_Toc25584"/>
      <w:bookmarkStart w:id="34" w:name="_Toc1222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9.编制原则</w:t>
      </w:r>
      <w:bookmarkEnd w:id="33"/>
      <w:bookmarkEnd w:id="34"/>
    </w:p>
    <w:p w14:paraId="5DB0496D">
      <w:pPr>
        <w:keepNext w:val="0"/>
        <w:keepLines w:val="0"/>
        <w:pageBreakBefore w:val="0"/>
        <w:widowControl w:val="0"/>
        <w:wordWrap/>
        <w:overflowPunct/>
        <w:topLinePunct w:val="0"/>
        <w:bidi w:val="0"/>
        <w:spacing w:beforeAutospacing="0" w:afterAutospacing="0" w:line="360" w:lineRule="auto"/>
        <w:ind w:left="0" w:right="0" w:firstLine="840" w:firstLineChars="3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9.1.投标文件应突出重点，精简扼要。所提供的资料必须符合诚实信用、客观真实的原则，对弄虚作假或违背诚信的违法行为，应承担相应的后果及法律责任。</w:t>
      </w:r>
    </w:p>
    <w:p w14:paraId="1151E94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9.2.投标人应仔细阅读竞争性磋商文件的所有内容，按照竞争性磋商文件的要求提交投标文件。投标文件应对竞争性磋商文件的要求作出实质性响应，并保证所提供的全部资料的真实性。</w:t>
      </w:r>
    </w:p>
    <w:p w14:paraId="5F1669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5" w:name="_Toc11004"/>
      <w:bookmarkStart w:id="36" w:name="_Toc2455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10.编制要求</w:t>
      </w:r>
      <w:bookmarkEnd w:id="35"/>
      <w:bookmarkEnd w:id="36"/>
    </w:p>
    <w:p w14:paraId="287CB38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10.1.投标文件应按照“投标文件格式”的要求以A4版面统一编制。</w:t>
      </w:r>
    </w:p>
    <w:p w14:paraId="4B8CE3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10.2.对于有特定格式要求的，不允许改动其内容，否则，其投标无效。</w:t>
      </w:r>
    </w:p>
    <w:p w14:paraId="312A2849">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10.3.投标文件的制作，应使用简体中文。</w:t>
      </w:r>
    </w:p>
    <w:p w14:paraId="0EB5021A">
      <w:pPr>
        <w:keepNext w:val="0"/>
        <w:keepLines w:val="0"/>
        <w:pageBreakBefore w:val="0"/>
        <w:widowControl w:val="0"/>
        <w:wordWrap/>
        <w:overflowPunct/>
        <w:topLinePunct w:val="0"/>
        <w:bidi w:val="0"/>
        <w:spacing w:beforeAutospacing="0" w:afterAutospacing="0" w:line="360" w:lineRule="auto"/>
        <w:ind w:right="-145" w:rightChars="-69"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10.4.投标文件在加盖投标人公章时，不得使用合同专用章、财务专用章、公司部门章或分支机构章、授权(投标)专用章等代替；否则，投标文件按无效投标处理。</w:t>
      </w:r>
    </w:p>
    <w:p w14:paraId="0155128C">
      <w:pPr>
        <w:keepNext w:val="0"/>
        <w:keepLines w:val="0"/>
        <w:pageBreakBefore w:val="0"/>
        <w:widowControl w:val="0"/>
        <w:wordWrap/>
        <w:overflowPunct/>
        <w:topLinePunct w:val="0"/>
        <w:bidi w:val="0"/>
        <w:spacing w:beforeAutospacing="0" w:afterAutospacing="0" w:line="360" w:lineRule="auto"/>
        <w:ind w:right="-145" w:rightChars="-69"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10.5.投标文件应该用计算机打印，并加注页码，用不可拆卸的胶状方式整册装订牢固，任何塑料夹条、订书针装订或打孔装订的按无效投标文件处理。</w:t>
      </w:r>
    </w:p>
    <w:p w14:paraId="1638586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10.6.任何行间插字、涂改和增删，须由投标人授权代表在旁边签字后方为有效。</w:t>
      </w:r>
    </w:p>
    <w:p w14:paraId="5F383E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7" w:name="_Toc12092"/>
      <w:bookmarkStart w:id="38" w:name="_Toc2231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11.投标文件的组成</w:t>
      </w:r>
      <w:bookmarkEnd w:id="37"/>
      <w:bookmarkEnd w:id="38"/>
    </w:p>
    <w:p w14:paraId="4148BB8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11.1.投标文件由商务文件、技术文件两部分组成。各部分的内容如下：</w:t>
      </w:r>
    </w:p>
    <w:p w14:paraId="28876E5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商务文件</w:t>
      </w:r>
    </w:p>
    <w:p w14:paraId="2E3B108A">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(1)投标承诺书</w:t>
      </w:r>
    </w:p>
    <w:p w14:paraId="48BC8B0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(2)投标函</w:t>
      </w:r>
    </w:p>
    <w:p w14:paraId="6F339EA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(3)开标报价一览表</w:t>
      </w:r>
    </w:p>
    <w:p w14:paraId="4CA10A3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(4)分项价格表</w:t>
      </w:r>
    </w:p>
    <w:p w14:paraId="258812F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(5)投标人资格证明文件</w:t>
      </w:r>
    </w:p>
    <w:p w14:paraId="278506C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(6)商务响应说明书</w:t>
      </w:r>
    </w:p>
    <w:p w14:paraId="69D5C37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技术文件</w:t>
      </w:r>
    </w:p>
    <w:p w14:paraId="2B6846B6">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(7)投标方案说明书</w:t>
      </w:r>
    </w:p>
    <w:p w14:paraId="2ED7301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39" w:name="_Toc28343"/>
      <w:bookmarkStart w:id="40" w:name="_Toc2720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12.投标报价</w:t>
      </w:r>
      <w:bookmarkEnd w:id="39"/>
      <w:bookmarkEnd w:id="40"/>
    </w:p>
    <w:p w14:paraId="5A8ED423">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12.1.投标人应按竞争性磋商文件规定的供货及服务要求、责任范围和合同条件，以人民币进行报价。</w:t>
      </w:r>
    </w:p>
    <w:p w14:paraId="05FDC89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12.2.投标人应按开标报价一览表和分项价格表的内容和格式要求填写各项货物及服务的分项价格和总价。投标总价中不得包含竞争性磋商文件要求以外的内容，否则，在评标时不予核减。投标总价中也不得缺漏竞争性磋商文件所要求的内容，否则，在评标时将其视为无效投标。</w:t>
      </w:r>
    </w:p>
    <w:p w14:paraId="66261FD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12.3.投标人对每种货物及服务只允许有一个报价，不接受选择性报价，否则，在评标时将其视为无效投标。</w:t>
      </w:r>
    </w:p>
    <w:p w14:paraId="21CCC0E6">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12.4.投标文件中标明的价格在合同执行过程中是固定不变的，不得以任何理由予以变更。任何包含价格调整要求和条件的投标，在评标时将其视为无效投标。</w:t>
      </w:r>
    </w:p>
    <w:p w14:paraId="529F1C3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1" w:name="_Toc13042"/>
      <w:bookmarkStart w:id="42" w:name="_Toc975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13.备选方案</w:t>
      </w:r>
      <w:bookmarkEnd w:id="41"/>
      <w:bookmarkEnd w:id="42"/>
    </w:p>
    <w:p w14:paraId="5457263D">
      <w:pPr>
        <w:keepNext w:val="0"/>
        <w:keepLines w:val="0"/>
        <w:pageBreakBefore w:val="0"/>
        <w:widowControl w:val="0"/>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13.1.本项目不接受备选方案投标。</w:t>
      </w:r>
    </w:p>
    <w:p w14:paraId="3C96F9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3" w:name="_Toc8012"/>
      <w:bookmarkStart w:id="44" w:name="_Toc32107"/>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14.投标人的资格证明文件</w:t>
      </w:r>
      <w:bookmarkEnd w:id="43"/>
      <w:bookmarkEnd w:id="44"/>
    </w:p>
    <w:p w14:paraId="1E37CC2B">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14.1.投标人应提交满足资格条件要求的证明文件,该证明文件作为投标文件的一部分。</w:t>
      </w:r>
    </w:p>
    <w:p w14:paraId="4C5B46B4">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14.2.投标人提供的货物及服务不是投标人制造或拥有的,如竞争性磋商文件规定需要提供制造商授权书的，则必须提供授权书证明文件。否则，在评审时将其视为无效投标。</w:t>
      </w:r>
    </w:p>
    <w:p w14:paraId="3191A02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5" w:name="_Toc28853"/>
      <w:bookmarkStart w:id="46" w:name="_Toc490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15.投标货物符合竞争性磋商文件规定的证明文件</w:t>
      </w:r>
      <w:bookmarkEnd w:id="45"/>
      <w:bookmarkEnd w:id="46"/>
    </w:p>
    <w:p w14:paraId="13F2E156">
      <w:pPr>
        <w:keepNext w:val="0"/>
        <w:keepLines w:val="0"/>
        <w:pageBreakBefore w:val="0"/>
        <w:widowControl w:val="0"/>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15.1.投标人应当提交其拟供的合同项下货物及其服务符合竞争性磋商文件规定的证明文件,该证明文件作为投标文件的一部分。</w:t>
      </w:r>
    </w:p>
    <w:p w14:paraId="6F0AD7B5">
      <w:pPr>
        <w:keepNext w:val="0"/>
        <w:keepLines w:val="0"/>
        <w:pageBreakBefore w:val="0"/>
        <w:widowControl w:val="0"/>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15.2.投标人应当说明投标货物的品牌型号、规格参数、制造商及原产地等，交货时应出具原产地证明及出厂合格证明。</w:t>
      </w:r>
    </w:p>
    <w:p w14:paraId="2EFCCFA9">
      <w:pPr>
        <w:keepNext w:val="0"/>
        <w:keepLines w:val="0"/>
        <w:pageBreakBefore w:val="0"/>
        <w:widowControl w:val="0"/>
        <w:wordWrap/>
        <w:overflowPunct/>
        <w:topLinePunct w:val="0"/>
        <w:bidi w:val="0"/>
        <w:spacing w:beforeAutospacing="0" w:afterAutospacing="0" w:line="360" w:lineRule="auto"/>
        <w:ind w:left="0" w:right="0" w:firstLine="840" w:firstLineChars="3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15.3.上述证明文件可以是文字资料、图纸和数据，并须提供：</w:t>
      </w:r>
    </w:p>
    <w:p w14:paraId="48536629">
      <w:pPr>
        <w:keepNext w:val="0"/>
        <w:keepLines w:val="0"/>
        <w:pageBreakBefore w:val="0"/>
        <w:widowControl w:val="0"/>
        <w:wordWrap/>
        <w:overflowPunct/>
        <w:topLinePunct w:val="0"/>
        <w:bidi w:val="0"/>
        <w:spacing w:beforeAutospacing="0" w:afterAutospacing="0" w:line="360" w:lineRule="auto"/>
        <w:ind w:left="0" w:right="0" w:firstLine="560" w:firstLineChars="200"/>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(1)货物主要性能和参数的详细说明；</w:t>
      </w:r>
    </w:p>
    <w:p w14:paraId="0960BB6F">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(2)对照竞争性磋商文件技术规格，逐条说明所提供货物和服务对竞争性磋商文件的技术规格条文的响应与偏离。对有具体参数要求的指标，投标人应提供具体参数值。</w:t>
      </w:r>
    </w:p>
    <w:p w14:paraId="5B18B421">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15.4.招标人在技术规格中指出的货物/服务的标准以及参照的牌号或分类号仅起说明作用，并没有任何限制性。投标人在投标中可以选用替代标准、牌号或分类号，但这些替代要实质上相当于或优于技术规格的要求。</w:t>
      </w:r>
    </w:p>
    <w:p w14:paraId="4BBB6A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7" w:name="_Toc10268"/>
      <w:bookmarkStart w:id="48" w:name="_Toc566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16.投标保证金</w:t>
      </w:r>
      <w:bookmarkEnd w:id="47"/>
      <w:bookmarkEnd w:id="48"/>
    </w:p>
    <w:p w14:paraId="0A70A037">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16.1.投标保证金金额：</w:t>
      </w:r>
      <w:r>
        <w:rPr>
          <w:rFonts w:hint="eastAsia" w:asciiTheme="minorEastAsia" w:hAnsiTheme="minorEastAsia" w:eastAsiaTheme="minorEastAsia" w:cstheme="minorEastAsia"/>
          <w:spacing w:val="0"/>
          <w:position w:val="0"/>
          <w:sz w:val="28"/>
          <w:szCs w:val="28"/>
          <w:lang w:eastAsia="zh-CN"/>
        </w:rPr>
        <w:t>为进一步优化营商环境举措，按照甘财采（2022）16号甘肃省财政厅关于进一步加大政府采购支持中小企业力度的通知，全省政府采购项目不再收取投标保证金</w:t>
      </w:r>
      <w:r>
        <w:rPr>
          <w:rFonts w:hint="eastAsia" w:asciiTheme="minorEastAsia" w:hAnsiTheme="minorEastAsia" w:eastAsiaTheme="minorEastAsia" w:cstheme="minorEastAsia"/>
          <w:spacing w:val="0"/>
          <w:position w:val="0"/>
          <w:sz w:val="28"/>
          <w:szCs w:val="28"/>
        </w:rPr>
        <w:t>。</w:t>
      </w:r>
    </w:p>
    <w:p w14:paraId="5A580D0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49" w:name="_Toc429"/>
      <w:bookmarkStart w:id="50" w:name="_Toc1096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17.投标有效期</w:t>
      </w:r>
      <w:bookmarkEnd w:id="49"/>
      <w:bookmarkEnd w:id="50"/>
    </w:p>
    <w:p w14:paraId="78B19894">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17.1.投标有效期为60天，在此期间投标文件对投标人具有法律约束力，以保证招标人有足够的时间完成评标、定标以及签订合同。投标有效期从规定的投标截止之日起计算。投标有效期不足的，在评标时将其视为无效投标。</w:t>
      </w:r>
    </w:p>
    <w:p w14:paraId="7E5E8EFF">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17.2.特殊情况需延长投标有效期的，招标代理机构可于投标有效期届满之前，要求投标人同意延长有效期，招标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14:paraId="26DEA9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51" w:name="_Toc24204"/>
      <w:bookmarkStart w:id="52" w:name="_Toc2571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18.投标文件份数和签署、盖章</w:t>
      </w:r>
      <w:bookmarkEnd w:id="51"/>
      <w:bookmarkEnd w:id="52"/>
    </w:p>
    <w:p w14:paraId="62FA5ED2">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bookmarkStart w:id="53" w:name="_Toc25287"/>
      <w:bookmarkStart w:id="54" w:name="_Toc29569"/>
      <w:bookmarkStart w:id="55" w:name="_Toc21668"/>
      <w:r>
        <w:rPr>
          <w:rFonts w:hint="eastAsia" w:asciiTheme="minorEastAsia" w:hAnsiTheme="minorEastAsia" w:eastAsiaTheme="minorEastAsia" w:cstheme="minorEastAsia"/>
          <w:spacing w:val="0"/>
          <w:position w:val="0"/>
          <w:sz w:val="28"/>
          <w:szCs w:val="28"/>
        </w:rPr>
        <w:t>18.1.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w:t>
      </w:r>
      <w:bookmarkEnd w:id="53"/>
      <w:bookmarkEnd w:id="54"/>
      <w:r>
        <w:rPr>
          <w:rFonts w:hint="eastAsia" w:asciiTheme="minorEastAsia" w:hAnsiTheme="minorEastAsia" w:eastAsiaTheme="minorEastAsia" w:cstheme="minorEastAsia"/>
          <w:spacing w:val="0"/>
          <w:position w:val="0"/>
          <w:sz w:val="28"/>
          <w:szCs w:val="28"/>
        </w:rPr>
        <w:t xml:space="preserve"> </w:t>
      </w:r>
    </w:p>
    <w:p w14:paraId="1B944345">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bookmarkStart w:id="56" w:name="_Toc12559"/>
      <w:bookmarkStart w:id="57" w:name="_Toc5343"/>
      <w:r>
        <w:rPr>
          <w:rFonts w:hint="eastAsia" w:asciiTheme="minorEastAsia" w:hAnsiTheme="minorEastAsia" w:eastAsiaTheme="minorEastAsia" w:cstheme="minorEastAsia"/>
          <w:spacing w:val="0"/>
          <w:position w:val="0"/>
          <w:sz w:val="28"/>
          <w:szCs w:val="28"/>
        </w:rPr>
        <w:t>18.2.投标文件中除要求由投标人法定代表人或被授权人签字的内容必须签字、盖章，否则初步评审不通过。投标文件应使用不能擦去的墨水打印或书写。全套投标文件应无涂改和行间插字，除非这些删改是根据招标人的指示进行的，或者是投标人造成的必须修改的错误。修改处应由投标文件签字人签字证明。</w:t>
      </w:r>
      <w:bookmarkEnd w:id="56"/>
      <w:bookmarkEnd w:id="57"/>
      <w:r>
        <w:rPr>
          <w:rFonts w:hint="eastAsia" w:asciiTheme="minorEastAsia" w:hAnsiTheme="minorEastAsia" w:eastAsiaTheme="minorEastAsia" w:cstheme="minorEastAsia"/>
          <w:spacing w:val="0"/>
          <w:position w:val="0"/>
          <w:sz w:val="28"/>
          <w:szCs w:val="28"/>
        </w:rPr>
        <w:t xml:space="preserve"> </w:t>
      </w:r>
    </w:p>
    <w:p w14:paraId="1912B8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58" w:name="_Toc14395"/>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四、投标文件的递交</w:t>
      </w:r>
      <w:bookmarkEnd w:id="55"/>
      <w:bookmarkEnd w:id="58"/>
    </w:p>
    <w:p w14:paraId="08BCFA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left"/>
        <w:textAlignment w:val="auto"/>
        <w:outlineLvl w:val="2"/>
        <w:rPr>
          <w:rFonts w:hint="eastAsia" w:asciiTheme="minorEastAsia" w:hAnsiTheme="minorEastAsia" w:eastAsiaTheme="minorEastAsia" w:cstheme="minorEastAsia"/>
          <w:b/>
          <w:bCs/>
          <w:i w:val="0"/>
          <w:iCs w:val="0"/>
          <w:caps w:val="0"/>
          <w:snapToGrid/>
          <w:color w:val="FF0000"/>
          <w:spacing w:val="0"/>
          <w:kern w:val="0"/>
          <w:position w:val="0"/>
          <w:sz w:val="28"/>
          <w:szCs w:val="28"/>
          <w:lang w:val="en-US" w:eastAsia="zh-CN" w:bidi="ar"/>
        </w:rPr>
      </w:pPr>
      <w:bookmarkStart w:id="59" w:name="_Toc27337"/>
      <w:bookmarkStart w:id="60" w:name="_Toc2943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w:t>
      </w:r>
      <w:r>
        <w:rPr>
          <w:rFonts w:hint="eastAsia" w:asciiTheme="minorEastAsia" w:hAnsiTheme="minorEastAsia" w:eastAsiaTheme="minorEastAsia" w:cstheme="minorEastAsia"/>
          <w:b/>
          <w:bCs/>
          <w:i w:val="0"/>
          <w:iCs w:val="0"/>
          <w:caps w:val="0"/>
          <w:snapToGrid/>
          <w:color w:val="000000" w:themeColor="text1"/>
          <w:spacing w:val="0"/>
          <w:kern w:val="0"/>
          <w:position w:val="0"/>
          <w:sz w:val="28"/>
          <w:szCs w:val="28"/>
          <w:lang w:val="en-US" w:eastAsia="zh-CN" w:bidi="ar"/>
          <w14:textFill>
            <w14:solidFill>
              <w14:schemeClr w14:val="tx1"/>
            </w14:solidFill>
          </w14:textFill>
        </w:rPr>
        <w:t>9.投标文件的密封</w:t>
      </w:r>
      <w:bookmarkEnd w:id="59"/>
      <w:bookmarkEnd w:id="60"/>
    </w:p>
    <w:p w14:paraId="0D0DCF6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color w:val="FF0000"/>
          <w:spacing w:val="0"/>
          <w:position w:val="0"/>
          <w:sz w:val="28"/>
          <w:szCs w:val="28"/>
        </w:rPr>
      </w:pPr>
      <w:bookmarkStart w:id="61" w:name="_Toc32292"/>
      <w:bookmarkStart w:id="62" w:name="_Toc27607"/>
      <w:r>
        <w:rPr>
          <w:rFonts w:hint="eastAsia" w:asciiTheme="minorEastAsia" w:hAnsiTheme="minorEastAsia" w:eastAsiaTheme="minorEastAsia" w:cstheme="minorEastAsia"/>
          <w:color w:val="FF0000"/>
          <w:spacing w:val="0"/>
          <w:position w:val="0"/>
          <w:sz w:val="28"/>
          <w:szCs w:val="28"/>
        </w:rPr>
        <w:t xml:space="preserve">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 </w:t>
      </w:r>
    </w:p>
    <w:p w14:paraId="731B0B4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color w:val="FF0000"/>
          <w:spacing w:val="0"/>
          <w:position w:val="0"/>
          <w:sz w:val="28"/>
          <w:szCs w:val="28"/>
        </w:rPr>
      </w:pPr>
      <w:r>
        <w:rPr>
          <w:rFonts w:hint="eastAsia" w:asciiTheme="minorEastAsia" w:hAnsiTheme="minorEastAsia" w:eastAsiaTheme="minorEastAsia" w:cstheme="minorEastAsia"/>
          <w:b/>
          <w:bCs/>
          <w:color w:val="FF0000"/>
          <w:spacing w:val="0"/>
          <w:position w:val="0"/>
          <w:sz w:val="28"/>
          <w:szCs w:val="28"/>
        </w:rPr>
        <w:t>开标之后投标单位须将投标文件纸质版一正两副（共计三本）邮寄至代理公司。</w:t>
      </w:r>
    </w:p>
    <w:p w14:paraId="7295C9F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both"/>
        <w:textAlignment w:val="auto"/>
        <w:outlineLvl w:val="2"/>
        <w:rPr>
          <w:rFonts w:hint="eastAsia" w:asciiTheme="minorEastAsia" w:hAnsiTheme="minorEastAsia" w:eastAsiaTheme="minorEastAsia" w:cstheme="minorEastAsia"/>
          <w:b/>
          <w:bCs/>
          <w:i w:val="0"/>
          <w:iCs w:val="0"/>
          <w:caps w:val="0"/>
          <w:snapToGrid/>
          <w:color w:val="000000" w:themeColor="text1"/>
          <w:spacing w:val="0"/>
          <w:kern w:val="0"/>
          <w:positio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snapToGrid/>
          <w:color w:val="000000" w:themeColor="text1"/>
          <w:spacing w:val="0"/>
          <w:kern w:val="0"/>
          <w:position w:val="0"/>
          <w:sz w:val="28"/>
          <w:szCs w:val="28"/>
          <w:lang w:val="en-US" w:eastAsia="zh-CN" w:bidi="ar"/>
          <w14:textFill>
            <w14:solidFill>
              <w14:schemeClr w14:val="tx1"/>
            </w14:solidFill>
          </w14:textFill>
        </w:rPr>
        <w:t>20.投标文件的递交</w:t>
      </w:r>
      <w:bookmarkEnd w:id="61"/>
      <w:bookmarkEnd w:id="62"/>
    </w:p>
    <w:p w14:paraId="2FB0F2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spacing w:val="0"/>
          <w:position w:val="0"/>
          <w:sz w:val="28"/>
          <w:szCs w:val="28"/>
        </w:rPr>
      </w:pPr>
      <w:bookmarkStart w:id="63" w:name="_Toc20783"/>
      <w:bookmarkStart w:id="64" w:name="_Toc22511"/>
      <w:r>
        <w:rPr>
          <w:rFonts w:hint="eastAsia" w:asciiTheme="minorEastAsia" w:hAnsiTheme="minorEastAsia" w:eastAsiaTheme="minorEastAsia" w:cstheme="minorEastAsia"/>
          <w:spacing w:val="0"/>
          <w:position w:val="0"/>
          <w:sz w:val="28"/>
          <w:szCs w:val="28"/>
        </w:rPr>
        <w:t>该项目采用新点不见面网上开标方式：开评标活动通过“新点不见面网上开标大厅”进行。各投标单位在参与投标时，登录陇南市公共资源交易网首页“下载中心”，下载投标文件制作工具“新点投标文件制作软件（陇南版）”，并按照“不见面开评标投标人操作手册”制作固化并上传投标文件；本项目必须使用同一把 CA 进行所有操作。若在开标时间前没有网上投标（上传投标文件）则视为放弃投标。</w:t>
      </w:r>
    </w:p>
    <w:p w14:paraId="7CF5856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right="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21.投标文件的修改和撤回</w:t>
      </w:r>
      <w:bookmarkEnd w:id="63"/>
      <w:bookmarkEnd w:id="64"/>
    </w:p>
    <w:p w14:paraId="6FAC14CA">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21.1.在投标截止时间前，投标人可以书面形式修改、补充或撤回己递交的投标文件，但应以书面形式通知招标代理机构。</w:t>
      </w:r>
    </w:p>
    <w:p w14:paraId="5F2E6C9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21.2.修改、补充的内容为投标文件的组成部分。修改、补充的投标文件应按规定编制、签署、密封、标记和递交，并标明“修改、补充”字样。</w:t>
      </w:r>
    </w:p>
    <w:p w14:paraId="20B065A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21.3.投标人撤回投标文件的，招标代理机构自收到投标人书面撤回通知之日起五日内退还已收取的投标保证金。</w:t>
      </w:r>
    </w:p>
    <w:p w14:paraId="23B85C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65" w:name="_Toc20718"/>
      <w:bookmarkStart w:id="66" w:name="_Toc27466"/>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五、开标、评标与定标</w:t>
      </w:r>
      <w:bookmarkEnd w:id="65"/>
      <w:bookmarkEnd w:id="66"/>
    </w:p>
    <w:p w14:paraId="487FEFE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67" w:name="_Toc15025"/>
      <w:bookmarkStart w:id="68" w:name="_Toc2969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22.开标</w:t>
      </w:r>
      <w:bookmarkEnd w:id="67"/>
      <w:bookmarkEnd w:id="68"/>
    </w:p>
    <w:p w14:paraId="2F73838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22.1.招标代理机构规定的投标截止时间(开标时间)和地点组织公开开标，并邀请所有投标人法定代表人或其授权的代理人参加。参加开标的投标人代表应签名以证明其出席。</w:t>
      </w:r>
    </w:p>
    <w:p w14:paraId="278D393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22.2.开标时，公布在投标截止时间前递交投标文件的投标人名称；由投标人或其推选的代表检查投标文件的密封情况，也可以由招标代理机构委托的公证机构检查并公证；经确认无误后，由招标代理机构工作人员当众拆封，宣读投标人名称、投标价格、价格折扣、竞争性磋商文件允许提供的备选方案和投标文件的其他主要内容。</w:t>
      </w:r>
    </w:p>
    <w:p w14:paraId="376B8F97">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22.3.未宣读的投标价格、价格折扣和竞争性磋商文件允许提供的备选方案等实质内容，评标时不予承认。</w:t>
      </w:r>
    </w:p>
    <w:p w14:paraId="582E6A6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22.4.投标人代表、监督人、记录人等有关人员在开标记录上签字确认。</w:t>
      </w:r>
    </w:p>
    <w:p w14:paraId="30E44E8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69" w:name="_Toc7274"/>
      <w:bookmarkStart w:id="70" w:name="_Toc2639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25.无效投标的情形</w:t>
      </w:r>
      <w:bookmarkEnd w:id="69"/>
      <w:bookmarkEnd w:id="70"/>
    </w:p>
    <w:p w14:paraId="53A6F72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1</w:t>
      </w:r>
      <w:r>
        <w:rPr>
          <w:rFonts w:hint="eastAsia" w:asciiTheme="minorEastAsia" w:hAnsiTheme="minorEastAsia" w:eastAsiaTheme="minorEastAsia" w:cstheme="minorEastAsia"/>
          <w:spacing w:val="0"/>
          <w:position w:val="0"/>
          <w:sz w:val="28"/>
          <w:szCs w:val="28"/>
        </w:rPr>
        <w:t>.未按照竞争性磋商文件规定要求密封、签字、盖章的；</w:t>
      </w:r>
    </w:p>
    <w:p w14:paraId="223D74F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2</w:t>
      </w:r>
      <w:r>
        <w:rPr>
          <w:rFonts w:hint="eastAsia" w:asciiTheme="minorEastAsia" w:hAnsiTheme="minorEastAsia" w:eastAsiaTheme="minorEastAsia" w:cstheme="minorEastAsia"/>
          <w:spacing w:val="0"/>
          <w:position w:val="0"/>
          <w:sz w:val="28"/>
          <w:szCs w:val="28"/>
        </w:rPr>
        <w:t>.不具备竞争性磋商文件中规定资格要求的；</w:t>
      </w:r>
    </w:p>
    <w:p w14:paraId="32AAEC6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3</w:t>
      </w:r>
      <w:r>
        <w:rPr>
          <w:rFonts w:hint="eastAsia" w:asciiTheme="minorEastAsia" w:hAnsiTheme="minorEastAsia" w:eastAsiaTheme="minorEastAsia" w:cstheme="minorEastAsia"/>
          <w:spacing w:val="0"/>
          <w:position w:val="0"/>
          <w:sz w:val="28"/>
          <w:szCs w:val="28"/>
        </w:rPr>
        <w:t>.投标人资格证明文件不全或是虚假的；</w:t>
      </w:r>
    </w:p>
    <w:p w14:paraId="71FB2FDE">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4</w:t>
      </w:r>
      <w:r>
        <w:rPr>
          <w:rFonts w:hint="eastAsia" w:asciiTheme="minorEastAsia" w:hAnsiTheme="minorEastAsia" w:eastAsiaTheme="minorEastAsia" w:cstheme="minorEastAsia"/>
          <w:spacing w:val="0"/>
          <w:position w:val="0"/>
          <w:sz w:val="28"/>
          <w:szCs w:val="28"/>
        </w:rPr>
        <w:t>.投标有效期不符合竞争性磋商文件要求的；</w:t>
      </w:r>
    </w:p>
    <w:p w14:paraId="018B1926">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5</w:t>
      </w:r>
      <w:r>
        <w:rPr>
          <w:rFonts w:hint="eastAsia" w:asciiTheme="minorEastAsia" w:hAnsiTheme="minorEastAsia" w:eastAsiaTheme="minorEastAsia" w:cstheme="minorEastAsia"/>
          <w:spacing w:val="0"/>
          <w:position w:val="0"/>
          <w:sz w:val="28"/>
          <w:szCs w:val="28"/>
        </w:rPr>
        <w:t>.投标文件内容不齐全或者投标文件份数不够的；</w:t>
      </w:r>
    </w:p>
    <w:p w14:paraId="30D0085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6</w:t>
      </w:r>
      <w:r>
        <w:rPr>
          <w:rFonts w:hint="eastAsia" w:asciiTheme="minorEastAsia" w:hAnsiTheme="minorEastAsia" w:eastAsiaTheme="minorEastAsia" w:cstheme="minorEastAsia"/>
          <w:spacing w:val="0"/>
          <w:position w:val="0"/>
          <w:sz w:val="28"/>
          <w:szCs w:val="28"/>
        </w:rPr>
        <w:t>.投标文件出现重大负偏离的；</w:t>
      </w:r>
    </w:p>
    <w:p w14:paraId="21CAD22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7</w:t>
      </w:r>
      <w:r>
        <w:rPr>
          <w:rFonts w:hint="eastAsia" w:asciiTheme="minorEastAsia" w:hAnsiTheme="minorEastAsia" w:eastAsiaTheme="minorEastAsia" w:cstheme="minorEastAsia"/>
          <w:spacing w:val="0"/>
          <w:position w:val="0"/>
          <w:sz w:val="28"/>
          <w:szCs w:val="28"/>
        </w:rPr>
        <w:t>.投标文件不满足带其他要求的；</w:t>
      </w:r>
    </w:p>
    <w:p w14:paraId="2594B44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8</w:t>
      </w:r>
      <w:r>
        <w:rPr>
          <w:rFonts w:hint="eastAsia" w:asciiTheme="minorEastAsia" w:hAnsiTheme="minorEastAsia" w:eastAsiaTheme="minorEastAsia" w:cstheme="minorEastAsia"/>
          <w:spacing w:val="0"/>
          <w:position w:val="0"/>
          <w:sz w:val="28"/>
          <w:szCs w:val="28"/>
        </w:rPr>
        <w:t>.投标文件不符合规定格式的；</w:t>
      </w:r>
    </w:p>
    <w:p w14:paraId="2CAA651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w:t>
      </w:r>
      <w:r>
        <w:rPr>
          <w:rFonts w:hint="eastAsia" w:asciiTheme="minorEastAsia" w:hAnsiTheme="minorEastAsia" w:eastAsiaTheme="minorEastAsia" w:cstheme="minorEastAsia"/>
          <w:spacing w:val="0"/>
          <w:position w:val="0"/>
          <w:sz w:val="28"/>
          <w:szCs w:val="28"/>
          <w:lang w:val="en-US" w:eastAsia="zh-CN"/>
        </w:rPr>
        <w:t>9</w:t>
      </w:r>
      <w:r>
        <w:rPr>
          <w:rFonts w:hint="eastAsia" w:asciiTheme="minorEastAsia" w:hAnsiTheme="minorEastAsia" w:eastAsiaTheme="minorEastAsia" w:cstheme="minorEastAsia"/>
          <w:spacing w:val="0"/>
          <w:position w:val="0"/>
          <w:sz w:val="28"/>
          <w:szCs w:val="28"/>
        </w:rPr>
        <w:t>.投标文件含有招标人不能接受的条件或声明的；</w:t>
      </w:r>
    </w:p>
    <w:p w14:paraId="4D9A2F1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25.1</w:t>
      </w:r>
      <w:r>
        <w:rPr>
          <w:rFonts w:hint="eastAsia" w:asciiTheme="minorEastAsia" w:hAnsiTheme="minorEastAsia" w:eastAsiaTheme="minorEastAsia" w:cstheme="minorEastAsia"/>
          <w:spacing w:val="0"/>
          <w:position w:val="0"/>
          <w:sz w:val="28"/>
          <w:szCs w:val="28"/>
          <w:lang w:val="en-US" w:eastAsia="zh-CN"/>
        </w:rPr>
        <w:t>0</w:t>
      </w:r>
      <w:r>
        <w:rPr>
          <w:rFonts w:hint="eastAsia" w:asciiTheme="minorEastAsia" w:hAnsiTheme="minorEastAsia" w:eastAsiaTheme="minorEastAsia" w:cstheme="minorEastAsia"/>
          <w:spacing w:val="0"/>
          <w:position w:val="0"/>
          <w:sz w:val="28"/>
          <w:szCs w:val="28"/>
        </w:rPr>
        <w:t>.不符合法律、法规和本竞争性磋商文件中规定的其他实质性要求的。</w:t>
      </w:r>
    </w:p>
    <w:p w14:paraId="1D8A90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71" w:name="_Toc9712"/>
      <w:bookmarkStart w:id="72" w:name="_Toc1950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26.定标</w:t>
      </w:r>
      <w:bookmarkEnd w:id="71"/>
      <w:bookmarkEnd w:id="72"/>
    </w:p>
    <w:p w14:paraId="4832BDE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26.1.评标委员会根据评审方法及标准，提出书面评标报告，推荐中标候选人。</w:t>
      </w:r>
    </w:p>
    <w:p w14:paraId="7A3C2DD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26.2.招标人确认中标结果。</w:t>
      </w:r>
    </w:p>
    <w:p w14:paraId="7241D5B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26.3.由招标代理机构按要求将中标结果在公告发布媒体上公告。</w:t>
      </w:r>
    </w:p>
    <w:p w14:paraId="07BF74D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73" w:name="_Toc20968"/>
      <w:bookmarkStart w:id="74" w:name="_Toc11439"/>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六、质疑</w:t>
      </w:r>
      <w:bookmarkEnd w:id="73"/>
      <w:bookmarkEnd w:id="74"/>
    </w:p>
    <w:p w14:paraId="72A6F4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75" w:name="_Toc8326"/>
      <w:bookmarkStart w:id="76" w:name="_Toc2038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27.投标人质疑</w:t>
      </w:r>
      <w:bookmarkEnd w:id="75"/>
      <w:bookmarkEnd w:id="76"/>
    </w:p>
    <w:p w14:paraId="455E59A5">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27.1.投标人对招标活动事项有疑问的，可以向招标人或招标代理机构提出询问。招标人或招标代理机构将在七个工作日内作出答复。</w:t>
      </w:r>
    </w:p>
    <w:p w14:paraId="2976390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27.2.投标人若认为竞争性磋商文件、采购过程和中标结果使自己的权益受到损害，应当在下列时间内以书面形式向招标人或招标代理机构提出：</w:t>
      </w:r>
    </w:p>
    <w:p w14:paraId="4C17909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(1)关于竞争性磋商文件的质疑，应从竞争性磋商文件发出之日起七个工作日内提出。</w:t>
      </w:r>
    </w:p>
    <w:p w14:paraId="0570861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(2)关于采购过程的质疑，应在采购程序环节结束之日起七个工作日内提出。</w:t>
      </w:r>
    </w:p>
    <w:p w14:paraId="1129471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(3)关于中标结果的质疑，应在中标结果信息发布后七个工作日内提出。</w:t>
      </w:r>
    </w:p>
    <w:p w14:paraId="39197BC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27.3.投标人提出质疑的，应提供质疑书原件。招标人或招标代理机构应当向质疑供应商签收回执。</w:t>
      </w:r>
    </w:p>
    <w:p w14:paraId="5AE49350">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27.4.质疑书应当包括下列内容：</w:t>
      </w:r>
    </w:p>
    <w:p w14:paraId="5FA78EAF">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(1)质疑供应商的名称、地址及有效联系方式；</w:t>
      </w:r>
    </w:p>
    <w:p w14:paraId="6CF26E3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(2)质疑事项；</w:t>
      </w:r>
    </w:p>
    <w:p w14:paraId="0652CCB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(3)事实依据及相关证明材料；</w:t>
      </w:r>
    </w:p>
    <w:p w14:paraId="5747C8C2">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(4)相关请求及主张。</w:t>
      </w:r>
    </w:p>
    <w:p w14:paraId="3373E6CD">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27.5.质疑书应当由投标人法定代表人或其授权的代理人签字并加盖投标人单位章，质疑书由授权的代理人签字的应附投标人法定代表人委托授权书。</w:t>
      </w:r>
    </w:p>
    <w:p w14:paraId="2E76AE3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27.6.招标人或招标代理机构将在签收回执之日起七个工作日内作出书面答复，并以书面形式通知质疑投标人和其他有关的投标人。</w:t>
      </w:r>
    </w:p>
    <w:p w14:paraId="1E79D88A">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27.7.投标人对招标人或招标代理机构的答复不满意，或招标人或招标代理机构未在规定的期限作出答复的，可在答复期满后十五个工作日内，按招投标法相关法律法规规章的规定及程序，向同级部门提出投诉。</w:t>
      </w:r>
    </w:p>
    <w:p w14:paraId="45AA73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77" w:name="_Toc7377"/>
      <w:bookmarkStart w:id="78" w:name="_Toc18183"/>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七、签订合同</w:t>
      </w:r>
      <w:bookmarkEnd w:id="77"/>
      <w:bookmarkEnd w:id="78"/>
    </w:p>
    <w:p w14:paraId="31BECE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79" w:name="_Toc496"/>
      <w:bookmarkStart w:id="80" w:name="_Toc3136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28.招标代理服务费</w:t>
      </w:r>
      <w:bookmarkEnd w:id="79"/>
      <w:bookmarkEnd w:id="80"/>
    </w:p>
    <w:p w14:paraId="4087EFA9">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28.1.招标代理机构以中华人民共和国国家发展计划委员会“计价格[2002]1980号文”批准的收费标准收取招标代理服务费。</w:t>
      </w:r>
    </w:p>
    <w:p w14:paraId="66F8E5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1" w:name="_Toc29512"/>
      <w:bookmarkStart w:id="82" w:name="_Toc1782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29.中标通知书</w:t>
      </w:r>
      <w:bookmarkEnd w:id="81"/>
      <w:bookmarkEnd w:id="82"/>
    </w:p>
    <w:p w14:paraId="65277833">
      <w:pPr>
        <w:keepNext w:val="0"/>
        <w:keepLines w:val="0"/>
        <w:pageBreakBefore w:val="0"/>
        <w:widowControl w:val="0"/>
        <w:wordWrap/>
        <w:overflowPunct/>
        <w:topLinePunct w:val="0"/>
        <w:bidi w:val="0"/>
        <w:spacing w:beforeAutospacing="0" w:afterAutospacing="0" w:line="360" w:lineRule="auto"/>
        <w:ind w:left="0" w:right="0" w:rightChars="0" w:firstLine="560" w:firstLineChars="200"/>
        <w:jc w:val="both"/>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29.1.在规定的投标有效期内，招标代理机构办理《中标通知书》发出事宜。</w:t>
      </w:r>
    </w:p>
    <w:p w14:paraId="1FD5669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29.2.中标通知书对招标人和中标供应商具有同等法律效力。</w:t>
      </w:r>
    </w:p>
    <w:p w14:paraId="4D3ED1C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29.3.中标通知书发出后，招标人改变中标结果，或者中标人放弃中标，应当承担相应的法律责任。</w:t>
      </w:r>
    </w:p>
    <w:p w14:paraId="17E358E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29.4.中标通知书是中标人签订合同的依据，是合同必不可少的一个组成部分。</w:t>
      </w:r>
    </w:p>
    <w:p w14:paraId="5AE68D5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3" w:name="_Toc25541"/>
      <w:bookmarkStart w:id="84" w:name="_Toc2678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30.签订合同</w:t>
      </w:r>
      <w:bookmarkEnd w:id="83"/>
      <w:bookmarkEnd w:id="84"/>
    </w:p>
    <w:p w14:paraId="16449B0F">
      <w:pPr>
        <w:keepNext w:val="0"/>
        <w:keepLines w:val="0"/>
        <w:pageBreakBefore w:val="0"/>
        <w:widowControl/>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30.1.招标人应当自开标结束中标公示三日后交清各项费用联系代理单位领取中标通知书，中标通知书发出之日起三十日内，按照竞争性磋商文件和中标供应商投标文件的约定，与中标供应商签订书面合同。所签订的合同不得对竞争性磋商文件和中标供应商投标文件作实质性修改。</w:t>
      </w:r>
    </w:p>
    <w:p w14:paraId="00A2F667">
      <w:pPr>
        <w:keepNext w:val="0"/>
        <w:keepLines w:val="0"/>
        <w:pageBreakBefore w:val="0"/>
        <w:widowControl/>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30.2.招标人不得向中标供应商提出任何不合理的要求，作为签订合同的条件，不得与中标供应商私下订立背离合同实质性内容的协议。</w:t>
      </w:r>
    </w:p>
    <w:p w14:paraId="17BCF7B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both"/>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30.3.招标人或者招标代理机构应当自采购合同签订之日起七个工作日内，按照有关规定将采购合同副本报同级人民政府财政部门备案。</w:t>
      </w:r>
    </w:p>
    <w:p w14:paraId="012F8F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5" w:name="_Toc8381"/>
      <w:bookmarkStart w:id="86" w:name="_Toc2345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31.分包履行合同</w:t>
      </w:r>
      <w:bookmarkEnd w:id="85"/>
      <w:bookmarkEnd w:id="86"/>
    </w:p>
    <w:p w14:paraId="43D7497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31.1.经招标人同意，中标供应商可以依法采取分包方式履行合同。</w:t>
      </w:r>
    </w:p>
    <w:p w14:paraId="08B4231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31.2.政府采购合同分包履行的，中标、成交供应商就采购项目和分包项目向招标人负责，分包供应商就分包项目承担责任。</w:t>
      </w:r>
    </w:p>
    <w:p w14:paraId="10FF40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7" w:name="_Toc15358"/>
      <w:bookmarkStart w:id="88" w:name="_Toc8811"/>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32.同履行中合同标的的追加</w:t>
      </w:r>
      <w:bookmarkEnd w:id="87"/>
      <w:bookmarkEnd w:id="88"/>
    </w:p>
    <w:p w14:paraId="2F60BB6C">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32.1.政府采购合同履行中，招标人需追加与合同标的相同的货物、工程或者服务的，在不改变合同其他条款的前提下，可以与供应商协商签订补充合同，但所有补充合同的采购金额不得超过原合同采购金额的百分之十。</w:t>
      </w:r>
    </w:p>
    <w:p w14:paraId="4B76BE0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89" w:name="_Toc14028"/>
      <w:bookmarkStart w:id="90" w:name="_Toc6039"/>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33.废标条款</w:t>
      </w:r>
      <w:bookmarkEnd w:id="89"/>
      <w:bookmarkEnd w:id="90"/>
    </w:p>
    <w:p w14:paraId="224EAEEF">
      <w:pPr>
        <w:keepNext w:val="0"/>
        <w:keepLines w:val="0"/>
        <w:pageBreakBefore w:val="0"/>
        <w:widowControl w:val="0"/>
        <w:wordWrap/>
        <w:overflowPunct/>
        <w:topLinePunct w:val="0"/>
        <w:bidi w:val="0"/>
        <w:spacing w:beforeAutospacing="0" w:afterAutospacing="0" w:line="360" w:lineRule="auto"/>
        <w:ind w:left="0" w:right="0" w:firstLine="560" w:firstLineChars="200"/>
        <w:jc w:val="both"/>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33.1.在招标采购中，出现有下列情形之一的，予以废标：</w:t>
      </w:r>
    </w:p>
    <w:p w14:paraId="729362F8">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(1)出现影响采购公正的违法、违规行为的；</w:t>
      </w:r>
    </w:p>
    <w:p w14:paraId="0C2FE994">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(2)投标人的报价均超过了采购预算，招标人不能支付的；</w:t>
      </w:r>
    </w:p>
    <w:p w14:paraId="4DF44140">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(3)因重大变故，采购任务取消的。</w:t>
      </w:r>
    </w:p>
    <w:p w14:paraId="34C50EF1">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(4)未响应竞争性磋商文件要求的。</w:t>
      </w:r>
    </w:p>
    <w:p w14:paraId="4AFF0F5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20"/>
        <w:jc w:val="both"/>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91" w:name="_Toc21650"/>
      <w:bookmarkStart w:id="92" w:name="_Toc9179"/>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34.其他</w:t>
      </w:r>
      <w:bookmarkEnd w:id="91"/>
      <w:bookmarkEnd w:id="92"/>
    </w:p>
    <w:p w14:paraId="17725A4B">
      <w:pPr>
        <w:keepNext w:val="0"/>
        <w:keepLines w:val="0"/>
        <w:pageBreakBefore w:val="0"/>
        <w:widowControl w:val="0"/>
        <w:wordWrap/>
        <w:overflowPunct/>
        <w:topLinePunct w:val="0"/>
        <w:bidi w:val="0"/>
        <w:spacing w:beforeAutospacing="0" w:afterAutospacing="0" w:line="360" w:lineRule="auto"/>
        <w:ind w:left="0" w:right="0" w:firstLine="560" w:firstLineChars="200"/>
        <w:jc w:val="both"/>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34.1.本竞争性磋商文件如与网上发布的竞争性磋商公告、更正公告等有差异的部分，以网上发布的为准。</w:t>
      </w:r>
    </w:p>
    <w:p w14:paraId="5A13E495">
      <w:pPr>
        <w:pStyle w:val="34"/>
        <w:keepNext w:val="0"/>
        <w:keepLines w:val="0"/>
        <w:pageBreakBefore w:val="0"/>
        <w:widowControl w:val="0"/>
        <w:wordWrap/>
        <w:overflowPunct/>
        <w:topLinePunct w:val="0"/>
        <w:bidi w:val="0"/>
        <w:spacing w:beforeAutospacing="0" w:afterAutospacing="0"/>
        <w:rPr>
          <w:rFonts w:hint="eastAsia" w:asciiTheme="minorEastAsia" w:hAnsiTheme="minorEastAsia" w:eastAsiaTheme="minorEastAsia" w:cstheme="minorEastAsia"/>
          <w:b/>
          <w:bCs/>
          <w:i w:val="0"/>
          <w:iCs w:val="0"/>
          <w:caps w:val="0"/>
          <w:snapToGrid/>
          <w:color w:val="000000"/>
          <w:spacing w:val="0"/>
          <w:kern w:val="0"/>
          <w:position w:val="0"/>
          <w:sz w:val="44"/>
          <w:szCs w:val="44"/>
          <w:lang w:val="en-US" w:eastAsia="zh-CN" w:bidi="ar"/>
        </w:rPr>
      </w:pPr>
    </w:p>
    <w:p w14:paraId="06FF818C">
      <w:pPr>
        <w:pageBreakBefore w:val="0"/>
        <w:wordWrap/>
        <w:overflowPunct/>
        <w:topLinePunct w:val="0"/>
        <w:bidi w:val="0"/>
        <w:spacing w:beforeAutospacing="0" w:afterAutospacing="0"/>
        <w:rPr>
          <w:rFonts w:hint="eastAsia" w:asciiTheme="minorEastAsia" w:hAnsiTheme="minorEastAsia" w:eastAsiaTheme="minorEastAsia" w:cstheme="minorEastAsia"/>
          <w:b/>
          <w:bCs/>
          <w:i w:val="0"/>
          <w:iCs w:val="0"/>
          <w:caps w:val="0"/>
          <w:snapToGrid/>
          <w:color w:val="000000"/>
          <w:spacing w:val="0"/>
          <w:kern w:val="0"/>
          <w:position w:val="0"/>
          <w:sz w:val="44"/>
          <w:szCs w:val="44"/>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44"/>
          <w:szCs w:val="44"/>
          <w:lang w:val="en-US" w:eastAsia="zh-CN" w:bidi="ar"/>
        </w:rPr>
        <w:br w:type="page"/>
      </w:r>
    </w:p>
    <w:p w14:paraId="4A0E3F09">
      <w:pPr>
        <w:keepNext w:val="0"/>
        <w:keepLines w:val="0"/>
        <w:pageBreakBefore w:val="0"/>
        <w:widowControl w:val="0"/>
        <w:numPr>
          <w:ilvl w:val="0"/>
          <w:numId w:val="1"/>
        </w:numPr>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jc w:val="center"/>
        <w:textAlignment w:val="baseline"/>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93" w:name="_Toc12977"/>
      <w:bookmarkStart w:id="94" w:name="_Toc9065"/>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磋商程序及方法</w:t>
      </w:r>
      <w:bookmarkEnd w:id="93"/>
      <w:bookmarkEnd w:id="94"/>
    </w:p>
    <w:p w14:paraId="1D74F4DF">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beforeAutospacing="0" w:afterAutospacing="0" w:line="360" w:lineRule="auto"/>
        <w:jc w:val="center"/>
        <w:textAlignment w:val="baseline"/>
        <w:outlineLvl w:val="1"/>
        <w:rPr>
          <w:rFonts w:hint="eastAsia" w:asciiTheme="minorEastAsia" w:hAnsiTheme="minorEastAsia" w:eastAsiaTheme="minorEastAsia" w:cstheme="minorEastAsia"/>
          <w:b/>
          <w:bCs/>
          <w:color w:val="000000"/>
          <w:spacing w:val="0"/>
          <w:kern w:val="2"/>
          <w:position w:val="0"/>
          <w:sz w:val="32"/>
          <w:szCs w:val="32"/>
          <w:lang w:val="en-US" w:eastAsia="zh-CN" w:bidi="ar-SA"/>
        </w:rPr>
      </w:pPr>
      <w:bookmarkStart w:id="95" w:name="_Toc10012"/>
      <w:bookmarkStart w:id="96" w:name="_Toc4936"/>
      <w:r>
        <w:rPr>
          <w:rFonts w:hint="eastAsia" w:asciiTheme="minorEastAsia" w:hAnsiTheme="minorEastAsia" w:eastAsiaTheme="minorEastAsia" w:cstheme="minorEastAsia"/>
          <w:b/>
          <w:bCs/>
          <w:color w:val="000000"/>
          <w:spacing w:val="0"/>
          <w:kern w:val="2"/>
          <w:position w:val="0"/>
          <w:sz w:val="32"/>
          <w:szCs w:val="32"/>
          <w:lang w:val="en-US" w:eastAsia="zh-CN" w:bidi="ar-SA"/>
        </w:rPr>
        <w:t>磋商工作中的原则及组织</w:t>
      </w:r>
      <w:bookmarkEnd w:id="95"/>
      <w:bookmarkEnd w:id="96"/>
    </w:p>
    <w:p w14:paraId="1F9B86F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630" w:leftChars="0" w:firstLine="0" w:firstLineChars="0"/>
        <w:textAlignment w:val="baseline"/>
        <w:outlineLvl w:val="2"/>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1.原则</w:t>
      </w:r>
    </w:p>
    <w:p w14:paraId="6F838C0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原则采购代理机构组织磋商，在监督部门监督下,根据《中华人民共和国政府采购法》和《政府采购竞争性磋商采购方式管理暂行办法》等法律规章，组建磋商小组，由采购人代表和磋商专家共同组成，磋商小组成员应坚持“公开、公平、公正”的宗旨,认真细致地做好磋商工作。</w:t>
      </w:r>
    </w:p>
    <w:p w14:paraId="416650BB">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评审小组成员人数不少于 3 人，为单数，其中技术、经济等方面的专家不少于成员总数的三分之二。</w:t>
      </w:r>
    </w:p>
    <w:p w14:paraId="67B33B6E">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Autospacing="0" w:afterAutospacing="0" w:line="360" w:lineRule="auto"/>
        <w:ind w:left="0" w:leftChars="0"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评审小组成员应当客观、公正的履行职责，遵守职业道德，对所提出的评审意见承担个人责任。</w:t>
      </w:r>
    </w:p>
    <w:p w14:paraId="2B211188">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Autospacing="0" w:afterAutospacing="0" w:line="360" w:lineRule="auto"/>
        <w:ind w:left="0" w:leftChars="0"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评审小组成员和与评审活动有关的工作人员不得透露对磋商响应性文件的评审和比较、中标供应商的推荐情况以及与评审有关的其他情况。</w:t>
      </w:r>
    </w:p>
    <w:p w14:paraId="0A513FA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outlineLvl w:val="2"/>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2.组织</w:t>
      </w:r>
    </w:p>
    <w:p w14:paraId="7D9CA88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（1）磋商小组：由采购人代表和从专家库随机抽取的专家组成磋商小组。磋商小组根据竞争性磋商文件要求负责磋商响应性文件的商务审核和技术评价。</w:t>
      </w:r>
    </w:p>
    <w:p w14:paraId="3B9DF187">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val="en-US" w:eastAsia="zh-CN" w:bidi="ar-SA"/>
        </w:rPr>
        <w:t>（2）采购代理机构：由甘肃正荣项目管理咨询有限公司工作人员组成，负责竞争性磋商文件的制作、对外联系、磋商、磋商的会务工作、整理并向磋商组分发竞争性磋商文件、磋商响应性文件、做好磋商会议记录、对磋商过程中的原始文件进行归档、随时印发需要的文件资料、对各种咨询函件及档案文件的统收统发、负责对磋商小组推荐的拟中标结果进行审核。</w:t>
      </w:r>
    </w:p>
    <w:p w14:paraId="6067C758">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beforeAutospacing="0" w:afterAutospacing="0" w:line="360" w:lineRule="auto"/>
        <w:jc w:val="center"/>
        <w:textAlignment w:val="baseline"/>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97" w:name="_Toc30543"/>
      <w:bookmarkStart w:id="98" w:name="_Toc16450"/>
      <w:r>
        <w:rPr>
          <w:rFonts w:hint="eastAsia" w:asciiTheme="minorEastAsia" w:hAnsiTheme="minorEastAsia" w:eastAsiaTheme="minorEastAsia" w:cstheme="minorEastAsia"/>
          <w:b/>
          <w:bCs/>
          <w:color w:val="000000"/>
          <w:spacing w:val="0"/>
          <w:kern w:val="2"/>
          <w:position w:val="0"/>
          <w:sz w:val="28"/>
          <w:szCs w:val="28"/>
          <w:lang w:val="en-US" w:eastAsia="zh-CN" w:bidi="ar-SA"/>
        </w:rPr>
        <w:t>磋商形式及程序</w:t>
      </w:r>
      <w:bookmarkEnd w:id="97"/>
      <w:bookmarkEnd w:id="98"/>
    </w:p>
    <w:p w14:paraId="4F825678">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bidi="ar-SA"/>
        </w:rPr>
        <w:t>磋商小组成员根据磋商文件规定的评审程序、评审方法及评审标准进行独立评审。未实质性响应磋商文件的响应文件按无效响应处理，磋商小组应当告知提交响应文件的供应商。磋商文件内容违反国家有关强制性规定的，磋商小组应当停止评审并向招标人或者采购代理机构说明情况。</w:t>
      </w:r>
    </w:p>
    <w:p w14:paraId="24BD2CB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1</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资格性和符合性审查：磋商小组先对资质证明文件、响应文件的有效性、完整性和对磋商文件的响应程度进行审查，以确定是否对磋商文件的要求做出实质性响应，未对磋商文件做出实质性响应的供应商不得进入具体磋商程序，合格者进入第二轮，不合格者即被淘汰。</w:t>
      </w:r>
    </w:p>
    <w:p w14:paraId="4B5745C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val="en-US" w:eastAsia="zh-CN" w:bidi="ar-SA"/>
        </w:rPr>
        <w:t>2</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磋商：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及时以书面形式同时通知所有参加磋商的供应商。供应商应按照磋商文件的变动情况和磋商小组的要求重新提交响应性文件，并由法定代表人或授权代表签字或者加盖公章。</w:t>
      </w:r>
    </w:p>
    <w:p w14:paraId="1F1F52E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bidi="ar-SA"/>
        </w:rPr>
        <w:t>磋商文件能够详细列明采购需求的技术、服务要求的，磋商结束后，磋商小组将要求所有实质性响应的供应商在规定时间内提交最后报价。最后报价是供应商响应文件的有限组成部分。</w:t>
      </w:r>
    </w:p>
    <w:p w14:paraId="783D14E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bidi="ar-SA"/>
        </w:rPr>
        <w:t>已提交相应文件的供应商，在提交最后报价之前，可以根据磋商情况退出磋商。退还退出磋商的供应商的磋商保证金。</w:t>
      </w:r>
    </w:p>
    <w:p w14:paraId="543B4E6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val="en-US" w:eastAsia="zh-CN" w:bidi="ar-SA"/>
        </w:rPr>
        <w:t>3</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最后报价：磋商小组应要求所有实质性响应的供应商在规定时间内提交最后报价(最后报价不得超过第一轮报价)，报价必须以书面形式现场确认。</w:t>
      </w:r>
    </w:p>
    <w:p w14:paraId="153F30F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bidi="ar-SA"/>
        </w:rPr>
      </w:pP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val="en-US" w:eastAsia="zh-CN" w:bidi="ar-SA"/>
        </w:rPr>
        <w:t>4</w:t>
      </w:r>
      <w:r>
        <w:rPr>
          <w:rFonts w:hint="eastAsia" w:asciiTheme="minorEastAsia" w:hAnsiTheme="minorEastAsia" w:eastAsiaTheme="minorEastAsia" w:cstheme="minorEastAsia"/>
          <w:color w:val="000000"/>
          <w:spacing w:val="0"/>
          <w:kern w:val="2"/>
          <w:position w:val="0"/>
          <w:sz w:val="28"/>
          <w:szCs w:val="28"/>
          <w:lang w:eastAsia="zh-CN" w:bidi="ar-SA"/>
        </w:rPr>
        <w:t>）</w:t>
      </w:r>
      <w:r>
        <w:rPr>
          <w:rFonts w:hint="eastAsia" w:asciiTheme="minorEastAsia" w:hAnsiTheme="minorEastAsia" w:eastAsiaTheme="minorEastAsia" w:cstheme="minorEastAsia"/>
          <w:color w:val="000000"/>
          <w:spacing w:val="0"/>
          <w:kern w:val="2"/>
          <w:position w:val="0"/>
          <w:sz w:val="28"/>
          <w:szCs w:val="28"/>
          <w:lang w:bidi="ar-SA"/>
        </w:rPr>
        <w:t>综合评审：经磋商确定最终采购需求和提交最后报价的供应商后，由磋商小组采用综合评分法对提交最后报价的供应商的响应文件和最后报价进行综合评分。</w:t>
      </w:r>
    </w:p>
    <w:p w14:paraId="6A3B01C9">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firstLine="560" w:firstLineChars="200"/>
        <w:textAlignment w:val="baseline"/>
        <w:rPr>
          <w:rFonts w:hint="eastAsia" w:asciiTheme="minorEastAsia" w:hAnsiTheme="minorEastAsia" w:eastAsiaTheme="minorEastAsia" w:cstheme="minorEastAsia"/>
          <w:color w:val="000000"/>
          <w:spacing w:val="0"/>
          <w:kern w:val="2"/>
          <w:position w:val="0"/>
          <w:sz w:val="28"/>
          <w:szCs w:val="28"/>
          <w:lang w:val="en-US" w:eastAsia="zh-CN" w:bidi="ar-SA"/>
        </w:rPr>
      </w:pPr>
      <w:r>
        <w:rPr>
          <w:rFonts w:hint="eastAsia" w:asciiTheme="minorEastAsia" w:hAnsiTheme="minorEastAsia" w:eastAsiaTheme="minorEastAsia" w:cstheme="minorEastAsia"/>
          <w:color w:val="000000"/>
          <w:spacing w:val="0"/>
          <w:kern w:val="2"/>
          <w:position w:val="0"/>
          <w:sz w:val="28"/>
          <w:szCs w:val="28"/>
          <w:lang w:bidi="ar-SA"/>
        </w:rPr>
        <w:t>评审时，评审小组各成员独立对每个有效响应的文件进行评价、打分，然后汇总每个供应商每项评分因素的得分。具体评分办法</w:t>
      </w:r>
      <w:r>
        <w:rPr>
          <w:rFonts w:hint="eastAsia" w:asciiTheme="minorEastAsia" w:hAnsiTheme="minorEastAsia" w:eastAsiaTheme="minorEastAsia" w:cstheme="minorEastAsia"/>
          <w:color w:val="000000"/>
          <w:spacing w:val="0"/>
          <w:kern w:val="2"/>
          <w:position w:val="0"/>
          <w:sz w:val="28"/>
          <w:szCs w:val="28"/>
          <w:lang w:val="en-US" w:eastAsia="zh-CN" w:bidi="ar-SA"/>
        </w:rPr>
        <w:t>详见评分标准表格。</w:t>
      </w:r>
    </w:p>
    <w:p w14:paraId="212B844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textAlignment w:val="baseline"/>
        <w:rPr>
          <w:rFonts w:hint="eastAsia" w:asciiTheme="minorEastAsia" w:hAnsiTheme="minorEastAsia" w:eastAsiaTheme="minorEastAsia" w:cstheme="minorEastAsia"/>
          <w:spacing w:val="0"/>
          <w:lang w:val="en-US" w:eastAsia="zh-CN"/>
        </w:rPr>
      </w:pPr>
      <w:r>
        <w:rPr>
          <w:rFonts w:hint="eastAsia" w:asciiTheme="minorEastAsia" w:hAnsiTheme="minorEastAsia" w:eastAsiaTheme="minorEastAsia" w:cstheme="minorEastAsia"/>
          <w:spacing w:val="0"/>
          <w:lang w:val="en-US" w:eastAsia="zh-CN"/>
        </w:rPr>
        <w:br w:type="page"/>
      </w:r>
    </w:p>
    <w:p w14:paraId="2CF3FEBD">
      <w:pPr>
        <w:keepNext w:val="0"/>
        <w:keepLines w:val="0"/>
        <w:pageBreakBefore w:val="0"/>
        <w:wordWrap/>
        <w:overflowPunct/>
        <w:topLinePunct w:val="0"/>
        <w:bidi w:val="0"/>
        <w:spacing w:beforeAutospacing="0" w:afterAutospacing="0" w:line="360" w:lineRule="auto"/>
        <w:ind w:left="0" w:leftChars="0" w:right="0" w:rightChars="0" w:firstLine="0" w:firstLineChars="0"/>
        <w:jc w:val="center"/>
        <w:rPr>
          <w:rFonts w:hint="eastAsia"/>
        </w:rPr>
      </w:pPr>
      <w:r>
        <w:rPr>
          <w:rFonts w:hint="eastAsia" w:asciiTheme="minorEastAsia" w:hAnsiTheme="minorEastAsia" w:eastAsiaTheme="minorEastAsia" w:cstheme="minorEastAsia"/>
          <w:b/>
          <w:spacing w:val="0"/>
          <w:position w:val="0"/>
          <w:sz w:val="32"/>
          <w:szCs w:val="32"/>
          <w:highlight w:val="none"/>
        </w:rPr>
        <w:t>评分标准</w:t>
      </w:r>
    </w:p>
    <w:tbl>
      <w:tblPr>
        <w:tblStyle w:val="35"/>
        <w:tblpPr w:leftFromText="180" w:rightFromText="180" w:vertAnchor="text" w:horzAnchor="page" w:tblpX="776" w:tblpY="658"/>
        <w:tblOverlap w:val="never"/>
        <w:tblW w:w="100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8160"/>
        <w:gridCol w:w="870"/>
      </w:tblGrid>
      <w:tr w14:paraId="7FDCB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053" w:type="dxa"/>
            <w:vAlign w:val="center"/>
          </w:tcPr>
          <w:p w14:paraId="4DDBC994">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9"/>
                <w:kern w:val="0"/>
                <w:sz w:val="24"/>
                <w:szCs w:val="24"/>
                <w14:textOutline w14:w="3795" w14:cap="sq" w14:cmpd="sng">
                  <w14:solidFill>
                    <w14:srgbClr w14:val="000000"/>
                  </w14:solidFill>
                  <w14:prstDash w14:val="solid"/>
                  <w14:bevel/>
                </w14:textOutline>
              </w:rPr>
            </w:pPr>
            <w:r>
              <w:rPr>
                <w:rFonts w:hint="eastAsia" w:ascii="宋体" w:hAnsi="宋体" w:eastAsia="宋体" w:cs="宋体"/>
                <w:spacing w:val="9"/>
                <w:kern w:val="0"/>
                <w:sz w:val="24"/>
                <w:szCs w:val="24"/>
                <w14:textOutline w14:w="3795" w14:cap="sq" w14:cmpd="sng">
                  <w14:solidFill>
                    <w14:srgbClr w14:val="000000"/>
                  </w14:solidFill>
                  <w14:prstDash w14:val="solid"/>
                  <w14:bevel/>
                </w14:textOutline>
              </w:rPr>
              <w:t>评分</w:t>
            </w:r>
          </w:p>
          <w:p w14:paraId="0AB567F1">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14:textOutline w14:w="3795" w14:cap="sq" w14:cmpd="sng">
                  <w14:solidFill>
                    <w14:srgbClr w14:val="000000"/>
                  </w14:solidFill>
                  <w14:prstDash w14:val="solid"/>
                  <w14:bevel/>
                </w14:textOutline>
              </w:rPr>
              <w:t>项</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目</w:t>
            </w:r>
          </w:p>
        </w:tc>
        <w:tc>
          <w:tcPr>
            <w:tcW w:w="8160" w:type="dxa"/>
            <w:vAlign w:val="center"/>
          </w:tcPr>
          <w:p w14:paraId="6808EB38">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258" w:firstLineChars="100"/>
              <w:jc w:val="center"/>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14:textOutline w14:w="3795" w14:cap="sq" w14:cmpd="sng">
                  <w14:solidFill>
                    <w14:srgbClr w14:val="000000"/>
                  </w14:solidFill>
                  <w14:prstDash w14:val="solid"/>
                  <w14:bevel/>
                </w14:textOutline>
              </w:rPr>
              <w:t>评分细</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则</w:t>
            </w:r>
          </w:p>
        </w:tc>
        <w:tc>
          <w:tcPr>
            <w:tcW w:w="870" w:type="dxa"/>
            <w:vAlign w:val="center"/>
          </w:tcPr>
          <w:p w14:paraId="10CFE1C4">
            <w:pPr>
              <w:keepNext w:val="0"/>
              <w:keepLines w:val="0"/>
              <w:pageBreakBefore w:val="0"/>
              <w:widowControl/>
              <w:kinsoku w:val="0"/>
              <w:wordWrap/>
              <w:overflowPunct/>
              <w:topLinePunct w:val="0"/>
              <w:autoSpaceDE w:val="0"/>
              <w:autoSpaceDN w:val="0"/>
              <w:bidi w:val="0"/>
              <w:adjustRightInd w:val="0"/>
              <w:snapToGrid w:val="0"/>
              <w:spacing w:before="161" w:line="400" w:lineRule="exact"/>
              <w:ind w:left="0" w:leftChars="0" w:right="0" w:rightChars="0" w:firstLine="0" w:firstLineChars="0"/>
              <w:jc w:val="center"/>
              <w:textAlignment w:val="baseline"/>
              <w:rPr>
                <w:rFonts w:hint="eastAsia" w:ascii="宋体" w:hAnsi="宋体" w:eastAsia="宋体" w:cs="宋体"/>
                <w:kern w:val="0"/>
                <w:sz w:val="24"/>
                <w:szCs w:val="24"/>
                <w:lang w:val="en-US" w:eastAsia="zh-CN"/>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明细分值</w:t>
            </w:r>
          </w:p>
        </w:tc>
      </w:tr>
      <w:tr w14:paraId="358F4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83" w:type="dxa"/>
            <w:gridSpan w:val="3"/>
            <w:vAlign w:val="center"/>
          </w:tcPr>
          <w:p w14:paraId="332F0932">
            <w:pPr>
              <w:keepNext w:val="0"/>
              <w:keepLines w:val="0"/>
              <w:pageBreakBefore w:val="0"/>
              <w:widowControl/>
              <w:kinsoku w:val="0"/>
              <w:wordWrap/>
              <w:overflowPunct/>
              <w:topLinePunct w:val="0"/>
              <w:autoSpaceDE w:val="0"/>
              <w:autoSpaceDN w:val="0"/>
              <w:bidi w:val="0"/>
              <w:adjustRightInd w:val="0"/>
              <w:snapToGrid w:val="0"/>
              <w:spacing w:before="161" w:line="400" w:lineRule="exact"/>
              <w:ind w:left="0" w:leftChars="0" w:right="0" w:rightChars="0" w:firstLine="0" w:firstLineChars="0"/>
              <w:jc w:val="center"/>
              <w:textAlignment w:val="baseline"/>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价格部分（10分）</w:t>
            </w:r>
          </w:p>
        </w:tc>
      </w:tr>
      <w:tr w14:paraId="6D262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4" w:hRule="atLeast"/>
        </w:trPr>
        <w:tc>
          <w:tcPr>
            <w:tcW w:w="1053" w:type="dxa"/>
            <w:vAlign w:val="top"/>
          </w:tcPr>
          <w:p w14:paraId="415D57B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1D87F2E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52453E5E">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3ABDDD6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12BA55EB">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投标</w:t>
            </w:r>
          </w:p>
          <w:p w14:paraId="43035E44">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kern w:val="0"/>
                <w:sz w:val="24"/>
                <w:szCs w:val="24"/>
                <w:lang w:eastAsia="zh-CN"/>
              </w:rPr>
            </w:pP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报</w:t>
            </w:r>
            <w:r>
              <w:rPr>
                <w:rFonts w:hint="eastAsia" w:ascii="宋体" w:hAnsi="宋体" w:eastAsia="宋体" w:cs="宋体"/>
                <w:spacing w:val="7"/>
                <w:kern w:val="0"/>
                <w:sz w:val="24"/>
                <w:szCs w:val="24"/>
                <w14:textOutline w14:w="3795" w14:cap="sq" w14:cmpd="sng">
                  <w14:solidFill>
                    <w14:srgbClr w14:val="000000"/>
                  </w14:solidFill>
                  <w14:prstDash w14:val="solid"/>
                  <w14:bevel/>
                </w14:textOutline>
              </w:rPr>
              <w:t>价</w:t>
            </w:r>
          </w:p>
        </w:tc>
        <w:tc>
          <w:tcPr>
            <w:tcW w:w="8160" w:type="dxa"/>
            <w:vAlign w:val="top"/>
          </w:tcPr>
          <w:p w14:paraId="078D00FD">
            <w:pPr>
              <w:pStyle w:val="39"/>
              <w:keepNext w:val="0"/>
              <w:keepLines w:val="0"/>
              <w:pageBreakBefore w:val="0"/>
              <w:widowControl/>
              <w:kinsoku/>
              <w:wordWrap/>
              <w:overflowPunct/>
              <w:topLinePunct w:val="0"/>
              <w:autoSpaceDE/>
              <w:autoSpaceDN/>
              <w:bidi w:val="0"/>
              <w:adjustRightInd/>
              <w:snapToGrid/>
              <w:spacing w:before="0" w:beforeLines="50" w:line="380" w:lineRule="exact"/>
              <w:ind w:left="105" w:leftChars="50" w:right="105" w:rightChars="50" w:firstLine="364" w:firstLineChars="20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4"/>
                <w:sz w:val="21"/>
                <w:szCs w:val="21"/>
              </w:rPr>
              <w:t>在价格评分时，满足招标文件要求且投标报价最低的为评标基准价，其价格</w:t>
            </w:r>
            <w:r>
              <w:rPr>
                <w:rFonts w:hint="eastAsia" w:ascii="宋体" w:hAnsi="宋体" w:eastAsia="宋体" w:cs="宋体"/>
                <w:b w:val="0"/>
                <w:bCs w:val="0"/>
                <w:color w:val="auto"/>
                <w:spacing w:val="-8"/>
                <w:sz w:val="21"/>
                <w:szCs w:val="21"/>
              </w:rPr>
              <w:t>分为满分；其它供应商的价格分统一按照下列公式计算：</w:t>
            </w:r>
            <w:r>
              <w:rPr>
                <w:rFonts w:hint="eastAsia" w:ascii="宋体" w:hAnsi="宋体" w:eastAsia="宋体" w:cs="宋体"/>
                <w:b w:val="0"/>
                <w:bCs w:val="0"/>
                <w:color w:val="auto"/>
                <w:sz w:val="21"/>
                <w:szCs w:val="21"/>
              </w:rPr>
              <w:t>投标报价得分=(评标基准价／投标报价)×</w:t>
            </w:r>
            <w:r>
              <w:rPr>
                <w:rFonts w:hint="eastAsia" w:ascii="宋体" w:hAnsi="宋体" w:cs="宋体"/>
                <w:b w:val="0"/>
                <w:bCs w:val="0"/>
                <w:color w:val="auto"/>
                <w:sz w:val="21"/>
                <w:szCs w:val="21"/>
                <w:lang w:val="en-US" w:eastAsia="zh-CN"/>
              </w:rPr>
              <w:t>10</w:t>
            </w:r>
            <w:r>
              <w:rPr>
                <w:rFonts w:hint="eastAsia" w:ascii="宋体" w:hAnsi="宋体" w:eastAsia="宋体" w:cs="宋体"/>
                <w:b w:val="0"/>
                <w:bCs w:val="0"/>
                <w:color w:val="auto"/>
                <w:sz w:val="21"/>
                <w:szCs w:val="21"/>
              </w:rPr>
              <w:t>×100%（四舍五入，精确到小数点后二位）</w:t>
            </w:r>
          </w:p>
          <w:p w14:paraId="7C8FDAFF">
            <w:pPr>
              <w:pStyle w:val="39"/>
              <w:keepNext w:val="0"/>
              <w:keepLines w:val="0"/>
              <w:pageBreakBefore w:val="0"/>
              <w:widowControl/>
              <w:kinsoku/>
              <w:wordWrap/>
              <w:overflowPunct/>
              <w:topLinePunct w:val="0"/>
              <w:autoSpaceDE/>
              <w:autoSpaceDN/>
              <w:bidi w:val="0"/>
              <w:adjustRightInd/>
              <w:snapToGrid/>
              <w:spacing w:before="0" w:beforeLines="50" w:line="380" w:lineRule="exact"/>
              <w:ind w:right="105" w:rightChars="50" w:firstLine="95" w:firstLineChars="50"/>
              <w:jc w:val="both"/>
              <w:textAlignment w:val="auto"/>
              <w:rPr>
                <w:rFonts w:hint="eastAsia" w:ascii="宋体" w:hAnsi="宋体" w:eastAsia="宋体" w:cs="宋体"/>
                <w:b w:val="0"/>
                <w:bCs w:val="0"/>
                <w:color w:val="000000" w:themeColor="text1"/>
                <w:spacing w:val="-10"/>
                <w:sz w:val="21"/>
                <w:szCs w:val="21"/>
                <w14:textFill>
                  <w14:solidFill>
                    <w14:schemeClr w14:val="tx1"/>
                  </w14:solidFill>
                </w14:textFill>
              </w:rPr>
            </w:pPr>
            <w:r>
              <w:rPr>
                <w:rFonts w:hint="eastAsia" w:ascii="宋体" w:hAnsi="宋体" w:eastAsia="宋体" w:cs="宋体"/>
                <w:b w:val="0"/>
                <w:bCs w:val="0"/>
                <w:color w:val="000000" w:themeColor="text1"/>
                <w:spacing w:val="-10"/>
                <w:sz w:val="21"/>
                <w:szCs w:val="21"/>
                <w14:textFill>
                  <w14:solidFill>
                    <w14:schemeClr w14:val="tx1"/>
                  </w14:solidFill>
                </w14:textFill>
              </w:rPr>
              <w:t>注：(1) 报价超出</w:t>
            </w:r>
            <w:r>
              <w:rPr>
                <w:rFonts w:hint="eastAsia" w:ascii="宋体" w:hAnsi="宋体" w:eastAsia="宋体" w:cs="宋体"/>
                <w:b w:val="0"/>
                <w:bCs w:val="0"/>
                <w:color w:val="000000" w:themeColor="text1"/>
                <w:spacing w:val="-10"/>
                <w:sz w:val="21"/>
                <w:szCs w:val="21"/>
                <w:lang w:val="en-US" w:eastAsia="zh-CN"/>
                <w14:textFill>
                  <w14:solidFill>
                    <w14:schemeClr w14:val="tx1"/>
                  </w14:solidFill>
                </w14:textFill>
              </w:rPr>
              <w:t>最高限价</w:t>
            </w:r>
            <w:r>
              <w:rPr>
                <w:rFonts w:hint="eastAsia" w:ascii="宋体" w:hAnsi="宋体" w:eastAsia="宋体" w:cs="宋体"/>
                <w:b w:val="0"/>
                <w:bCs w:val="0"/>
                <w:color w:val="000000" w:themeColor="text1"/>
                <w:spacing w:val="-10"/>
                <w:sz w:val="21"/>
                <w:szCs w:val="21"/>
                <w14:textFill>
                  <w14:solidFill>
                    <w14:schemeClr w14:val="tx1"/>
                  </w14:solidFill>
                </w14:textFill>
              </w:rPr>
              <w:t>的为无效投标报价；</w:t>
            </w:r>
          </w:p>
          <w:p w14:paraId="39E7AD09">
            <w:pPr>
              <w:pStyle w:val="39"/>
              <w:keepNext w:val="0"/>
              <w:keepLines w:val="0"/>
              <w:pageBreakBefore w:val="0"/>
              <w:widowControl/>
              <w:kinsoku/>
              <w:wordWrap/>
              <w:overflowPunct/>
              <w:topLinePunct w:val="0"/>
              <w:autoSpaceDE/>
              <w:autoSpaceDN/>
              <w:bidi w:val="0"/>
              <w:adjustRightInd/>
              <w:snapToGrid/>
              <w:spacing w:before="0" w:beforeLines="50" w:line="380" w:lineRule="exact"/>
              <w:ind w:left="105" w:leftChars="50" w:right="105" w:rightChars="50" w:firstLine="380" w:firstLineChars="200"/>
              <w:jc w:val="both"/>
              <w:rPr>
                <w:rFonts w:hint="eastAsia" w:ascii="宋体" w:hAnsi="宋体" w:eastAsia="宋体" w:cs="宋体"/>
                <w:b w:val="0"/>
                <w:bCs w:val="0"/>
                <w:color w:val="000000" w:themeColor="text1"/>
                <w:spacing w:val="-10"/>
                <w:sz w:val="21"/>
                <w:szCs w:val="21"/>
                <w14:textFill>
                  <w14:solidFill>
                    <w14:schemeClr w14:val="tx1"/>
                  </w14:solidFill>
                </w14:textFill>
              </w:rPr>
            </w:pPr>
            <w:r>
              <w:rPr>
                <w:rFonts w:hint="eastAsia" w:ascii="宋体" w:hAnsi="宋体" w:eastAsia="宋体" w:cs="宋体"/>
                <w:b w:val="0"/>
                <w:bCs w:val="0"/>
                <w:color w:val="000000" w:themeColor="text1"/>
                <w:spacing w:val="-10"/>
                <w:sz w:val="21"/>
                <w:szCs w:val="21"/>
                <w14:textFill>
                  <w14:solidFill>
                    <w14:schemeClr w14:val="tx1"/>
                  </w14:solidFill>
                </w14:textFill>
              </w:rPr>
              <w:t>(2) 根据财政部、工业和信息化部发布的《政府采购促进中小企业发展管理办法》(财库(2020)46号)和财政部《关于进一步加大政府采购支持中小企业力度的通知》(财库(2022)19号)规定，对小型和微型企业产品的投标价格给予10%的扣除，用扣除后的价格参与评审；</w:t>
            </w:r>
          </w:p>
          <w:p w14:paraId="2ECBF61E">
            <w:pPr>
              <w:pStyle w:val="39"/>
              <w:keepNext w:val="0"/>
              <w:keepLines w:val="0"/>
              <w:pageBreakBefore w:val="0"/>
              <w:widowControl/>
              <w:kinsoku/>
              <w:wordWrap/>
              <w:overflowPunct/>
              <w:topLinePunct w:val="0"/>
              <w:autoSpaceDE/>
              <w:autoSpaceDN/>
              <w:bidi w:val="0"/>
              <w:adjustRightInd/>
              <w:snapToGrid/>
              <w:spacing w:before="0" w:beforeLines="50" w:line="380" w:lineRule="exact"/>
              <w:ind w:left="105" w:leftChars="50" w:right="105" w:rightChars="50" w:firstLine="380" w:firstLineChars="200"/>
              <w:jc w:val="both"/>
              <w:rPr>
                <w:rFonts w:hint="eastAsia" w:ascii="宋体" w:hAnsi="宋体" w:eastAsia="宋体" w:cs="宋体"/>
                <w:b w:val="0"/>
                <w:bCs w:val="0"/>
                <w:color w:val="000000" w:themeColor="text1"/>
                <w:spacing w:val="-10"/>
                <w:sz w:val="21"/>
                <w:szCs w:val="21"/>
                <w14:textFill>
                  <w14:solidFill>
                    <w14:schemeClr w14:val="tx1"/>
                  </w14:solidFill>
                </w14:textFill>
              </w:rPr>
            </w:pPr>
            <w:r>
              <w:rPr>
                <w:rFonts w:hint="eastAsia" w:ascii="宋体" w:hAnsi="宋体" w:eastAsia="宋体" w:cs="宋体"/>
                <w:b w:val="0"/>
                <w:bCs w:val="0"/>
                <w:color w:val="000000" w:themeColor="text1"/>
                <w:spacing w:val="-10"/>
                <w:sz w:val="21"/>
                <w:szCs w:val="21"/>
                <w14:textFill>
                  <w14:solidFill>
                    <w14:schemeClr w14:val="tx1"/>
                  </w14:solidFill>
                </w14:textFill>
              </w:rPr>
              <w:t>(3) 若本项目所有投标人均属小型、微型企业的，按原报价进行评审；</w:t>
            </w:r>
          </w:p>
          <w:p w14:paraId="43947503">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firstLine="190" w:firstLineChars="100"/>
              <w:jc w:val="left"/>
              <w:textAlignment w:val="baseline"/>
              <w:rPr>
                <w:rFonts w:hint="eastAsia" w:ascii="宋体" w:hAnsi="宋体" w:eastAsia="宋体" w:cs="宋体"/>
                <w:kern w:val="0"/>
                <w:sz w:val="24"/>
                <w:szCs w:val="24"/>
              </w:rPr>
            </w:pPr>
            <w:r>
              <w:rPr>
                <w:rFonts w:hint="eastAsia" w:ascii="宋体" w:hAnsi="宋体" w:eastAsia="宋体" w:cs="宋体"/>
                <w:b w:val="0"/>
                <w:bCs w:val="0"/>
                <w:color w:val="000000" w:themeColor="text1"/>
                <w:spacing w:val="-10"/>
                <w:sz w:val="21"/>
                <w:szCs w:val="21"/>
                <w14:textFill>
                  <w14:solidFill>
                    <w14:schemeClr w14:val="tx1"/>
                  </w14:solidFill>
                </w14:textFill>
              </w:rPr>
              <w:t>(4) 根据《政府采购货物和服务招标投标管理办法》中华人民共和国财政部令第 87 号规定，第六十条规定：评标委员会认为投标企业的报价明显低于其他通过符合性审查投标企业的报价，有可能影响产品质量或者不能诚信履约的，应当要求其在评标现场合理的时间内提供书面说明，必要时提交相关证明材料；投标企业不能证明其报价合理性的，评标委员会应当将其作为无效投标处理。</w:t>
            </w:r>
          </w:p>
        </w:tc>
        <w:tc>
          <w:tcPr>
            <w:tcW w:w="870" w:type="dxa"/>
            <w:vAlign w:val="top"/>
          </w:tcPr>
          <w:p w14:paraId="5982830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724283E1">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416925E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0367DBB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61F98A2B">
            <w:pPr>
              <w:keepNext w:val="0"/>
              <w:keepLines w:val="0"/>
              <w:pageBreakBefore w:val="0"/>
              <w:widowControl/>
              <w:kinsoku w:val="0"/>
              <w:wordWrap/>
              <w:overflowPunct/>
              <w:topLinePunct w:val="0"/>
              <w:autoSpaceDE w:val="0"/>
              <w:autoSpaceDN w:val="0"/>
              <w:bidi w:val="0"/>
              <w:adjustRightInd w:val="0"/>
              <w:snapToGrid w:val="0"/>
              <w:spacing w:before="65" w:line="400" w:lineRule="exact"/>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0F8E56CA">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10</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分</w:t>
            </w:r>
          </w:p>
        </w:tc>
      </w:tr>
      <w:tr w14:paraId="5D906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0083" w:type="dxa"/>
            <w:gridSpan w:val="3"/>
            <w:vAlign w:val="center"/>
          </w:tcPr>
          <w:p w14:paraId="02259CC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商务部分 (40分)</w:t>
            </w:r>
          </w:p>
        </w:tc>
      </w:tr>
      <w:tr w14:paraId="3502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53" w:type="dxa"/>
            <w:vAlign w:val="top"/>
          </w:tcPr>
          <w:p w14:paraId="631A9393">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p>
          <w:p w14:paraId="019DA066">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8"/>
                <w:kern w:val="0"/>
                <w:sz w:val="24"/>
                <w:szCs w:val="24"/>
                <w14:textOutline w14:w="3795" w14:cap="sq" w14:cmpd="sng">
                  <w14:solidFill>
                    <w14:srgbClr w14:val="000000"/>
                  </w14:solidFill>
                  <w14:prstDash w14:val="solid"/>
                  <w14:bevel/>
                </w14:textOutline>
              </w:rPr>
            </w:pPr>
          </w:p>
          <w:p w14:paraId="387FB0D8">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响应文件制作</w:t>
            </w:r>
          </w:p>
        </w:tc>
        <w:tc>
          <w:tcPr>
            <w:tcW w:w="8160" w:type="dxa"/>
            <w:vAlign w:val="top"/>
          </w:tcPr>
          <w:p w14:paraId="767E26BD">
            <w:pPr>
              <w:keepNext w:val="0"/>
              <w:keepLines w:val="0"/>
              <w:pageBreakBefore w:val="0"/>
              <w:widowControl/>
              <w:kinsoku w:val="0"/>
              <w:wordWrap/>
              <w:overflowPunct/>
              <w:topLinePunct w:val="0"/>
              <w:autoSpaceDE w:val="0"/>
              <w:autoSpaceDN w:val="0"/>
              <w:bidi w:val="0"/>
              <w:adjustRightInd w:val="0"/>
              <w:snapToGrid w:val="0"/>
              <w:spacing w:line="400" w:lineRule="exact"/>
              <w:ind w:left="239" w:leftChars="114" w:firstLine="254" w:firstLineChars="100"/>
              <w:jc w:val="left"/>
              <w:textAlignment w:val="baseline"/>
              <w:rPr>
                <w:rFonts w:hint="eastAsia" w:ascii="宋体" w:hAnsi="宋体" w:eastAsia="宋体" w:cs="宋体"/>
                <w:spacing w:val="7"/>
                <w:kern w:val="0"/>
                <w:sz w:val="24"/>
                <w:szCs w:val="24"/>
                <w:lang w:val="en-US" w:eastAsia="zh-CN"/>
              </w:rPr>
            </w:pPr>
          </w:p>
          <w:p w14:paraId="32CB23B3">
            <w:pPr>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jc w:val="left"/>
              <w:textAlignment w:val="baseline"/>
              <w:rPr>
                <w:rFonts w:hint="eastAsia" w:ascii="宋体" w:hAnsi="宋体" w:eastAsia="宋体" w:cs="宋体"/>
                <w:kern w:val="0"/>
                <w:sz w:val="24"/>
                <w:szCs w:val="24"/>
              </w:rPr>
            </w:pPr>
            <w:r>
              <w:rPr>
                <w:rFonts w:hint="eastAsia" w:ascii="宋体" w:hAnsi="宋体" w:eastAsia="宋体" w:cs="宋体"/>
                <w:spacing w:val="7"/>
                <w:kern w:val="0"/>
                <w:sz w:val="24"/>
                <w:szCs w:val="24"/>
                <w:lang w:val="en-US" w:eastAsia="zh-CN"/>
              </w:rPr>
              <w:t>响应文件制作规范、完整、扫描清晰、有详细目录、附件齐全的得5分；投标文件制作较规范、扫描较清晰、目录不详、主要附件齐全的得2 分；投标文件制作不规范不完整、主要附件不齐全得1 分；其他情况不得分。</w:t>
            </w:r>
          </w:p>
        </w:tc>
        <w:tc>
          <w:tcPr>
            <w:tcW w:w="870" w:type="dxa"/>
            <w:vAlign w:val="top"/>
          </w:tcPr>
          <w:p w14:paraId="4F83045D">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kern w:val="0"/>
                <w:sz w:val="24"/>
                <w:szCs w:val="24"/>
              </w:rPr>
            </w:pPr>
          </w:p>
          <w:p w14:paraId="3F57CF5F">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6314D4A4">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5</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分</w:t>
            </w:r>
          </w:p>
        </w:tc>
      </w:tr>
      <w:tr w14:paraId="708F3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5" w:hRule="atLeast"/>
        </w:trPr>
        <w:tc>
          <w:tcPr>
            <w:tcW w:w="1053" w:type="dxa"/>
            <w:vAlign w:val="top"/>
          </w:tcPr>
          <w:p w14:paraId="1ADEAFBF">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kern w:val="0"/>
                <w:sz w:val="24"/>
                <w:szCs w:val="24"/>
              </w:rPr>
            </w:pPr>
            <w:r>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t>管理机构规模及人力资源配置</w:t>
            </w:r>
          </w:p>
        </w:tc>
        <w:tc>
          <w:tcPr>
            <w:tcW w:w="8160" w:type="dxa"/>
            <w:vAlign w:val="top"/>
          </w:tcPr>
          <w:p w14:paraId="1B38FA4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400" w:lineRule="exact"/>
              <w:ind w:firstLine="508" w:firstLineChars="200"/>
              <w:jc w:val="left"/>
              <w:textAlignment w:val="baseline"/>
              <w:rPr>
                <w:rFonts w:hint="eastAsia" w:ascii="宋体" w:hAnsi="宋体" w:eastAsia="宋体" w:cs="宋体"/>
                <w:color w:val="auto"/>
                <w:spacing w:val="7"/>
                <w:kern w:val="0"/>
                <w:sz w:val="24"/>
                <w:szCs w:val="24"/>
                <w:lang w:eastAsia="zh-CN"/>
              </w:rPr>
            </w:pPr>
          </w:p>
          <w:p w14:paraId="6B432F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400" w:lineRule="exact"/>
              <w:ind w:firstLine="508" w:firstLineChars="200"/>
              <w:jc w:val="left"/>
              <w:textAlignment w:val="baseline"/>
              <w:rPr>
                <w:rFonts w:hint="default" w:ascii="宋体" w:hAnsi="宋体" w:eastAsia="宋体" w:cs="宋体"/>
                <w:color w:val="auto"/>
                <w:spacing w:val="7"/>
                <w:kern w:val="0"/>
                <w:sz w:val="24"/>
                <w:szCs w:val="24"/>
                <w:lang w:val="en-US" w:eastAsia="zh-CN"/>
              </w:rPr>
            </w:pPr>
            <w:r>
              <w:rPr>
                <w:rFonts w:hint="eastAsia" w:ascii="宋体" w:hAnsi="宋体" w:eastAsia="宋体" w:cs="宋体"/>
                <w:color w:val="auto"/>
                <w:spacing w:val="7"/>
                <w:kern w:val="0"/>
                <w:sz w:val="24"/>
                <w:szCs w:val="24"/>
                <w:lang w:eastAsia="zh-CN"/>
              </w:rPr>
              <w:t>投标人提供培训的职业(工种)，每配备1名</w:t>
            </w:r>
            <w:r>
              <w:rPr>
                <w:rFonts w:hint="eastAsia" w:ascii="宋体" w:hAnsi="宋体" w:eastAsia="宋体" w:cs="宋体"/>
                <w:color w:val="auto"/>
                <w:spacing w:val="7"/>
                <w:kern w:val="0"/>
                <w:sz w:val="24"/>
                <w:szCs w:val="24"/>
                <w:lang w:val="en-US" w:eastAsia="zh-CN"/>
              </w:rPr>
              <w:t>讲师</w:t>
            </w:r>
            <w:r>
              <w:rPr>
                <w:rFonts w:hint="eastAsia" w:ascii="宋体" w:hAnsi="宋体" w:eastAsia="宋体" w:cs="宋体"/>
                <w:color w:val="auto"/>
                <w:spacing w:val="7"/>
                <w:kern w:val="0"/>
                <w:sz w:val="24"/>
                <w:szCs w:val="24"/>
                <w:lang w:eastAsia="zh-CN"/>
              </w:rPr>
              <w:t>和1名实训指导</w:t>
            </w:r>
            <w:r>
              <w:rPr>
                <w:rFonts w:hint="eastAsia" w:ascii="宋体" w:hAnsi="宋体" w:eastAsia="宋体" w:cs="宋体"/>
                <w:color w:val="auto"/>
                <w:spacing w:val="7"/>
                <w:kern w:val="0"/>
                <w:sz w:val="24"/>
                <w:szCs w:val="24"/>
                <w:lang w:val="en-US" w:eastAsia="zh-CN"/>
              </w:rPr>
              <w:t>老师</w:t>
            </w:r>
            <w:r>
              <w:rPr>
                <w:rFonts w:hint="eastAsia" w:ascii="宋体" w:hAnsi="宋体" w:eastAsia="宋体" w:cs="宋体"/>
                <w:color w:val="auto"/>
                <w:spacing w:val="7"/>
                <w:kern w:val="0"/>
                <w:sz w:val="24"/>
                <w:szCs w:val="24"/>
                <w:lang w:eastAsia="zh-CN"/>
              </w:rPr>
              <w:t>得</w:t>
            </w:r>
            <w:r>
              <w:rPr>
                <w:rFonts w:hint="eastAsia" w:ascii="宋体" w:hAnsi="宋体" w:eastAsia="宋体" w:cs="宋体"/>
                <w:color w:val="auto"/>
                <w:spacing w:val="7"/>
                <w:kern w:val="0"/>
                <w:sz w:val="24"/>
                <w:szCs w:val="24"/>
                <w:lang w:val="en-US" w:eastAsia="zh-CN"/>
              </w:rPr>
              <w:t>5</w:t>
            </w:r>
            <w:r>
              <w:rPr>
                <w:rFonts w:hint="eastAsia" w:ascii="宋体" w:hAnsi="宋体" w:eastAsia="宋体" w:cs="宋体"/>
                <w:color w:val="auto"/>
                <w:spacing w:val="7"/>
                <w:kern w:val="0"/>
                <w:sz w:val="24"/>
                <w:szCs w:val="24"/>
                <w:lang w:eastAsia="zh-CN"/>
              </w:rPr>
              <w:t>分；每增加1名</w:t>
            </w:r>
            <w:r>
              <w:rPr>
                <w:rFonts w:hint="eastAsia" w:ascii="宋体" w:hAnsi="宋体" w:eastAsia="宋体" w:cs="宋体"/>
                <w:color w:val="auto"/>
                <w:spacing w:val="7"/>
                <w:kern w:val="0"/>
                <w:sz w:val="24"/>
                <w:szCs w:val="24"/>
                <w:lang w:val="en-US" w:eastAsia="zh-CN"/>
              </w:rPr>
              <w:t>讲师</w:t>
            </w:r>
            <w:r>
              <w:rPr>
                <w:rFonts w:hint="eastAsia" w:ascii="宋体" w:hAnsi="宋体" w:eastAsia="宋体" w:cs="宋体"/>
                <w:color w:val="auto"/>
                <w:spacing w:val="7"/>
                <w:kern w:val="0"/>
                <w:sz w:val="24"/>
                <w:szCs w:val="24"/>
                <w:lang w:eastAsia="zh-CN"/>
              </w:rPr>
              <w:t>和1名实训指导</w:t>
            </w:r>
            <w:r>
              <w:rPr>
                <w:rFonts w:hint="eastAsia" w:ascii="宋体" w:hAnsi="宋体" w:eastAsia="宋体" w:cs="宋体"/>
                <w:color w:val="auto"/>
                <w:spacing w:val="7"/>
                <w:kern w:val="0"/>
                <w:sz w:val="24"/>
                <w:szCs w:val="24"/>
                <w:lang w:val="en-US" w:eastAsia="zh-CN"/>
              </w:rPr>
              <w:t>老师</w:t>
            </w:r>
            <w:r>
              <w:rPr>
                <w:rFonts w:hint="eastAsia" w:ascii="宋体" w:hAnsi="宋体" w:eastAsia="宋体" w:cs="宋体"/>
                <w:color w:val="auto"/>
                <w:spacing w:val="7"/>
                <w:kern w:val="0"/>
                <w:sz w:val="24"/>
                <w:szCs w:val="24"/>
                <w:lang w:eastAsia="zh-CN"/>
              </w:rPr>
              <w:t>加</w:t>
            </w:r>
            <w:r>
              <w:rPr>
                <w:rFonts w:hint="eastAsia" w:ascii="宋体" w:hAnsi="宋体" w:eastAsia="宋体" w:cs="宋体"/>
                <w:color w:val="auto"/>
                <w:spacing w:val="7"/>
                <w:kern w:val="0"/>
                <w:sz w:val="24"/>
                <w:szCs w:val="24"/>
                <w:lang w:val="en-US" w:eastAsia="zh-CN"/>
              </w:rPr>
              <w:t>3</w:t>
            </w:r>
            <w:r>
              <w:rPr>
                <w:rFonts w:hint="eastAsia" w:ascii="宋体" w:hAnsi="宋体" w:eastAsia="宋体" w:cs="宋体"/>
                <w:color w:val="auto"/>
                <w:spacing w:val="7"/>
                <w:kern w:val="0"/>
                <w:sz w:val="24"/>
                <w:szCs w:val="24"/>
                <w:lang w:eastAsia="zh-CN"/>
              </w:rPr>
              <w:t>分，最高得</w:t>
            </w:r>
            <w:r>
              <w:rPr>
                <w:rFonts w:hint="eastAsia" w:ascii="宋体" w:hAnsi="宋体" w:eastAsia="宋体" w:cs="宋体"/>
                <w:color w:val="auto"/>
                <w:spacing w:val="7"/>
                <w:kern w:val="0"/>
                <w:sz w:val="24"/>
                <w:szCs w:val="24"/>
                <w:lang w:val="en-US" w:eastAsia="zh-CN"/>
              </w:rPr>
              <w:t>15</w:t>
            </w:r>
            <w:r>
              <w:rPr>
                <w:rFonts w:hint="eastAsia" w:ascii="宋体" w:hAnsi="宋体" w:eastAsia="宋体" w:cs="宋体"/>
                <w:color w:val="auto"/>
                <w:spacing w:val="7"/>
                <w:kern w:val="0"/>
                <w:sz w:val="24"/>
                <w:szCs w:val="24"/>
                <w:lang w:eastAsia="zh-CN"/>
              </w:rPr>
              <w:t>分。</w:t>
            </w:r>
            <w:r>
              <w:rPr>
                <w:rFonts w:hint="eastAsia" w:ascii="宋体" w:hAnsi="宋体" w:eastAsia="宋体" w:cs="宋体"/>
                <w:color w:val="auto"/>
                <w:spacing w:val="7"/>
                <w:kern w:val="0"/>
                <w:sz w:val="24"/>
                <w:szCs w:val="24"/>
                <w:lang w:val="en-US" w:eastAsia="zh-CN"/>
              </w:rPr>
              <w:t>要</w:t>
            </w:r>
            <w:r>
              <w:rPr>
                <w:rFonts w:hint="eastAsia" w:ascii="宋体" w:hAnsi="宋体" w:eastAsia="宋体" w:cs="宋体"/>
                <w:color w:val="auto"/>
                <w:spacing w:val="7"/>
                <w:kern w:val="0"/>
                <w:sz w:val="24"/>
                <w:szCs w:val="24"/>
                <w:lang w:eastAsia="zh-CN"/>
              </w:rPr>
              <w:t>求提供</w:t>
            </w:r>
            <w:r>
              <w:rPr>
                <w:rFonts w:hint="eastAsia" w:ascii="宋体" w:hAnsi="宋体" w:eastAsia="宋体" w:cs="宋体"/>
                <w:color w:val="auto"/>
                <w:spacing w:val="7"/>
                <w:kern w:val="0"/>
                <w:sz w:val="24"/>
                <w:szCs w:val="24"/>
                <w:lang w:val="en-US" w:eastAsia="zh-CN"/>
              </w:rPr>
              <w:t>在人社部门官网可查询到的</w:t>
            </w:r>
            <w:r>
              <w:rPr>
                <w:rFonts w:hint="eastAsia" w:ascii="宋体" w:hAnsi="宋体" w:eastAsia="宋体" w:cs="宋体"/>
                <w:color w:val="auto"/>
                <w:spacing w:val="7"/>
                <w:kern w:val="0"/>
                <w:sz w:val="24"/>
                <w:szCs w:val="24"/>
                <w:lang w:eastAsia="zh-CN"/>
              </w:rPr>
              <w:t>相关资格证明材料扫描件附于投标文件中，不提供不得分。</w:t>
            </w:r>
          </w:p>
        </w:tc>
        <w:tc>
          <w:tcPr>
            <w:tcW w:w="870" w:type="dxa"/>
            <w:vAlign w:val="top"/>
          </w:tcPr>
          <w:p w14:paraId="47C0C92B">
            <w:pPr>
              <w:keepNext w:val="0"/>
              <w:keepLines w:val="0"/>
              <w:pageBreakBefore w:val="0"/>
              <w:widowControl/>
              <w:kinsoku w:val="0"/>
              <w:wordWrap/>
              <w:overflowPunct/>
              <w:topLinePunct w:val="0"/>
              <w:autoSpaceDE w:val="0"/>
              <w:autoSpaceDN w:val="0"/>
              <w:bidi w:val="0"/>
              <w:adjustRightInd w:val="0"/>
              <w:snapToGrid w:val="0"/>
              <w:spacing w:before="65" w:line="400" w:lineRule="exact"/>
              <w:jc w:val="left"/>
              <w:textAlignment w:val="baseline"/>
              <w:rPr>
                <w:rFonts w:hint="eastAsia" w:ascii="宋体" w:hAnsi="宋体" w:eastAsia="宋体" w:cs="宋体"/>
                <w:kern w:val="0"/>
                <w:sz w:val="24"/>
                <w:szCs w:val="24"/>
                <w:lang w:val="en-US" w:eastAsia="zh-CN"/>
              </w:rPr>
            </w:pPr>
          </w:p>
          <w:p w14:paraId="6D56B57C">
            <w:pPr>
              <w:keepNext w:val="0"/>
              <w:keepLines w:val="0"/>
              <w:pageBreakBefore w:val="0"/>
              <w:widowControl/>
              <w:kinsoku w:val="0"/>
              <w:wordWrap/>
              <w:overflowPunct/>
              <w:topLinePunct w:val="0"/>
              <w:autoSpaceDE w:val="0"/>
              <w:autoSpaceDN w:val="0"/>
              <w:bidi w:val="0"/>
              <w:adjustRightInd w:val="0"/>
              <w:snapToGrid w:val="0"/>
              <w:spacing w:before="65" w:line="400" w:lineRule="exact"/>
              <w:ind w:firstLine="256" w:firstLineChars="100"/>
              <w:jc w:val="both"/>
              <w:textAlignment w:val="baseline"/>
              <w:rPr>
                <w:rFonts w:hint="default" w:ascii="宋体" w:hAnsi="宋体" w:eastAsia="宋体" w:cs="宋体"/>
                <w:kern w:val="0"/>
                <w:sz w:val="24"/>
                <w:szCs w:val="24"/>
                <w:lang w:val="en-US" w:eastAsia="zh-CN"/>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15分</w:t>
            </w:r>
          </w:p>
        </w:tc>
      </w:tr>
      <w:tr w14:paraId="5CAD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6" w:hRule="atLeast"/>
        </w:trPr>
        <w:tc>
          <w:tcPr>
            <w:tcW w:w="1053" w:type="dxa"/>
            <w:vAlign w:val="top"/>
          </w:tcPr>
          <w:p w14:paraId="06BC12B6">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p>
          <w:p w14:paraId="3C2B1F4E">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p>
          <w:p w14:paraId="69CA8183">
            <w:pPr>
              <w:keepNext w:val="0"/>
              <w:keepLines w:val="0"/>
              <w:pageBreakBefore w:val="0"/>
              <w:widowControl/>
              <w:kinsoku w:val="0"/>
              <w:wordWrap/>
              <w:overflowPunct/>
              <w:topLinePunct w:val="0"/>
              <w:autoSpaceDE w:val="0"/>
              <w:autoSpaceDN w:val="0"/>
              <w:bidi w:val="0"/>
              <w:adjustRightInd w:val="0"/>
              <w:snapToGrid w:val="0"/>
              <w:spacing w:before="65" w:line="400" w:lineRule="exact"/>
              <w:ind w:left="0" w:leftChars="0" w:right="0" w:rightChars="0" w:firstLine="0" w:firstLineChars="0"/>
              <w:jc w:val="center"/>
              <w:textAlignment w:val="baseline"/>
              <w:rPr>
                <w:rFonts w:hint="default" w:ascii="宋体" w:hAnsi="宋体" w:eastAsia="宋体" w:cs="宋体"/>
                <w:kern w:val="0"/>
                <w:sz w:val="24"/>
                <w:szCs w:val="24"/>
                <w:lang w:val="en-US" w:eastAsia="zh-CN"/>
              </w:rPr>
            </w:pPr>
            <w:r>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t>软硬件设施</w:t>
            </w:r>
          </w:p>
        </w:tc>
        <w:tc>
          <w:tcPr>
            <w:tcW w:w="8160" w:type="dxa"/>
            <w:vAlign w:val="top"/>
          </w:tcPr>
          <w:p w14:paraId="6B2F8503">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172" w:line="400" w:lineRule="exact"/>
              <w:ind w:firstLine="508" w:firstLineChars="200"/>
              <w:jc w:val="left"/>
              <w:textAlignment w:val="baseline"/>
              <w:rPr>
                <w:rFonts w:hint="eastAsia" w:ascii="宋体" w:hAnsi="宋体" w:eastAsia="宋体" w:cs="宋体"/>
                <w:color w:val="auto"/>
                <w:spacing w:val="7"/>
                <w:kern w:val="0"/>
                <w:sz w:val="24"/>
                <w:szCs w:val="24"/>
                <w:lang w:eastAsia="zh-CN"/>
              </w:rPr>
            </w:pPr>
            <w:r>
              <w:rPr>
                <w:rFonts w:hint="eastAsia" w:ascii="宋体" w:hAnsi="宋体" w:eastAsia="宋体" w:cs="宋体"/>
                <w:color w:val="auto"/>
                <w:spacing w:val="7"/>
                <w:kern w:val="0"/>
                <w:sz w:val="24"/>
                <w:szCs w:val="24"/>
                <w:lang w:eastAsia="zh-CN"/>
              </w:rPr>
              <w:t>投标人具有与培训的职业(工种)相适应的教学场地和实训场地，实训设备配备完善，实训操作工位设备完善且完全满足培训需求的得</w:t>
            </w:r>
            <w:r>
              <w:rPr>
                <w:rFonts w:hint="eastAsia" w:ascii="宋体" w:hAnsi="宋体" w:eastAsia="宋体" w:cs="宋体"/>
                <w:color w:val="auto"/>
                <w:spacing w:val="7"/>
                <w:kern w:val="0"/>
                <w:sz w:val="24"/>
                <w:szCs w:val="24"/>
                <w:lang w:val="en-US" w:eastAsia="zh-CN"/>
              </w:rPr>
              <w:t>10</w:t>
            </w:r>
            <w:r>
              <w:rPr>
                <w:rFonts w:hint="eastAsia" w:ascii="宋体" w:hAnsi="宋体" w:eastAsia="宋体" w:cs="宋体"/>
                <w:color w:val="auto"/>
                <w:spacing w:val="7"/>
                <w:kern w:val="0"/>
                <w:sz w:val="24"/>
                <w:szCs w:val="24"/>
                <w:lang w:eastAsia="zh-CN"/>
              </w:rPr>
              <w:t>分，基本满足的得</w:t>
            </w:r>
            <w:r>
              <w:rPr>
                <w:rFonts w:hint="eastAsia" w:ascii="宋体" w:hAnsi="宋体" w:eastAsia="宋体" w:cs="宋体"/>
                <w:color w:val="auto"/>
                <w:spacing w:val="7"/>
                <w:kern w:val="0"/>
                <w:sz w:val="24"/>
                <w:szCs w:val="24"/>
                <w:lang w:val="en-US" w:eastAsia="zh-CN"/>
              </w:rPr>
              <w:t>5</w:t>
            </w:r>
            <w:r>
              <w:rPr>
                <w:rFonts w:hint="eastAsia" w:ascii="宋体" w:hAnsi="宋体" w:eastAsia="宋体" w:cs="宋体"/>
                <w:color w:val="auto"/>
                <w:spacing w:val="7"/>
                <w:kern w:val="0"/>
                <w:sz w:val="24"/>
                <w:szCs w:val="24"/>
                <w:lang w:eastAsia="zh-CN"/>
              </w:rPr>
              <w:t>分，不满足的得1分；(满分</w:t>
            </w:r>
            <w:r>
              <w:rPr>
                <w:rFonts w:hint="eastAsia" w:ascii="宋体" w:hAnsi="宋体" w:eastAsia="宋体" w:cs="宋体"/>
                <w:color w:val="auto"/>
                <w:spacing w:val="7"/>
                <w:kern w:val="0"/>
                <w:sz w:val="24"/>
                <w:szCs w:val="24"/>
                <w:lang w:val="en-US" w:eastAsia="zh-CN"/>
              </w:rPr>
              <w:t>10</w:t>
            </w:r>
            <w:r>
              <w:rPr>
                <w:rFonts w:hint="eastAsia" w:ascii="宋体" w:hAnsi="宋体" w:eastAsia="宋体" w:cs="宋体"/>
                <w:color w:val="auto"/>
                <w:spacing w:val="7"/>
                <w:kern w:val="0"/>
                <w:sz w:val="24"/>
                <w:szCs w:val="24"/>
                <w:lang w:eastAsia="zh-CN"/>
              </w:rPr>
              <w:t>分)</w:t>
            </w:r>
          </w:p>
          <w:p w14:paraId="1D95DD9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72" w:line="400" w:lineRule="exact"/>
              <w:ind w:firstLine="508" w:firstLineChars="200"/>
              <w:jc w:val="left"/>
              <w:textAlignment w:val="baseline"/>
              <w:rPr>
                <w:rFonts w:hint="eastAsia" w:ascii="宋体" w:hAnsi="宋体" w:eastAsia="宋体" w:cs="宋体"/>
                <w:kern w:val="0"/>
                <w:sz w:val="24"/>
                <w:szCs w:val="24"/>
              </w:rPr>
            </w:pPr>
            <w:r>
              <w:rPr>
                <w:rFonts w:hint="eastAsia" w:ascii="宋体" w:hAnsi="宋体" w:eastAsia="宋体" w:cs="宋体"/>
                <w:color w:val="auto"/>
                <w:spacing w:val="7"/>
                <w:kern w:val="0"/>
                <w:sz w:val="24"/>
                <w:szCs w:val="24"/>
                <w:lang w:val="en-US" w:eastAsia="zh-CN"/>
              </w:rPr>
              <w:t>2.</w:t>
            </w:r>
            <w:r>
              <w:rPr>
                <w:rFonts w:hint="eastAsia" w:ascii="宋体" w:hAnsi="宋体" w:eastAsia="宋体" w:cs="宋体"/>
                <w:color w:val="auto"/>
                <w:spacing w:val="7"/>
                <w:kern w:val="0"/>
                <w:sz w:val="24"/>
                <w:szCs w:val="24"/>
                <w:lang w:eastAsia="zh-CN"/>
              </w:rPr>
              <w:t>办公设备齐全,网络传递信息通畅和满足培训教学要求的标准化教室及电脑投影仪、</w:t>
            </w:r>
            <w:r>
              <w:rPr>
                <w:rFonts w:hint="eastAsia" w:ascii="宋体" w:hAnsi="宋体" w:eastAsia="宋体" w:cs="宋体"/>
                <w:color w:val="auto"/>
                <w:spacing w:val="7"/>
                <w:kern w:val="0"/>
                <w:sz w:val="24"/>
                <w:szCs w:val="24"/>
                <w:lang w:val="en-US" w:eastAsia="zh-CN"/>
              </w:rPr>
              <w:t>课桌</w:t>
            </w:r>
            <w:r>
              <w:rPr>
                <w:rFonts w:hint="eastAsia" w:ascii="宋体" w:hAnsi="宋体" w:eastAsia="宋体" w:cs="宋体"/>
                <w:color w:val="auto"/>
                <w:spacing w:val="7"/>
                <w:kern w:val="0"/>
                <w:sz w:val="24"/>
                <w:szCs w:val="24"/>
                <w:lang w:eastAsia="zh-CN"/>
              </w:rPr>
              <w:t>椅、 黑白板等教学设备，设备完善满足培训需求的得 6-10 分，设备基本满足的得3-5分，设备单一的得0-2分。(满分 10 分)</w:t>
            </w:r>
          </w:p>
          <w:p w14:paraId="640999B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72" w:line="400" w:lineRule="exact"/>
              <w:ind w:firstLine="482" w:firstLineChars="200"/>
              <w:jc w:val="left"/>
              <w:textAlignment w:val="baseline"/>
              <w:rPr>
                <w:rFonts w:hint="eastAsia" w:ascii="宋体" w:hAnsi="宋体" w:eastAsia="宋体" w:cs="宋体"/>
                <w:kern w:val="0"/>
                <w:sz w:val="24"/>
                <w:szCs w:val="24"/>
              </w:rPr>
            </w:pPr>
            <w:r>
              <w:rPr>
                <w:rFonts w:hint="eastAsia" w:ascii="宋体" w:hAnsi="宋体" w:eastAsia="宋体" w:cs="宋体"/>
                <w:b/>
                <w:bCs/>
                <w:kern w:val="0"/>
                <w:sz w:val="24"/>
                <w:szCs w:val="24"/>
              </w:rPr>
              <w:t>要求提供相对应的工种提供场地、设施、彩页、照片及理论教学、实训教学现场照片等相关证明材料扫描件附于投标文件中，不提供不得分。</w:t>
            </w:r>
          </w:p>
        </w:tc>
        <w:tc>
          <w:tcPr>
            <w:tcW w:w="870" w:type="dxa"/>
            <w:vAlign w:val="top"/>
          </w:tcPr>
          <w:p w14:paraId="7E80C0E3">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6C00759C">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3605D2FB">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4F7E8653">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kern w:val="0"/>
                <w:sz w:val="24"/>
                <w:szCs w:val="24"/>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20</w:t>
            </w:r>
            <w:r>
              <w:rPr>
                <w:rFonts w:hint="eastAsia" w:ascii="宋体" w:hAnsi="宋体" w:eastAsia="宋体" w:cs="宋体"/>
                <w:spacing w:val="8"/>
                <w:kern w:val="0"/>
                <w:sz w:val="24"/>
                <w:szCs w:val="24"/>
                <w14:textOutline w14:w="3795" w14:cap="sq" w14:cmpd="sng">
                  <w14:solidFill>
                    <w14:srgbClr w14:val="000000"/>
                  </w14:solidFill>
                  <w14:prstDash w14:val="solid"/>
                  <w14:bevel/>
                </w14:textOutline>
              </w:rPr>
              <w:t>分</w:t>
            </w:r>
          </w:p>
        </w:tc>
      </w:tr>
      <w:tr w14:paraId="113EA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0083" w:type="dxa"/>
            <w:gridSpan w:val="3"/>
            <w:vAlign w:val="top"/>
          </w:tcPr>
          <w:p w14:paraId="7FC24CC7">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kern w:val="0"/>
                <w:sz w:val="24"/>
                <w:szCs w:val="24"/>
              </w:rPr>
            </w:pPr>
            <w:r>
              <w:rPr>
                <w:rFonts w:hint="eastAsia" w:ascii="宋体" w:hAnsi="宋体" w:eastAsia="宋体" w:cs="宋体"/>
                <w:spacing w:val="9"/>
                <w:kern w:val="0"/>
                <w:sz w:val="24"/>
                <w:szCs w:val="24"/>
                <w:lang w:val="en-US" w:eastAsia="zh-CN"/>
                <w14:textOutline w14:w="3795" w14:cap="sq" w14:cmpd="sng">
                  <w14:solidFill>
                    <w14:srgbClr w14:val="000000"/>
                  </w14:solidFill>
                  <w14:prstDash w14:val="solid"/>
                  <w14:bevel/>
                </w14:textOutline>
              </w:rPr>
              <w:t>技术部分 (50 分)</w:t>
            </w:r>
          </w:p>
        </w:tc>
      </w:tr>
      <w:tr w14:paraId="56C9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7" w:hRule="atLeast"/>
        </w:trPr>
        <w:tc>
          <w:tcPr>
            <w:tcW w:w="1053" w:type="dxa"/>
            <w:vAlign w:val="top"/>
          </w:tcPr>
          <w:p w14:paraId="5D7D0D89">
            <w:pPr>
              <w:keepNext w:val="0"/>
              <w:keepLines w:val="0"/>
              <w:pageBreakBefore w:val="0"/>
              <w:widowControl/>
              <w:kinsoku w:val="0"/>
              <w:wordWrap/>
              <w:overflowPunct/>
              <w:topLinePunct w:val="0"/>
              <w:autoSpaceDE w:val="0"/>
              <w:autoSpaceDN w:val="0"/>
              <w:bidi w:val="0"/>
              <w:adjustRightInd w:val="0"/>
              <w:snapToGrid w:val="0"/>
              <w:spacing w:before="173" w:line="400" w:lineRule="exact"/>
              <w:jc w:val="left"/>
              <w:textAlignment w:val="baseline"/>
              <w:outlineLvl w:val="1"/>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p>
          <w:p w14:paraId="2BC7D66B">
            <w:pPr>
              <w:keepNext w:val="0"/>
              <w:keepLines w:val="0"/>
              <w:pageBreakBefore w:val="0"/>
              <w:widowControl/>
              <w:kinsoku w:val="0"/>
              <w:wordWrap/>
              <w:overflowPunct/>
              <w:topLinePunct w:val="0"/>
              <w:autoSpaceDE w:val="0"/>
              <w:autoSpaceDN w:val="0"/>
              <w:bidi w:val="0"/>
              <w:adjustRightInd w:val="0"/>
              <w:snapToGrid w:val="0"/>
              <w:spacing w:before="173" w:line="400" w:lineRule="exact"/>
              <w:jc w:val="left"/>
              <w:textAlignment w:val="baseline"/>
              <w:outlineLvl w:val="1"/>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p>
          <w:p w14:paraId="6E2937CB">
            <w:pPr>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outlineLvl w:val="1"/>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p>
          <w:p w14:paraId="044E0867">
            <w:pPr>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outlineLvl w:val="1"/>
              <w:rPr>
                <w:rFonts w:hint="default" w:ascii="宋体" w:hAnsi="宋体" w:eastAsia="宋体" w:cs="宋体"/>
                <w:kern w:val="0"/>
                <w:sz w:val="24"/>
                <w:szCs w:val="24"/>
                <w:lang w:val="en-US"/>
              </w:rPr>
            </w:pPr>
            <w:r>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t>培训方案</w:t>
            </w:r>
          </w:p>
        </w:tc>
        <w:tc>
          <w:tcPr>
            <w:tcW w:w="8160" w:type="dxa"/>
            <w:vAlign w:val="top"/>
          </w:tcPr>
          <w:p w14:paraId="23F82096">
            <w:pPr>
              <w:pStyle w:val="34"/>
              <w:numPr>
                <w:ilvl w:val="0"/>
                <w:numId w:val="6"/>
              </w:numPr>
              <w:ind w:firstLine="504" w:firstLineChars="200"/>
              <w:rPr>
                <w:rFonts w:hint="eastAsia" w:ascii="宋体" w:hAnsi="宋体" w:eastAsia="宋体" w:cs="宋体"/>
                <w:snapToGrid w:val="0"/>
                <w:color w:val="000000"/>
                <w:spacing w:val="6"/>
                <w:kern w:val="0"/>
                <w:sz w:val="24"/>
                <w:szCs w:val="24"/>
                <w:lang w:val="en-US" w:eastAsia="zh-CN"/>
              </w:rPr>
            </w:pPr>
            <w:r>
              <w:rPr>
                <w:rFonts w:hint="eastAsia" w:ascii="宋体" w:hAnsi="宋体" w:eastAsia="宋体" w:cs="宋体"/>
                <w:snapToGrid w:val="0"/>
                <w:color w:val="000000"/>
                <w:spacing w:val="6"/>
                <w:kern w:val="0"/>
                <w:sz w:val="24"/>
                <w:szCs w:val="24"/>
                <w:lang w:val="en-US" w:eastAsia="zh-CN"/>
              </w:rPr>
              <w:t>投标人提供具体的培训方案(方案包含培训目标、学时、教学计划、教学大纲)、培训质量保证体系，开设的专业(工种)和课程的设置等相关内容全面符合、详细的</w:t>
            </w:r>
            <w:r>
              <w:rPr>
                <w:rFonts w:hint="eastAsia" w:hAnsi="宋体" w:cs="宋体"/>
                <w:snapToGrid w:val="0"/>
                <w:color w:val="000000"/>
                <w:spacing w:val="6"/>
                <w:kern w:val="0"/>
                <w:sz w:val="24"/>
                <w:szCs w:val="24"/>
                <w:lang w:val="en-US" w:eastAsia="zh-CN"/>
              </w:rPr>
              <w:t>、</w:t>
            </w:r>
            <w:r>
              <w:rPr>
                <w:rFonts w:hint="eastAsia" w:ascii="宋体" w:hAnsi="宋体" w:eastAsia="宋体" w:cs="宋体"/>
                <w:snapToGrid w:val="0"/>
                <w:color w:val="000000"/>
                <w:spacing w:val="6"/>
                <w:kern w:val="0"/>
                <w:sz w:val="24"/>
                <w:szCs w:val="24"/>
                <w:lang w:val="en-US" w:eastAsia="zh-CN"/>
              </w:rPr>
              <w:t>满足项目需求的得 10-15 分，基本满足项目要求的得 6-9 分，一般</w:t>
            </w:r>
            <w:r>
              <w:rPr>
                <w:rFonts w:hint="eastAsia" w:hAnsi="宋体" w:cs="宋体"/>
                <w:snapToGrid w:val="0"/>
                <w:color w:val="000000"/>
                <w:spacing w:val="6"/>
                <w:kern w:val="0"/>
                <w:sz w:val="24"/>
                <w:szCs w:val="24"/>
                <w:lang w:val="en-US" w:eastAsia="zh-CN"/>
              </w:rPr>
              <w:t>满足</w:t>
            </w:r>
            <w:r>
              <w:rPr>
                <w:rFonts w:hint="eastAsia" w:ascii="宋体" w:hAnsi="宋体" w:eastAsia="宋体" w:cs="宋体"/>
                <w:snapToGrid w:val="0"/>
                <w:color w:val="000000"/>
                <w:spacing w:val="6"/>
                <w:kern w:val="0"/>
                <w:sz w:val="24"/>
                <w:szCs w:val="24"/>
                <w:lang w:val="en-US" w:eastAsia="zh-CN"/>
              </w:rPr>
              <w:t>的得 1-5 分，不提供培训方案不得分。(满分 15 分)</w:t>
            </w:r>
          </w:p>
          <w:p w14:paraId="413A6825">
            <w:pPr>
              <w:pStyle w:val="34"/>
              <w:numPr>
                <w:ilvl w:val="0"/>
                <w:numId w:val="6"/>
              </w:numPr>
              <w:ind w:left="0" w:leftChars="0" w:firstLine="504" w:firstLineChars="200"/>
              <w:rPr>
                <w:rFonts w:hint="eastAsia" w:ascii="宋体" w:hAnsi="宋体" w:eastAsia="宋体" w:cs="宋体"/>
                <w:snapToGrid w:val="0"/>
                <w:color w:val="000000"/>
                <w:spacing w:val="6"/>
                <w:kern w:val="0"/>
                <w:sz w:val="24"/>
                <w:szCs w:val="24"/>
                <w:lang w:val="en-US" w:eastAsia="zh-CN"/>
              </w:rPr>
            </w:pPr>
            <w:r>
              <w:rPr>
                <w:rFonts w:hint="eastAsia" w:ascii="宋体" w:hAnsi="宋体" w:eastAsia="宋体" w:cs="宋体"/>
                <w:snapToGrid w:val="0"/>
                <w:color w:val="000000"/>
                <w:spacing w:val="6"/>
                <w:kern w:val="0"/>
                <w:sz w:val="24"/>
                <w:szCs w:val="24"/>
                <w:lang w:val="en-US" w:eastAsia="zh-CN"/>
              </w:rPr>
              <w:t>根据投标人实际情况从资金筹措、组织能力、人员素质、服务体系、现场响应等方面制定履约能力方案。履约能力方案科学、合理、完整、详细的得 10-15分</w:t>
            </w:r>
            <w:r>
              <w:rPr>
                <w:rFonts w:hint="eastAsia" w:hAnsi="宋体" w:cs="宋体"/>
                <w:snapToGrid w:val="0"/>
                <w:color w:val="000000"/>
                <w:spacing w:val="6"/>
                <w:kern w:val="0"/>
                <w:sz w:val="24"/>
                <w:szCs w:val="24"/>
                <w:lang w:val="en-US" w:eastAsia="zh-CN"/>
              </w:rPr>
              <w:t>；</w:t>
            </w:r>
            <w:r>
              <w:rPr>
                <w:rFonts w:hint="eastAsia" w:ascii="宋体" w:hAnsi="宋体" w:eastAsia="宋体" w:cs="宋体"/>
                <w:snapToGrid w:val="0"/>
                <w:color w:val="000000"/>
                <w:spacing w:val="6"/>
                <w:kern w:val="0"/>
                <w:sz w:val="24"/>
                <w:szCs w:val="24"/>
                <w:lang w:val="en-US" w:eastAsia="zh-CN"/>
              </w:rPr>
              <w:t>履约能力方案基本科学、合理、完整得 6-9 分</w:t>
            </w:r>
            <w:r>
              <w:rPr>
                <w:rFonts w:hint="eastAsia" w:hAnsi="宋体" w:cs="宋体"/>
                <w:snapToGrid w:val="0"/>
                <w:color w:val="000000"/>
                <w:spacing w:val="6"/>
                <w:kern w:val="0"/>
                <w:sz w:val="24"/>
                <w:szCs w:val="24"/>
                <w:lang w:val="en-US" w:eastAsia="zh-CN"/>
              </w:rPr>
              <w:t>；</w:t>
            </w:r>
            <w:r>
              <w:rPr>
                <w:rFonts w:hint="eastAsia" w:ascii="宋体" w:hAnsi="宋体" w:eastAsia="宋体" w:cs="宋体"/>
                <w:snapToGrid w:val="0"/>
                <w:color w:val="000000"/>
                <w:spacing w:val="6"/>
                <w:kern w:val="0"/>
                <w:sz w:val="24"/>
                <w:szCs w:val="24"/>
                <w:lang w:val="en-US" w:eastAsia="zh-CN"/>
              </w:rPr>
              <w:t>履约能力方案一般的得 1-5 分</w:t>
            </w:r>
            <w:r>
              <w:rPr>
                <w:rFonts w:hint="eastAsia" w:hAnsi="宋体" w:cs="宋体"/>
                <w:snapToGrid w:val="0"/>
                <w:color w:val="000000"/>
                <w:spacing w:val="6"/>
                <w:kern w:val="0"/>
                <w:sz w:val="24"/>
                <w:szCs w:val="24"/>
                <w:lang w:val="en-US" w:eastAsia="zh-CN"/>
              </w:rPr>
              <w:t>；</w:t>
            </w:r>
            <w:r>
              <w:rPr>
                <w:rFonts w:hint="eastAsia" w:ascii="宋体" w:hAnsi="宋体" w:eastAsia="宋体" w:cs="宋体"/>
                <w:snapToGrid w:val="0"/>
                <w:color w:val="000000"/>
                <w:spacing w:val="6"/>
                <w:kern w:val="0"/>
                <w:sz w:val="24"/>
                <w:szCs w:val="24"/>
                <w:lang w:val="en-US" w:eastAsia="zh-CN"/>
              </w:rPr>
              <w:t>不提供不得分。(满分 15 分)</w:t>
            </w:r>
          </w:p>
          <w:p w14:paraId="714F06DF">
            <w:pPr>
              <w:pStyle w:val="34"/>
              <w:numPr>
                <w:ilvl w:val="0"/>
                <w:numId w:val="0"/>
              </w:numPr>
              <w:ind w:leftChars="200"/>
              <w:rPr>
                <w:rFonts w:hint="eastAsia" w:ascii="宋体" w:hAnsi="宋体" w:eastAsia="宋体" w:cs="宋体"/>
                <w:snapToGrid w:val="0"/>
                <w:color w:val="000000"/>
                <w:spacing w:val="6"/>
                <w:kern w:val="0"/>
                <w:sz w:val="24"/>
                <w:szCs w:val="24"/>
                <w:lang w:val="en-US" w:eastAsia="zh-CN"/>
              </w:rPr>
            </w:pPr>
          </w:p>
        </w:tc>
        <w:tc>
          <w:tcPr>
            <w:tcW w:w="870" w:type="dxa"/>
            <w:vAlign w:val="top"/>
          </w:tcPr>
          <w:p w14:paraId="09543C3B">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5125B0FA">
            <w:pPr>
              <w:keepNext w:val="0"/>
              <w:keepLines w:val="0"/>
              <w:pageBreakBefore w:val="0"/>
              <w:widowControl/>
              <w:kinsoku w:val="0"/>
              <w:wordWrap/>
              <w:overflowPunct/>
              <w:topLinePunct w:val="0"/>
              <w:autoSpaceDE w:val="0"/>
              <w:autoSpaceDN w:val="0"/>
              <w:bidi w:val="0"/>
              <w:adjustRightInd w:val="0"/>
              <w:snapToGrid w:val="0"/>
              <w:spacing w:before="65" w:line="400" w:lineRule="exact"/>
              <w:ind w:firstLine="256" w:firstLineChars="100"/>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1973F423">
            <w:pPr>
              <w:keepNext w:val="0"/>
              <w:keepLines w:val="0"/>
              <w:pageBreakBefore w:val="0"/>
              <w:widowControl/>
              <w:kinsoku w:val="0"/>
              <w:wordWrap/>
              <w:overflowPunct/>
              <w:topLinePunct w:val="0"/>
              <w:autoSpaceDE w:val="0"/>
              <w:autoSpaceDN w:val="0"/>
              <w:bidi w:val="0"/>
              <w:adjustRightInd w:val="0"/>
              <w:snapToGrid w:val="0"/>
              <w:spacing w:before="65" w:line="400" w:lineRule="exact"/>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756A4CB1">
            <w:pPr>
              <w:keepNext w:val="0"/>
              <w:keepLines w:val="0"/>
              <w:pageBreakBefore w:val="0"/>
              <w:widowControl/>
              <w:kinsoku w:val="0"/>
              <w:wordWrap/>
              <w:overflowPunct/>
              <w:topLinePunct w:val="0"/>
              <w:autoSpaceDE w:val="0"/>
              <w:autoSpaceDN w:val="0"/>
              <w:bidi w:val="0"/>
              <w:adjustRightInd w:val="0"/>
              <w:snapToGrid w:val="0"/>
              <w:spacing w:before="65" w:line="400" w:lineRule="exact"/>
              <w:jc w:val="both"/>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058A77A8">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30分</w:t>
            </w:r>
          </w:p>
        </w:tc>
      </w:tr>
      <w:tr w14:paraId="4760D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053" w:type="dxa"/>
            <w:vAlign w:val="top"/>
          </w:tcPr>
          <w:p w14:paraId="423DF90B">
            <w:pPr>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outlineLvl w:val="1"/>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p>
          <w:p w14:paraId="20652ED2">
            <w:pPr>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outlineLvl w:val="1"/>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t>应急预案</w:t>
            </w:r>
          </w:p>
        </w:tc>
        <w:tc>
          <w:tcPr>
            <w:tcW w:w="8160" w:type="dxa"/>
            <w:vAlign w:val="top"/>
          </w:tcPr>
          <w:p w14:paraId="67ED8228">
            <w:pPr>
              <w:pStyle w:val="34"/>
              <w:numPr>
                <w:ilvl w:val="0"/>
                <w:numId w:val="0"/>
              </w:numPr>
              <w:ind w:firstLine="504" w:firstLineChars="200"/>
              <w:rPr>
                <w:rFonts w:hint="eastAsia" w:ascii="宋体" w:hAnsi="宋体" w:eastAsia="宋体" w:cs="宋体"/>
                <w:snapToGrid w:val="0"/>
                <w:color w:val="000000"/>
                <w:spacing w:val="6"/>
                <w:kern w:val="0"/>
                <w:sz w:val="24"/>
                <w:szCs w:val="24"/>
                <w:lang w:val="en-US" w:eastAsia="zh-CN"/>
              </w:rPr>
            </w:pPr>
            <w:r>
              <w:rPr>
                <w:rFonts w:hint="eastAsia" w:ascii="宋体" w:hAnsi="宋体" w:eastAsia="宋体" w:cs="宋体"/>
                <w:snapToGrid w:val="0"/>
                <w:color w:val="000000"/>
                <w:spacing w:val="6"/>
                <w:kern w:val="0"/>
                <w:sz w:val="24"/>
                <w:szCs w:val="24"/>
                <w:lang w:val="en-US" w:eastAsia="zh-CN"/>
              </w:rPr>
              <w:t>投标人提供针对本项目的应急处理预案(包括突发公共安全事件、火灾、断水断电、恶劣天气、交通延误等),应急预案科学合理，内容完整，且符合实际得</w:t>
            </w:r>
            <w:r>
              <w:rPr>
                <w:rFonts w:hint="eastAsia" w:hAnsi="宋体" w:cs="宋体"/>
                <w:snapToGrid w:val="0"/>
                <w:color w:val="000000"/>
                <w:spacing w:val="6"/>
                <w:kern w:val="0"/>
                <w:sz w:val="24"/>
                <w:szCs w:val="24"/>
                <w:lang w:val="en-US" w:eastAsia="zh-CN"/>
              </w:rPr>
              <w:t>6</w:t>
            </w:r>
            <w:r>
              <w:rPr>
                <w:rFonts w:hint="eastAsia" w:ascii="宋体" w:hAnsi="宋体" w:eastAsia="宋体" w:cs="宋体"/>
                <w:snapToGrid w:val="0"/>
                <w:color w:val="000000"/>
                <w:spacing w:val="6"/>
                <w:kern w:val="0"/>
                <w:sz w:val="24"/>
                <w:szCs w:val="24"/>
                <w:lang w:val="en-US" w:eastAsia="zh-CN"/>
              </w:rPr>
              <w:t>-</w:t>
            </w:r>
            <w:r>
              <w:rPr>
                <w:rFonts w:hint="eastAsia" w:hAnsi="宋体" w:cs="宋体"/>
                <w:snapToGrid w:val="0"/>
                <w:color w:val="000000"/>
                <w:spacing w:val="6"/>
                <w:kern w:val="0"/>
                <w:sz w:val="24"/>
                <w:szCs w:val="24"/>
                <w:lang w:val="en-US" w:eastAsia="zh-CN"/>
              </w:rPr>
              <w:t>10</w:t>
            </w:r>
            <w:r>
              <w:rPr>
                <w:rFonts w:hint="eastAsia" w:ascii="宋体" w:hAnsi="宋体" w:eastAsia="宋体" w:cs="宋体"/>
                <w:snapToGrid w:val="0"/>
                <w:color w:val="000000"/>
                <w:spacing w:val="6"/>
                <w:kern w:val="0"/>
                <w:sz w:val="24"/>
                <w:szCs w:val="24"/>
                <w:lang w:val="en-US" w:eastAsia="zh-CN"/>
              </w:rPr>
              <w:t>分；应急预案较完整，可行性较强得</w:t>
            </w:r>
            <w:r>
              <w:rPr>
                <w:rFonts w:hint="eastAsia" w:hAnsi="宋体" w:cs="宋体"/>
                <w:snapToGrid w:val="0"/>
                <w:color w:val="000000"/>
                <w:spacing w:val="6"/>
                <w:kern w:val="0"/>
                <w:sz w:val="24"/>
                <w:szCs w:val="24"/>
                <w:lang w:val="en-US" w:eastAsia="zh-CN"/>
              </w:rPr>
              <w:t>3-5</w:t>
            </w:r>
            <w:r>
              <w:rPr>
                <w:rFonts w:hint="eastAsia" w:ascii="宋体" w:hAnsi="宋体" w:eastAsia="宋体" w:cs="宋体"/>
                <w:snapToGrid w:val="0"/>
                <w:color w:val="000000"/>
                <w:spacing w:val="6"/>
                <w:kern w:val="0"/>
                <w:sz w:val="24"/>
                <w:szCs w:val="24"/>
                <w:lang w:val="en-US" w:eastAsia="zh-CN"/>
              </w:rPr>
              <w:t>分；应急预案不够详细完整，且缺乏可行性得1分，不提供不得分。</w:t>
            </w:r>
          </w:p>
        </w:tc>
        <w:tc>
          <w:tcPr>
            <w:tcW w:w="870" w:type="dxa"/>
            <w:vAlign w:val="top"/>
          </w:tcPr>
          <w:p w14:paraId="3D6ED819">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3DC3AF1F">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10分</w:t>
            </w:r>
          </w:p>
        </w:tc>
      </w:tr>
      <w:tr w14:paraId="45D70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1053" w:type="dxa"/>
            <w:vAlign w:val="top"/>
          </w:tcPr>
          <w:p w14:paraId="46C79BFE">
            <w:pPr>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outlineLvl w:val="1"/>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p>
          <w:p w14:paraId="37335B7C">
            <w:pPr>
              <w:keepNext w:val="0"/>
              <w:keepLines w:val="0"/>
              <w:pageBreakBefore w:val="0"/>
              <w:widowControl/>
              <w:kinsoku w:val="0"/>
              <w:wordWrap/>
              <w:overflowPunct/>
              <w:topLinePunct w:val="0"/>
              <w:autoSpaceDE w:val="0"/>
              <w:autoSpaceDN w:val="0"/>
              <w:bidi w:val="0"/>
              <w:adjustRightInd w:val="0"/>
              <w:snapToGrid w:val="0"/>
              <w:spacing w:before="173" w:line="400" w:lineRule="exact"/>
              <w:jc w:val="center"/>
              <w:textAlignment w:val="baseline"/>
              <w:outlineLvl w:val="1"/>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10"/>
                <w:kern w:val="0"/>
                <w:sz w:val="24"/>
                <w:szCs w:val="24"/>
                <w:lang w:val="en-US" w:eastAsia="zh-CN"/>
                <w14:textOutline w14:w="3795" w14:cap="sq" w14:cmpd="sng">
                  <w14:solidFill>
                    <w14:srgbClr w14:val="000000"/>
                  </w14:solidFill>
                  <w14:prstDash w14:val="solid"/>
                  <w14:bevel/>
                </w14:textOutline>
              </w:rPr>
              <w:t>组织能力</w:t>
            </w:r>
          </w:p>
        </w:tc>
        <w:tc>
          <w:tcPr>
            <w:tcW w:w="8160" w:type="dxa"/>
            <w:vAlign w:val="top"/>
          </w:tcPr>
          <w:p w14:paraId="713A9198">
            <w:pPr>
              <w:pStyle w:val="34"/>
              <w:numPr>
                <w:ilvl w:val="0"/>
                <w:numId w:val="0"/>
              </w:numPr>
              <w:ind w:leftChars="200"/>
              <w:rPr>
                <w:rFonts w:hint="eastAsia" w:ascii="宋体" w:hAnsi="宋体" w:eastAsia="宋体" w:cs="宋体"/>
                <w:snapToGrid w:val="0"/>
                <w:color w:val="000000"/>
                <w:spacing w:val="6"/>
                <w:kern w:val="0"/>
                <w:sz w:val="24"/>
                <w:szCs w:val="24"/>
                <w:lang w:val="en-US" w:eastAsia="zh-CN"/>
              </w:rPr>
            </w:pPr>
            <w:r>
              <w:rPr>
                <w:rFonts w:hint="eastAsia" w:ascii="宋体" w:hAnsi="宋体" w:eastAsia="宋体" w:cs="宋体"/>
                <w:snapToGrid w:val="0"/>
                <w:color w:val="000000"/>
                <w:spacing w:val="6"/>
                <w:kern w:val="0"/>
                <w:sz w:val="24"/>
                <w:szCs w:val="24"/>
                <w:lang w:val="en-US" w:eastAsia="zh-CN"/>
              </w:rPr>
              <w:t>对投标人针对投入本项目服务团队的人员数量、组成结构及人员的相关资历和服务能力等进行综合评比，服务团队人员充实</w:t>
            </w:r>
            <w:r>
              <w:rPr>
                <w:rFonts w:hint="eastAsia" w:hAnsi="宋体" w:cs="宋体"/>
                <w:snapToGrid w:val="0"/>
                <w:color w:val="000000"/>
                <w:spacing w:val="6"/>
                <w:kern w:val="0"/>
                <w:sz w:val="24"/>
                <w:szCs w:val="24"/>
                <w:lang w:val="en-US" w:eastAsia="zh-CN"/>
              </w:rPr>
              <w:t>、</w:t>
            </w:r>
            <w:r>
              <w:rPr>
                <w:rFonts w:hint="eastAsia" w:ascii="宋体" w:hAnsi="宋体" w:eastAsia="宋体" w:cs="宋体"/>
                <w:snapToGrid w:val="0"/>
                <w:color w:val="000000"/>
                <w:spacing w:val="6"/>
                <w:kern w:val="0"/>
                <w:sz w:val="24"/>
                <w:szCs w:val="24"/>
                <w:lang w:val="en-US" w:eastAsia="zh-CN"/>
              </w:rPr>
              <w:t>安排合理且分工明确，服务能力强得7-10分</w:t>
            </w:r>
            <w:r>
              <w:rPr>
                <w:rFonts w:hint="eastAsia" w:hAnsi="宋体" w:cs="宋体"/>
                <w:snapToGrid w:val="0"/>
                <w:color w:val="000000"/>
                <w:spacing w:val="6"/>
                <w:kern w:val="0"/>
                <w:sz w:val="24"/>
                <w:szCs w:val="24"/>
                <w:lang w:val="en-US" w:eastAsia="zh-CN"/>
              </w:rPr>
              <w:t>；</w:t>
            </w:r>
            <w:r>
              <w:rPr>
                <w:rFonts w:hint="eastAsia" w:ascii="宋体" w:hAnsi="宋体" w:eastAsia="宋体" w:cs="宋体"/>
                <w:snapToGrid w:val="0"/>
                <w:color w:val="000000"/>
                <w:spacing w:val="6"/>
                <w:kern w:val="0"/>
                <w:sz w:val="24"/>
                <w:szCs w:val="24"/>
                <w:lang w:val="en-US" w:eastAsia="zh-CN"/>
              </w:rPr>
              <w:t>服务团队人员相对充实，分工安排较明确得3-6分</w:t>
            </w:r>
            <w:r>
              <w:rPr>
                <w:rFonts w:hint="eastAsia" w:hAnsi="宋体" w:cs="宋体"/>
                <w:snapToGrid w:val="0"/>
                <w:color w:val="000000"/>
                <w:spacing w:val="6"/>
                <w:kern w:val="0"/>
                <w:sz w:val="24"/>
                <w:szCs w:val="24"/>
                <w:lang w:val="en-US" w:eastAsia="zh-CN"/>
              </w:rPr>
              <w:t>；</w:t>
            </w:r>
            <w:r>
              <w:rPr>
                <w:rFonts w:hint="eastAsia" w:ascii="宋体" w:hAnsi="宋体" w:eastAsia="宋体" w:cs="宋体"/>
                <w:snapToGrid w:val="0"/>
                <w:color w:val="000000"/>
                <w:spacing w:val="6"/>
                <w:kern w:val="0"/>
                <w:sz w:val="24"/>
                <w:szCs w:val="24"/>
                <w:lang w:val="en-US" w:eastAsia="zh-CN"/>
              </w:rPr>
              <w:t>服务团队人员不够充实，没有明确分工且缺乏服务能力得1-2分，不提供不得分。</w:t>
            </w:r>
          </w:p>
        </w:tc>
        <w:tc>
          <w:tcPr>
            <w:tcW w:w="870" w:type="dxa"/>
            <w:vAlign w:val="top"/>
          </w:tcPr>
          <w:p w14:paraId="4BB50E08">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p>
          <w:p w14:paraId="0D4413DA">
            <w:pPr>
              <w:keepNext w:val="0"/>
              <w:keepLines w:val="0"/>
              <w:pageBreakBefore w:val="0"/>
              <w:widowControl/>
              <w:kinsoku w:val="0"/>
              <w:wordWrap/>
              <w:overflowPunct/>
              <w:topLinePunct w:val="0"/>
              <w:autoSpaceDE w:val="0"/>
              <w:autoSpaceDN w:val="0"/>
              <w:bidi w:val="0"/>
              <w:adjustRightInd w:val="0"/>
              <w:snapToGrid w:val="0"/>
              <w:spacing w:before="65" w:line="400" w:lineRule="exact"/>
              <w:jc w:val="center"/>
              <w:textAlignment w:val="baseline"/>
              <w:rPr>
                <w:rFonts w:hint="default"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pPr>
            <w:r>
              <w:rPr>
                <w:rFonts w:hint="eastAsia" w:ascii="宋体" w:hAnsi="宋体" w:eastAsia="宋体" w:cs="宋体"/>
                <w:spacing w:val="8"/>
                <w:kern w:val="0"/>
                <w:sz w:val="24"/>
                <w:szCs w:val="24"/>
                <w:lang w:val="en-US" w:eastAsia="zh-CN"/>
                <w14:textOutline w14:w="3795" w14:cap="sq" w14:cmpd="sng">
                  <w14:solidFill>
                    <w14:srgbClr w14:val="000000"/>
                  </w14:solidFill>
                  <w14:prstDash w14:val="solid"/>
                  <w14:bevel/>
                </w14:textOutline>
              </w:rPr>
              <w:t>10分</w:t>
            </w:r>
          </w:p>
        </w:tc>
      </w:tr>
    </w:tbl>
    <w:p w14:paraId="2D79551A">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bCs/>
          <w:spacing w:val="0"/>
          <w:position w:val="0"/>
          <w:sz w:val="24"/>
          <w:szCs w:val="24"/>
        </w:rPr>
      </w:pPr>
    </w:p>
    <w:p w14:paraId="2E19E520">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bCs/>
          <w:spacing w:val="0"/>
          <w:position w:val="0"/>
          <w:sz w:val="24"/>
          <w:szCs w:val="24"/>
        </w:rPr>
      </w:pPr>
    </w:p>
    <w:p w14:paraId="3FCFC56E">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备注：</w:t>
      </w:r>
    </w:p>
    <w:p w14:paraId="511FC127">
      <w:pPr>
        <w:pageBreakBefore w:val="0"/>
        <w:wordWrap/>
        <w:overflowPunct/>
        <w:topLinePunct w:val="0"/>
        <w:bidi w:val="0"/>
        <w:spacing w:beforeAutospacing="0" w:afterAutospacing="0" w:line="360" w:lineRule="auto"/>
        <w:ind w:firstLine="482" w:firstLineChars="200"/>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一、1、执行中小企业声明函制度。根据工业和信息化部、国家统计局、国家发展和改革委员会、财政部等部委发布的《关于印发中小企业划型标准規定的通知》（工信部联企业（2011)300号），按照本次采购标的所属行业的划型标准，符合条件的中小微企业应按照招标文件格式要求提供《中小企业声明函》，仅需 出具《中小企业声明函》即可享受相关扶 持政策。投标供应商需对《中小企业声明函》内容的真实性负责，成交供应商享受中小企业扶持政策的，《中小企业声明函》随成交结果一并公开。</w:t>
      </w:r>
    </w:p>
    <w:p w14:paraId="00B48B9A">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lang w:val="en-US" w:eastAsia="zh-CN"/>
        </w:rPr>
        <w:t>2、</w:t>
      </w:r>
      <w:r>
        <w:rPr>
          <w:rFonts w:hint="eastAsia" w:asciiTheme="minorEastAsia" w:hAnsiTheme="minorEastAsia" w:eastAsiaTheme="minorEastAsia" w:cstheme="minorEastAsia"/>
          <w:b/>
          <w:bCs/>
          <w:spacing w:val="0"/>
          <w:position w:val="0"/>
          <w:sz w:val="24"/>
          <w:szCs w:val="24"/>
        </w:rPr>
        <w:t>根据财政部、工业和信息化部发布的《政府采购促进中小企业发展管理办法》（财库（2020）46号）和财政部《关于进一步加大政府采购支持中小企业力度的通知》（财库（2022)19号）规定，对小型和微型企业产品的投标价格给予10％的扣除，用扣除后的价格参与评审。</w:t>
      </w:r>
    </w:p>
    <w:p w14:paraId="1BAF09B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kern w:val="2"/>
          <w:position w:val="0"/>
          <w:sz w:val="24"/>
          <w:szCs w:val="24"/>
          <w:lang w:val="en-US" w:eastAsia="zh-CN" w:bidi="ar-SA"/>
        </w:rPr>
        <w:t>3、</w:t>
      </w:r>
      <w:r>
        <w:rPr>
          <w:rFonts w:hint="eastAsia" w:asciiTheme="minorEastAsia" w:hAnsiTheme="minorEastAsia" w:eastAsiaTheme="minorEastAsia" w:cstheme="minorEastAsia"/>
          <w:b/>
          <w:bCs/>
          <w:spacing w:val="0"/>
          <w:position w:val="0"/>
          <w:sz w:val="24"/>
          <w:szCs w:val="24"/>
        </w:rPr>
        <w:t>投标人提供的货物由中小企业生产且使用该中小企业商号或者注册商标的，享受中小企业扶持政策。供应商提供的货物既有中小企业制造的货物。也有大型企业制造的货物的，不享受中小企业扶持政策。</w:t>
      </w:r>
    </w:p>
    <w:p w14:paraId="1038812C">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kern w:val="2"/>
          <w:position w:val="0"/>
          <w:sz w:val="24"/>
          <w:szCs w:val="24"/>
          <w:lang w:val="en-US" w:eastAsia="zh-CN" w:bidi="ar-SA"/>
        </w:rPr>
        <w:t>4、</w:t>
      </w:r>
      <w:r>
        <w:rPr>
          <w:rFonts w:hint="eastAsia" w:asciiTheme="minorEastAsia" w:hAnsiTheme="minorEastAsia" w:eastAsiaTheme="minorEastAsia" w:cstheme="minorEastAsia"/>
          <w:b/>
          <w:bCs/>
          <w:spacing w:val="0"/>
          <w:position w:val="0"/>
          <w:sz w:val="24"/>
          <w:szCs w:val="24"/>
        </w:rPr>
        <w:t>提供由省级以上监狱管理局、戒毒管理局（含新疆生产建设兵团）出具的属于监狱企业证明文件（原件彩色扫描件）的，视同为小型和微型企业。</w:t>
      </w:r>
    </w:p>
    <w:p w14:paraId="264C187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Autospacing="0" w:afterAutospacing="0" w:line="360" w:lineRule="auto"/>
        <w:ind w:left="0" w:leftChars="0" w:firstLine="482" w:firstLineChars="200"/>
        <w:textAlignment w:val="baseline"/>
        <w:rPr>
          <w:rFonts w:hint="eastAsia" w:asciiTheme="minorEastAsia" w:hAnsiTheme="minorEastAsia" w:eastAsiaTheme="minorEastAsia" w:cstheme="minorEastAsia"/>
          <w:b/>
          <w:bCs/>
          <w:spacing w:val="0"/>
          <w:position w:val="0"/>
          <w:sz w:val="24"/>
          <w:szCs w:val="24"/>
        </w:rPr>
      </w:pPr>
      <w:r>
        <w:rPr>
          <w:rFonts w:hint="eastAsia" w:asciiTheme="minorEastAsia" w:hAnsiTheme="minorEastAsia" w:eastAsiaTheme="minorEastAsia" w:cstheme="minorEastAsia"/>
          <w:b/>
          <w:bCs/>
          <w:spacing w:val="0"/>
          <w:position w:val="0"/>
          <w:sz w:val="24"/>
          <w:szCs w:val="24"/>
        </w:rPr>
        <w:t>5、符合享受政府采购支持政策的残疾人福利性单位条件且提供《残疾人福利性单位声明函》的，视同为小型和微型企业。</w:t>
      </w:r>
    </w:p>
    <w:p w14:paraId="64CC52A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textAlignment w:val="baseline"/>
        <w:rPr>
          <w:rFonts w:hint="eastAsia" w:asciiTheme="minorEastAsia" w:hAnsiTheme="minorEastAsia" w:eastAsiaTheme="minorEastAsia" w:cstheme="minorEastAsia"/>
          <w:b/>
          <w:bCs/>
          <w:color w:val="000000"/>
          <w:spacing w:val="0"/>
          <w:position w:val="0"/>
          <w:sz w:val="24"/>
          <w:szCs w:val="24"/>
        </w:rPr>
      </w:pPr>
      <w:r>
        <w:rPr>
          <w:rFonts w:hint="eastAsia" w:asciiTheme="minorEastAsia" w:hAnsiTheme="minorEastAsia" w:eastAsiaTheme="minorEastAsia" w:cstheme="minorEastAsia"/>
          <w:b/>
          <w:bCs/>
          <w:spacing w:val="0"/>
          <w:position w:val="0"/>
          <w:sz w:val="24"/>
          <w:szCs w:val="24"/>
        </w:rPr>
        <w:t>二、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E5C5F9E">
      <w:pPr>
        <w:rPr>
          <w:rFonts w:hint="eastAsia" w:asciiTheme="minorEastAsia" w:hAnsiTheme="minorEastAsia" w:eastAsiaTheme="minorEastAsia" w:cstheme="minorEastAsia"/>
          <w:spacing w:val="0"/>
          <w:lang w:val="en-US" w:eastAsia="zh-CN"/>
        </w:rPr>
      </w:pPr>
      <w:r>
        <w:rPr>
          <w:rFonts w:hint="eastAsia" w:asciiTheme="minorEastAsia" w:hAnsiTheme="minorEastAsia" w:eastAsiaTheme="minorEastAsia" w:cstheme="minorEastAsia"/>
          <w:spacing w:val="0"/>
          <w:lang w:val="en-US" w:eastAsia="zh-CN"/>
        </w:rPr>
        <w:br w:type="page"/>
      </w:r>
    </w:p>
    <w:p w14:paraId="256A6AFD">
      <w:pPr>
        <w:pStyle w:val="7"/>
        <w:rPr>
          <w:rFonts w:hint="eastAsia"/>
          <w:lang w:val="en-US" w:eastAsia="zh-CN"/>
        </w:rPr>
      </w:pPr>
    </w:p>
    <w:p w14:paraId="385C4C25">
      <w:pPr>
        <w:keepNext w:val="0"/>
        <w:keepLines w:val="0"/>
        <w:pageBreakBefore w:val="0"/>
        <w:numPr>
          <w:ilvl w:val="0"/>
          <w:numId w:val="3"/>
        </w:numPr>
        <w:wordWrap/>
        <w:overflowPunct/>
        <w:topLinePunct w:val="0"/>
        <w:bidi w:val="0"/>
        <w:spacing w:beforeAutospacing="0" w:afterAutospacing="0" w:line="360" w:lineRule="auto"/>
        <w:jc w:val="center"/>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99" w:name="_Toc19709"/>
      <w:bookmarkStart w:id="100" w:name="_Toc23263"/>
      <w:bookmarkStart w:id="101" w:name="_Toc1221"/>
      <w:bookmarkStart w:id="102" w:name="_Toc2051"/>
      <w:bookmarkStart w:id="103" w:name="_Toc11001"/>
      <w:bookmarkStart w:id="104" w:name="_Toc1398"/>
      <w:r>
        <w:rPr>
          <w:rFonts w:hint="eastAsia" w:asciiTheme="minorEastAsia" w:hAnsiTheme="minorEastAsia" w:eastAsiaTheme="minorEastAsia" w:cstheme="minorEastAsia"/>
          <w:b/>
          <w:bCs/>
          <w:color w:val="000000"/>
          <w:spacing w:val="0"/>
          <w:kern w:val="2"/>
          <w:position w:val="0"/>
          <w:sz w:val="28"/>
          <w:szCs w:val="28"/>
          <w:lang w:val="en-US" w:eastAsia="zh-CN" w:bidi="ar-SA"/>
        </w:rPr>
        <w:t>拟成交供应商确定的原则</w:t>
      </w:r>
      <w:bookmarkEnd w:id="99"/>
      <w:bookmarkEnd w:id="100"/>
      <w:bookmarkEnd w:id="101"/>
      <w:bookmarkEnd w:id="102"/>
      <w:bookmarkEnd w:id="103"/>
      <w:bookmarkEnd w:id="104"/>
    </w:p>
    <w:p w14:paraId="2129428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磋商小组应根据综合评分情况，按照评审得分由高到低顺序确定成交供应商，评审得分相同的，按照最后报价最高者优先确定，评审得分且最后报价相同的，按照技术指标优者优先确定。</w:t>
      </w:r>
    </w:p>
    <w:p w14:paraId="692AABD3">
      <w:pPr>
        <w:keepNext w:val="0"/>
        <w:keepLines w:val="0"/>
        <w:pageBreakBefore w:val="0"/>
        <w:numPr>
          <w:ilvl w:val="0"/>
          <w:numId w:val="3"/>
        </w:numPr>
        <w:wordWrap/>
        <w:overflowPunct/>
        <w:topLinePunct w:val="0"/>
        <w:bidi w:val="0"/>
        <w:spacing w:beforeAutospacing="0" w:afterAutospacing="0" w:line="360" w:lineRule="auto"/>
        <w:jc w:val="center"/>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05" w:name="_Toc5631"/>
      <w:bookmarkStart w:id="106" w:name="_Toc1450"/>
      <w:bookmarkStart w:id="107" w:name="_Toc14168"/>
      <w:bookmarkStart w:id="108" w:name="_Toc21052"/>
      <w:r>
        <w:rPr>
          <w:rFonts w:hint="eastAsia" w:asciiTheme="minorEastAsia" w:hAnsiTheme="minorEastAsia" w:eastAsiaTheme="minorEastAsia" w:cstheme="minorEastAsia"/>
          <w:b/>
          <w:bCs/>
          <w:color w:val="000000"/>
          <w:spacing w:val="0"/>
          <w:kern w:val="2"/>
          <w:position w:val="0"/>
          <w:sz w:val="28"/>
          <w:szCs w:val="28"/>
          <w:lang w:val="en-US" w:eastAsia="zh-CN" w:bidi="ar-SA"/>
        </w:rPr>
        <w:t>拟成交供应商的确定</w:t>
      </w:r>
      <w:bookmarkEnd w:id="105"/>
      <w:bookmarkEnd w:id="106"/>
      <w:bookmarkEnd w:id="107"/>
      <w:bookmarkEnd w:id="108"/>
    </w:p>
    <w:p w14:paraId="7E75ABC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招标方授权磋商小组直接确定成交供应商。</w:t>
      </w:r>
    </w:p>
    <w:p w14:paraId="366C9C6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招标方原则上在确定评审得分最高的前提下，确定拟成交供应商。当评审得分最高的供应商放弃成交、或因不可抗力提出不能履行合同或磋商小组一致认为评分畸高、畸低的供应商，招标方应重新开展招标活动。</w:t>
      </w:r>
    </w:p>
    <w:p w14:paraId="2368DFA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拟成交供应商确定后，由招标方以公告的方式向拟成交供应商以及其他采购当事人发出拟成交公告，拟成交公示届满后，由招标方向成交供应商发出成交通知书，并要求其与招标人签订合同。</w:t>
      </w:r>
    </w:p>
    <w:p w14:paraId="5762C40F">
      <w:pPr>
        <w:keepNext w:val="0"/>
        <w:keepLines w:val="0"/>
        <w:pageBreakBefore w:val="0"/>
        <w:numPr>
          <w:ilvl w:val="0"/>
          <w:numId w:val="3"/>
        </w:numPr>
        <w:wordWrap/>
        <w:overflowPunct/>
        <w:topLinePunct w:val="0"/>
        <w:bidi w:val="0"/>
        <w:spacing w:beforeAutospacing="0" w:afterAutospacing="0" w:line="360" w:lineRule="auto"/>
        <w:jc w:val="center"/>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09" w:name="_Toc3453"/>
      <w:bookmarkStart w:id="110" w:name="_Toc6147"/>
      <w:bookmarkStart w:id="111" w:name="_Toc5373"/>
      <w:bookmarkStart w:id="112" w:name="_Toc3285"/>
      <w:bookmarkStart w:id="113" w:name="_Toc5562"/>
      <w:bookmarkStart w:id="114" w:name="_Toc21027"/>
      <w:r>
        <w:rPr>
          <w:rFonts w:hint="eastAsia" w:asciiTheme="minorEastAsia" w:hAnsiTheme="minorEastAsia" w:eastAsiaTheme="minorEastAsia" w:cstheme="minorEastAsia"/>
          <w:b/>
          <w:bCs/>
          <w:color w:val="000000"/>
          <w:spacing w:val="0"/>
          <w:kern w:val="2"/>
          <w:position w:val="0"/>
          <w:sz w:val="28"/>
          <w:szCs w:val="28"/>
          <w:lang w:val="en-US" w:eastAsia="zh-CN" w:bidi="ar-SA"/>
        </w:rPr>
        <w:t>合同的授予</w:t>
      </w:r>
      <w:bookmarkEnd w:id="109"/>
      <w:bookmarkEnd w:id="110"/>
      <w:bookmarkEnd w:id="111"/>
      <w:bookmarkEnd w:id="112"/>
      <w:bookmarkEnd w:id="113"/>
      <w:bookmarkEnd w:id="114"/>
    </w:p>
    <w:p w14:paraId="02D1E86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（一）成交通知书</w:t>
      </w:r>
    </w:p>
    <w:p w14:paraId="6E5A6E7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根据磋商小组的评审结果，公布拟成交结果。在法定公示时间后且无质疑的情况下，该结果将做为是正式成交或签订合同的凭据，招标方将以书面形式通知成交供应商。在该通知书中将给出成交供应商应按本合同实施、完成和维护项目的成交价格(合同条件中称为“合同价格”)以及其他相关事项。</w:t>
      </w:r>
    </w:p>
    <w:p w14:paraId="37FA697A">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成交通知书将成为合同的组成部分。</w:t>
      </w:r>
    </w:p>
    <w:p w14:paraId="1F818CE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firstLine="281" w:firstLineChars="10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（二）合同授予原则</w:t>
      </w:r>
    </w:p>
    <w:p w14:paraId="73DA4C3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招标方将把合同授予经磋商小组评审推荐，在法定公示时间后，收到成交通知书的供应商为最终成交供应商。</w:t>
      </w:r>
    </w:p>
    <w:p w14:paraId="0CD71CE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（三）合同的签署</w:t>
      </w:r>
    </w:p>
    <w:p w14:paraId="3B949E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成交供应商按成交通知书中规定的时间和地点，由法定代表人或被授权人与需方签订合同。需方与成交供应商是合同权利与义务的直接、全部责任承担人。招标方所发出的成交通知书对需方和成交供应商具有同等法律效力。</w:t>
      </w:r>
    </w:p>
    <w:p w14:paraId="47E1949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成交通知书发出后，需方拒绝签订供货合同或擅自改变成交内容，按照《中华人民共和国</w:t>
      </w:r>
      <w:r>
        <w:rPr>
          <w:rFonts w:hint="eastAsia" w:asciiTheme="minorEastAsia" w:hAnsiTheme="minorEastAsia" w:eastAsiaTheme="minorEastAsia" w:cstheme="minorEastAsia"/>
          <w:snapToGrid w:val="0"/>
          <w:color w:val="000000"/>
          <w:spacing w:val="0"/>
          <w:kern w:val="0"/>
          <w:position w:val="0"/>
          <w:sz w:val="28"/>
          <w:szCs w:val="28"/>
          <w:lang w:val="en-US" w:eastAsia="zh-CN"/>
        </w:rPr>
        <w:t>民法典</w:t>
      </w:r>
      <w:r>
        <w:rPr>
          <w:rFonts w:hint="eastAsia" w:asciiTheme="minorEastAsia" w:hAnsiTheme="minorEastAsia" w:eastAsiaTheme="minorEastAsia" w:cstheme="minorEastAsia"/>
          <w:snapToGrid w:val="0"/>
          <w:color w:val="000000"/>
          <w:spacing w:val="0"/>
          <w:kern w:val="0"/>
          <w:position w:val="0"/>
          <w:sz w:val="28"/>
          <w:szCs w:val="28"/>
        </w:rPr>
        <w:t>》定金罚则及损害赔偿的原则处罚并办理。若成交供应商不能在规定时间内与需方签订合同，或变相签订合同，招标方可采取取消其成交资格并没收其谈判保证金等措施，并可按照财政部令[2004]第18号第六十八条、第七十五条、第七十六条规定办理。拒绝签订政府采购合同的成交供应商不得参加对该项目重新开展的采购活动。</w:t>
      </w:r>
    </w:p>
    <w:p w14:paraId="7766A99E">
      <w:pPr>
        <w:keepNext w:val="0"/>
        <w:keepLines w:val="0"/>
        <w:pageBreakBefore w:val="0"/>
        <w:numPr>
          <w:ilvl w:val="0"/>
          <w:numId w:val="3"/>
        </w:numPr>
        <w:wordWrap/>
        <w:overflowPunct/>
        <w:topLinePunct w:val="0"/>
        <w:bidi w:val="0"/>
        <w:spacing w:beforeAutospacing="0" w:afterAutospacing="0" w:line="360" w:lineRule="auto"/>
        <w:jc w:val="center"/>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15" w:name="_Toc16782"/>
      <w:bookmarkStart w:id="116" w:name="_Toc8683"/>
      <w:bookmarkStart w:id="117" w:name="_Toc15245"/>
      <w:bookmarkStart w:id="118" w:name="_Toc18745"/>
      <w:bookmarkStart w:id="119" w:name="_Toc31441"/>
      <w:bookmarkStart w:id="120" w:name="_Toc18179"/>
      <w:r>
        <w:rPr>
          <w:rFonts w:hint="eastAsia" w:asciiTheme="minorEastAsia" w:hAnsiTheme="minorEastAsia" w:eastAsiaTheme="minorEastAsia" w:cstheme="minorEastAsia"/>
          <w:b/>
          <w:bCs/>
          <w:color w:val="000000"/>
          <w:spacing w:val="0"/>
          <w:kern w:val="2"/>
          <w:position w:val="0"/>
          <w:sz w:val="28"/>
          <w:szCs w:val="28"/>
          <w:lang w:val="en-US" w:eastAsia="zh-CN" w:bidi="ar-SA"/>
        </w:rPr>
        <w:t>成交未果</w:t>
      </w:r>
      <w:bookmarkEnd w:id="115"/>
      <w:bookmarkEnd w:id="116"/>
      <w:bookmarkEnd w:id="117"/>
      <w:bookmarkEnd w:id="118"/>
      <w:bookmarkEnd w:id="119"/>
      <w:bookmarkEnd w:id="120"/>
    </w:p>
    <w:p w14:paraId="65EF18F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在磋商招标中，出现下列情形之一的，宣布成交未果：</w:t>
      </w:r>
    </w:p>
    <w:p w14:paraId="24E2F7A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1)</w:t>
      </w:r>
      <w:r>
        <w:rPr>
          <w:rFonts w:hint="eastAsia" w:asciiTheme="minorEastAsia" w:hAnsiTheme="minorEastAsia" w:eastAsiaTheme="minorEastAsia" w:cstheme="minorEastAsia"/>
          <w:snapToGrid w:val="0"/>
          <w:color w:val="000000"/>
          <w:spacing w:val="0"/>
          <w:kern w:val="0"/>
          <w:position w:val="0"/>
          <w:sz w:val="28"/>
          <w:szCs w:val="28"/>
          <w:lang w:val="en-US" w:eastAsia="zh-CN"/>
        </w:rPr>
        <w:t>依据财政部关于政府采购竞争性磋商采购方式管理暂行办法有关问题的补充通知(财库〔2015〕124号)</w:t>
      </w:r>
      <w:r>
        <w:rPr>
          <w:rFonts w:hint="eastAsia" w:asciiTheme="minorEastAsia" w:hAnsiTheme="minorEastAsia" w:eastAsiaTheme="minorEastAsia" w:cstheme="minorEastAsia"/>
          <w:snapToGrid w:val="0"/>
          <w:color w:val="000000"/>
          <w:spacing w:val="0"/>
          <w:kern w:val="0"/>
          <w:position w:val="0"/>
          <w:sz w:val="28"/>
          <w:szCs w:val="28"/>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D35BB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2)出现影响招标公正的违法、违规行为的；</w:t>
      </w:r>
    </w:p>
    <w:p w14:paraId="26166A8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3)供应商的报价均超过了招标预算，需方不能支付的；</w:t>
      </w:r>
    </w:p>
    <w:p w14:paraId="5205779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4)因情况变化，不再符合规定的竞争性磋商招标方式适用情形的；</w:t>
      </w:r>
    </w:p>
    <w:p w14:paraId="1356BC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5)因重大变故，招标任务取消的。</w:t>
      </w:r>
    </w:p>
    <w:p w14:paraId="1A59F77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宣布成交未果后，招标方应当将成交未果理由通知所有招标当事人。</w:t>
      </w:r>
    </w:p>
    <w:p w14:paraId="771C230F">
      <w:pPr>
        <w:keepNext w:val="0"/>
        <w:keepLines w:val="0"/>
        <w:pageBreakBefore w:val="0"/>
        <w:numPr>
          <w:ilvl w:val="0"/>
          <w:numId w:val="3"/>
        </w:numPr>
        <w:wordWrap/>
        <w:overflowPunct/>
        <w:topLinePunct w:val="0"/>
        <w:bidi w:val="0"/>
        <w:spacing w:beforeAutospacing="0" w:afterAutospacing="0" w:line="360" w:lineRule="auto"/>
        <w:jc w:val="center"/>
        <w:outlineLvl w:val="1"/>
        <w:rPr>
          <w:rFonts w:hint="eastAsia" w:asciiTheme="minorEastAsia" w:hAnsiTheme="minorEastAsia" w:eastAsiaTheme="minorEastAsia" w:cstheme="minorEastAsia"/>
          <w:b/>
          <w:bCs/>
          <w:color w:val="000000"/>
          <w:spacing w:val="0"/>
          <w:kern w:val="2"/>
          <w:position w:val="0"/>
          <w:sz w:val="28"/>
          <w:szCs w:val="28"/>
          <w:lang w:val="en-US" w:eastAsia="zh-CN" w:bidi="ar-SA"/>
        </w:rPr>
      </w:pPr>
      <w:bookmarkStart w:id="121" w:name="_Toc13496"/>
      <w:bookmarkStart w:id="122" w:name="_Toc18429"/>
      <w:bookmarkStart w:id="123" w:name="_Toc23682"/>
      <w:bookmarkStart w:id="124" w:name="_Toc31055"/>
      <w:bookmarkStart w:id="125" w:name="_Toc5122"/>
      <w:bookmarkStart w:id="126" w:name="_Toc13339"/>
      <w:r>
        <w:rPr>
          <w:rFonts w:hint="eastAsia" w:asciiTheme="minorEastAsia" w:hAnsiTheme="minorEastAsia" w:eastAsiaTheme="minorEastAsia" w:cstheme="minorEastAsia"/>
          <w:b/>
          <w:bCs/>
          <w:color w:val="000000"/>
          <w:spacing w:val="0"/>
          <w:kern w:val="2"/>
          <w:position w:val="0"/>
          <w:sz w:val="28"/>
          <w:szCs w:val="28"/>
          <w:lang w:val="en-US" w:eastAsia="zh-CN" w:bidi="ar-SA"/>
        </w:rPr>
        <w:t>磋商无效响应</w:t>
      </w:r>
      <w:bookmarkEnd w:id="121"/>
      <w:bookmarkEnd w:id="122"/>
      <w:bookmarkEnd w:id="123"/>
      <w:bookmarkEnd w:id="124"/>
      <w:bookmarkEnd w:id="125"/>
      <w:bookmarkEnd w:id="126"/>
    </w:p>
    <w:p w14:paraId="11C4816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遇到下列情况之一时,供应商递交的磋商响应性文件将被视为无效响应:</w:t>
      </w:r>
    </w:p>
    <w:p w14:paraId="509CD50E">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磋商响应性文件未按规定编制、标注、密封、封装的；</w:t>
      </w:r>
    </w:p>
    <w:p w14:paraId="2056296E">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超出供应商经营范围参与磋商的；</w:t>
      </w:r>
    </w:p>
    <w:p w14:paraId="0E384E5F">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磋商响应性文件中无供应商公章和法人或者法人授权代理人的印章或签字的；</w:t>
      </w:r>
    </w:p>
    <w:p w14:paraId="4BD3DD5F">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磋商函、法人授权函、投标报价表及投标货物偏离表未按规定格式填报的；</w:t>
      </w:r>
    </w:p>
    <w:p w14:paraId="27733DDD">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供应商未能提供法人授权函等证明文件和资料的，或提供的证件不齐或无效；</w:t>
      </w:r>
    </w:p>
    <w:p w14:paraId="15E40A20">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磋商响应性文件未按照磋商文件规定的格式填写，或者填写的内容不全，或者辨认不清产生歧义，或者涂改处未加盖投标人公章及法人或法人授权的代理人的印章或签字的；</w:t>
      </w:r>
    </w:p>
    <w:p w14:paraId="7CD689CC">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磋商响应性文件中每包以两个及两个以上的方案参与竞争性磋商的(磋商文件另有规定的除外)；</w:t>
      </w:r>
    </w:p>
    <w:p w14:paraId="61EED6AA">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磋商响应性文件未能对磋商文件提出的要求和条件作出实质性响应的；</w:t>
      </w:r>
    </w:p>
    <w:p w14:paraId="5ACB9009">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供应商资格条件不符合国家有关规定和谈判文件要求的，或者拒不按照要求对磋商响应性文件进行澄清、说明或者补正的；</w:t>
      </w:r>
    </w:p>
    <w:p w14:paraId="710F5A0B">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outlineLvl w:val="2"/>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磋商响应性文件附有招标方不能接受的条件的；</w:t>
      </w:r>
    </w:p>
    <w:p w14:paraId="130251C4">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right="0" w:rightChars="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参与磋商的产品(同一品牌、型号)，在同一地区同一时间段内成交供应商不能保证其实际成交价格低于其他任何非政府招标价格的；其中：</w:t>
      </w:r>
    </w:p>
    <w:p w14:paraId="50916E1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①磋商阶段应视为无效响应；</w:t>
      </w:r>
    </w:p>
    <w:p w14:paraId="73FBA84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②已成交而无供货的视为成交无效；</w:t>
      </w:r>
    </w:p>
    <w:p w14:paraId="7F3401E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③已供货者，成交供应商应承担由此给需方造成的损失。</w:t>
      </w:r>
    </w:p>
    <w:p w14:paraId="53BF9CC3">
      <w:pPr>
        <w:keepNext w:val="0"/>
        <w:keepLines w:val="0"/>
        <w:pageBreakBefore w:val="0"/>
        <w:widowControl w:val="0"/>
        <w:numPr>
          <w:ilvl w:val="0"/>
          <w:numId w:val="7"/>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lang w:eastAsia="zh-CN"/>
        </w:rPr>
      </w:pPr>
      <w:r>
        <w:rPr>
          <w:rFonts w:hint="eastAsia" w:asciiTheme="minorEastAsia" w:hAnsiTheme="minorEastAsia" w:eastAsiaTheme="minorEastAsia" w:cstheme="minorEastAsia"/>
          <w:snapToGrid w:val="0"/>
          <w:color w:val="000000"/>
          <w:spacing w:val="0"/>
          <w:kern w:val="0"/>
          <w:position w:val="0"/>
          <w:sz w:val="28"/>
          <w:szCs w:val="28"/>
        </w:rPr>
        <w:t>经评审委员会认定，认为生产制造企业通过控制授权函等方式，恶意抬高其产品价格。降低服务质量，价格明显高于在同一地区同一时间段内任何政府招标价格的</w:t>
      </w:r>
      <w:r>
        <w:rPr>
          <w:rFonts w:hint="eastAsia" w:asciiTheme="minorEastAsia" w:hAnsiTheme="minorEastAsia" w:eastAsiaTheme="minorEastAsia" w:cstheme="minorEastAsia"/>
          <w:snapToGrid w:val="0"/>
          <w:color w:val="000000"/>
          <w:spacing w:val="0"/>
          <w:kern w:val="0"/>
          <w:position w:val="0"/>
          <w:sz w:val="28"/>
          <w:szCs w:val="28"/>
          <w:lang w:eastAsia="zh-CN"/>
        </w:rPr>
        <w:t>；</w:t>
      </w:r>
    </w:p>
    <w:p w14:paraId="75CC176E">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outlineLvl w:val="2"/>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磋商有效期不足60天的；</w:t>
      </w:r>
    </w:p>
    <w:p w14:paraId="3C4179C9">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在磋商过程中，如果供应商试图在审查、澄清、比较及授予合同方面向招标方施加任何影响的；</w:t>
      </w:r>
    </w:p>
    <w:p w14:paraId="62324E86">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供应商以他人名义参加谈判、串通参加谈判、以行贿手段谋取成交或者以弄虚作假等方式谋取成交的；</w:t>
      </w:r>
    </w:p>
    <w:p w14:paraId="6E65841D">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b w:val="0"/>
          <w:bCs w:val="0"/>
          <w:snapToGrid w:val="0"/>
          <w:color w:val="000000"/>
          <w:spacing w:val="0"/>
          <w:kern w:val="0"/>
          <w:position w:val="0"/>
          <w:sz w:val="28"/>
          <w:szCs w:val="28"/>
        </w:rPr>
        <w:t>对于同一品牌同一型号产品生产制造商总部委托两家及两家以上代理商参加磋商的；</w:t>
      </w:r>
    </w:p>
    <w:p w14:paraId="636EA125">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b w:val="0"/>
          <w:bCs w:val="0"/>
          <w:snapToGrid w:val="0"/>
          <w:color w:val="000000"/>
          <w:spacing w:val="0"/>
          <w:kern w:val="0"/>
          <w:position w:val="0"/>
          <w:sz w:val="28"/>
          <w:szCs w:val="28"/>
        </w:rPr>
        <w:t>违反《</w:t>
      </w:r>
      <w:r>
        <w:rPr>
          <w:rFonts w:hint="eastAsia" w:asciiTheme="minorEastAsia" w:hAnsiTheme="minorEastAsia" w:eastAsiaTheme="minorEastAsia" w:cstheme="minorEastAsia"/>
          <w:b w:val="0"/>
          <w:bCs w:val="0"/>
          <w:i w:val="0"/>
          <w:iCs w:val="0"/>
          <w:caps w:val="0"/>
          <w:snapToGrid/>
          <w:color w:val="000000"/>
          <w:spacing w:val="0"/>
          <w:kern w:val="0"/>
          <w:position w:val="0"/>
          <w:sz w:val="28"/>
          <w:szCs w:val="28"/>
          <w:lang w:val="en-US" w:eastAsia="zh-CN" w:bidi="ar"/>
        </w:rPr>
        <w:t>中华人民共和国招投标法</w:t>
      </w:r>
      <w:r>
        <w:rPr>
          <w:rFonts w:hint="eastAsia" w:asciiTheme="minorEastAsia" w:hAnsiTheme="minorEastAsia" w:eastAsiaTheme="minorEastAsia" w:cstheme="minorEastAsia"/>
          <w:snapToGrid w:val="0"/>
          <w:color w:val="000000"/>
          <w:spacing w:val="0"/>
          <w:kern w:val="0"/>
          <w:position w:val="0"/>
          <w:sz w:val="28"/>
          <w:szCs w:val="28"/>
        </w:rPr>
        <w:t>》的；</w:t>
      </w:r>
    </w:p>
    <w:p w14:paraId="16A68384">
      <w:pPr>
        <w:keepNext w:val="0"/>
        <w:keepLines w:val="0"/>
        <w:pageBreakBefore w:val="0"/>
        <w:widowControl/>
        <w:numPr>
          <w:ilvl w:val="0"/>
          <w:numId w:val="7"/>
        </w:numPr>
        <w:kinsoku w:val="0"/>
        <w:wordWrap/>
        <w:overflowPunct/>
        <w:topLinePunct w:val="0"/>
        <w:autoSpaceDE w:val="0"/>
        <w:autoSpaceDN w:val="0"/>
        <w:bidi w:val="0"/>
        <w:adjustRightInd w:val="0"/>
        <w:snapToGrid w:val="0"/>
        <w:spacing w:beforeAutospacing="0" w:afterAutospacing="0" w:line="360" w:lineRule="auto"/>
        <w:ind w:left="0" w:leftChars="0" w:right="0" w:firstLine="280" w:firstLineChars="1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磋商文件规定的其它无效响应条件。</w:t>
      </w:r>
    </w:p>
    <w:p w14:paraId="06FEDB3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jc w:val="left"/>
        <w:textAlignment w:val="baseline"/>
        <w:rPr>
          <w:rFonts w:hint="eastAsia" w:asciiTheme="minorEastAsia" w:hAnsiTheme="minorEastAsia" w:eastAsiaTheme="minorEastAsia" w:cstheme="minorEastAsia"/>
          <w:snapToGrid w:val="0"/>
          <w:color w:val="000000"/>
          <w:spacing w:val="0"/>
          <w:kern w:val="0"/>
          <w:position w:val="0"/>
          <w:sz w:val="28"/>
          <w:szCs w:val="28"/>
        </w:rPr>
      </w:pPr>
      <w:r>
        <w:rPr>
          <w:rFonts w:hint="eastAsia" w:asciiTheme="minorEastAsia" w:hAnsiTheme="minorEastAsia" w:eastAsiaTheme="minorEastAsia" w:cstheme="minorEastAsia"/>
          <w:snapToGrid w:val="0"/>
          <w:color w:val="000000"/>
          <w:spacing w:val="0"/>
          <w:kern w:val="0"/>
          <w:position w:val="0"/>
          <w:sz w:val="28"/>
          <w:szCs w:val="28"/>
        </w:rPr>
        <w:t>本磋商文件由招标方负责解释，未尽事宜另行商定。</w:t>
      </w:r>
    </w:p>
    <w:p w14:paraId="0A34AA0B">
      <w:pPr>
        <w:keepNext w:val="0"/>
        <w:keepLines w:val="0"/>
        <w:pageBreakBefore w:val="0"/>
        <w:numPr>
          <w:ilvl w:val="0"/>
          <w:numId w:val="0"/>
        </w:numPr>
        <w:wordWrap/>
        <w:overflowPunct/>
        <w:topLinePunct w:val="0"/>
        <w:bidi w:val="0"/>
        <w:spacing w:beforeAutospacing="0" w:afterAutospacing="0" w:line="360" w:lineRule="auto"/>
        <w:ind w:firstLine="420" w:firstLineChars="200"/>
        <w:rPr>
          <w:rFonts w:hint="eastAsia" w:asciiTheme="minorEastAsia" w:hAnsiTheme="minorEastAsia" w:eastAsiaTheme="minorEastAsia" w:cstheme="minorEastAsia"/>
          <w:color w:val="000000"/>
          <w:spacing w:val="0"/>
          <w:kern w:val="2"/>
          <w:position w:val="0"/>
          <w:sz w:val="21"/>
          <w:szCs w:val="21"/>
          <w:lang w:val="en-US" w:eastAsia="zh-CN" w:bidi="ar-SA"/>
        </w:rPr>
      </w:pPr>
      <w:r>
        <w:rPr>
          <w:rFonts w:hint="eastAsia" w:asciiTheme="minorEastAsia" w:hAnsiTheme="minorEastAsia" w:eastAsiaTheme="minorEastAsia" w:cstheme="minorEastAsia"/>
          <w:color w:val="000000"/>
          <w:spacing w:val="0"/>
          <w:kern w:val="2"/>
          <w:position w:val="0"/>
          <w:sz w:val="21"/>
          <w:szCs w:val="21"/>
          <w:lang w:val="en-US" w:eastAsia="zh-CN" w:bidi="ar-SA"/>
        </w:rPr>
        <w:br w:type="page"/>
      </w:r>
    </w:p>
    <w:p w14:paraId="31086113">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127" w:name="_Toc136"/>
      <w:bookmarkStart w:id="128" w:name="_Toc13227"/>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政府采购合同</w:t>
      </w:r>
      <w:bookmarkEnd w:id="127"/>
      <w:bookmarkEnd w:id="128"/>
    </w:p>
    <w:p w14:paraId="1352835F">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29" w:name="_Toc18812"/>
      <w:bookmarkStart w:id="130" w:name="_Toc31923"/>
      <w:bookmarkStart w:id="131" w:name="_Toc28905"/>
      <w:bookmarkStart w:id="132" w:name="_Toc4695"/>
      <w:bookmarkStart w:id="133" w:name="_Toc19880"/>
      <w:bookmarkStart w:id="134" w:name="_Toc16379"/>
      <w:bookmarkStart w:id="135" w:name="_Toc25579"/>
      <w:bookmarkStart w:id="136" w:name="_Toc24599"/>
      <w:bookmarkStart w:id="137" w:name="_Toc31181"/>
      <w:bookmarkStart w:id="138" w:name="_Toc5527"/>
      <w:bookmarkStart w:id="139" w:name="_Toc9971"/>
      <w:bookmarkStart w:id="140" w:name="_Toc26320"/>
      <w:bookmarkStart w:id="141" w:name="_Toc1539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(本合同仅供参考，具体内容由甲乙双方自行协商)</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35ED8AC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142" w:name="_Toc8251"/>
      <w:bookmarkStart w:id="143" w:name="_Toc17961"/>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一、合同格式条款</w:t>
      </w:r>
      <w:bookmarkEnd w:id="142"/>
      <w:bookmarkEnd w:id="143"/>
    </w:p>
    <w:p w14:paraId="1288408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44" w:name="_Toc21377"/>
      <w:bookmarkStart w:id="145" w:name="_Toc226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1.定义</w:t>
      </w:r>
      <w:bookmarkEnd w:id="144"/>
      <w:bookmarkEnd w:id="145"/>
    </w:p>
    <w:p w14:paraId="1B12CC82">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1.1.合同当事人</w:t>
      </w:r>
    </w:p>
    <w:p w14:paraId="4E11BD5C">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(1)招标人(以下称甲方)是指使用财政性资金，通过政府采购程序向供应商购买货物、服务的国家机关、事业单位、团体组织。</w:t>
      </w:r>
    </w:p>
    <w:p w14:paraId="530EB6AC">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(2)供应商(以下称乙方)是指参加政府采购活动而取得中标结果，并向招标人提供货物、服务的法人、其他组织或者自然人。</w:t>
      </w:r>
    </w:p>
    <w:p w14:paraId="60F19644">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1.2.本合同下列术语应解释为：</w:t>
      </w:r>
    </w:p>
    <w:p w14:paraId="12D0C354">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(1)“合同”系指甲乙双方签署的、政府采购合同协议书中载明的甲乙双方所达成的协议，包括所有的附件、附录和上述文件所提到的构成合同的所有文件。</w:t>
      </w:r>
    </w:p>
    <w:p w14:paraId="4A7159CE">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(2)“合同价”系指根据本合同规定乙方在正确地完全履行合同义务后甲方应支付给乙方的价款。</w:t>
      </w:r>
    </w:p>
    <w:p w14:paraId="4130D16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(3)“货物”系指乙方根据本合同规定须向甲方提供的各种形态和种类的物品，包括原材料、设备、产品(包括软件)及相关的备品备件、工具、手册及其它技术资料和材料。</w:t>
      </w:r>
    </w:p>
    <w:p w14:paraId="4DCC711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(4)“伴随服务”系指根据本合同规定乙方承担与供货有关的辅助服务，如运输、保险以及其它的伴随服务，例如安装、调试、提供技术协助、培训和合同中规定乙方应承担的其它义务。</w:t>
      </w:r>
    </w:p>
    <w:p w14:paraId="7E8AE1B4">
      <w:pPr>
        <w:keepNext w:val="0"/>
        <w:keepLines w:val="0"/>
        <w:pageBreakBefore w:val="0"/>
        <w:widowControl/>
        <w:wordWrap/>
        <w:overflowPunct/>
        <w:topLinePunct w:val="0"/>
        <w:bidi w:val="0"/>
        <w:spacing w:beforeAutospacing="0" w:afterAutospacing="0" w:line="360" w:lineRule="auto"/>
        <w:ind w:left="0" w:right="0" w:firstLine="560" w:firstLineChars="200"/>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(5)“合同条款”系指本合同条款。</w:t>
      </w:r>
    </w:p>
    <w:p w14:paraId="4E0CB4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46" w:name="_Toc7659"/>
      <w:bookmarkStart w:id="147" w:name="_Toc2352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2.合同的适用范围</w:t>
      </w:r>
      <w:bookmarkEnd w:id="146"/>
      <w:bookmarkEnd w:id="147"/>
    </w:p>
    <w:p w14:paraId="11FB6F97">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2.1.本合同条款适用于没有被本合同其他部分的条款所取代的范围。</w:t>
      </w:r>
    </w:p>
    <w:p w14:paraId="62CB522C">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2.2.合同内容根据竞争性磋商文件、投标文件而确定。</w:t>
      </w:r>
    </w:p>
    <w:p w14:paraId="040C113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48" w:name="_Toc3825"/>
      <w:bookmarkStart w:id="149" w:name="_Toc645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3.合同标的及金额</w:t>
      </w:r>
      <w:bookmarkEnd w:id="148"/>
      <w:bookmarkEnd w:id="149"/>
    </w:p>
    <w:p w14:paraId="5C3F93DC">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3.1.合同标的及金额应与中标结果一致。</w:t>
      </w:r>
    </w:p>
    <w:p w14:paraId="6212E1F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0" w:name="_Toc9021"/>
      <w:bookmarkStart w:id="151" w:name="_Toc1062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4.合同价款</w:t>
      </w:r>
      <w:bookmarkEnd w:id="150"/>
      <w:bookmarkEnd w:id="151"/>
    </w:p>
    <w:p w14:paraId="2AC570EF">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4.1.乙方为履行本合同而发生的所有费用均应包含在合同价款中，甲方不再另行支付其它任何费用。</w:t>
      </w:r>
    </w:p>
    <w:p w14:paraId="7A1859D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2" w:name="_Toc13727"/>
      <w:bookmarkStart w:id="153" w:name="_Toc20195"/>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5.履行合同的时间、地点和方式</w:t>
      </w:r>
      <w:bookmarkEnd w:id="152"/>
      <w:bookmarkEnd w:id="153"/>
    </w:p>
    <w:p w14:paraId="2C199FC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5.1.乙方应当在甲方确定的时间、指定的地点履行合同。</w:t>
      </w:r>
    </w:p>
    <w:p w14:paraId="5DF32933">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5.2.乙方提供服务的应当在甲方指定的地点完成服务项目。</w:t>
      </w:r>
    </w:p>
    <w:p w14:paraId="6B17BAE4">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4" w:name="_Toc20429"/>
      <w:bookmarkStart w:id="155" w:name="_Toc3272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6.货物的验收</w:t>
      </w:r>
      <w:bookmarkEnd w:id="154"/>
      <w:bookmarkEnd w:id="155"/>
    </w:p>
    <w:p w14:paraId="2F1EF80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6.1.甲方在收到乙方交付的货物后应当及时组织验收。</w:t>
      </w:r>
    </w:p>
    <w:p w14:paraId="647D798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6.2.货物的表面瑕疵，甲方应在验收时当面提出；对质量问题有异议的应在安装调试后十个工作日内提出。</w:t>
      </w:r>
    </w:p>
    <w:p w14:paraId="7F009D38">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6.3.在验收过程中发现数量不足或有质量、技术等问题，乙方应负责按照甲方的要求采取补足、更换或退货等处理措施，并承担由此发生的一切费用和损失。</w:t>
      </w:r>
    </w:p>
    <w:p w14:paraId="2D238D12">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6.4.甲方在乙方按合同规定交货或安装、调试后，无正当理由而拖延接收、验收或拒绝接收、验收的，应承担因此给乙方造成的直接损失。</w:t>
      </w:r>
    </w:p>
    <w:p w14:paraId="797D129B">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6.5.甲方对货物进行检查验收合格后，应当收取发票并在《交货验收单》上签署验收意见及加盖单位印章。</w:t>
      </w:r>
    </w:p>
    <w:p w14:paraId="5C19F0D9">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6.6.大型或者复杂的货物采购项目，甲方可以邀请国家认可的质量检测机构参加验收工作，并由其出具验收报告单。</w:t>
      </w:r>
    </w:p>
    <w:p w14:paraId="57408925">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6.7.乙方提供的进口产品，乙方应出示中华人民共和国进出口商品检验部门出具的检验证书(竞争性磋商文件“技术规格、参数及要求”另有约定的除外)。</w:t>
      </w:r>
    </w:p>
    <w:p w14:paraId="7C19909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6" w:name="_Toc4046"/>
      <w:bookmarkStart w:id="157" w:name="_Toc158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7.货物包装要求</w:t>
      </w:r>
      <w:bookmarkEnd w:id="156"/>
      <w:bookmarkEnd w:id="157"/>
    </w:p>
    <w:p w14:paraId="1A38955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7.1.乙方所出售的全部货物均应按标准保护措施进行包装，包装应适应于远距离运输、防潮、防震、防锈和防野蛮装卸等要求，以确保货物安全无损地运抵指定现场。由于包装防护措施不妥而引起的损坏、丢失由乙方负责。</w:t>
      </w:r>
    </w:p>
    <w:p w14:paraId="3B90FBD4">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7.2.每一个包装箱内应附一份详细装箱单、质量证书和保修保养证书。</w:t>
      </w:r>
    </w:p>
    <w:p w14:paraId="73C785E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58" w:name="_Toc1438"/>
      <w:bookmarkStart w:id="159" w:name="_Toc1498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8.运输和保险</w:t>
      </w:r>
      <w:bookmarkEnd w:id="158"/>
      <w:bookmarkEnd w:id="159"/>
    </w:p>
    <w:p w14:paraId="7E50BFE4">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8.1.乙方负责办理将货物运抵交货地点的一切运输和保险事项，相关费用应包括在合同总价中。</w:t>
      </w:r>
    </w:p>
    <w:p w14:paraId="6469CA4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0" w:name="_Toc30612"/>
      <w:bookmarkStart w:id="161" w:name="_Toc7781"/>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9.质量标准和保证</w:t>
      </w:r>
      <w:bookmarkEnd w:id="160"/>
      <w:bookmarkEnd w:id="161"/>
    </w:p>
    <w:p w14:paraId="4DE5C83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9.1.质量标准</w:t>
      </w:r>
    </w:p>
    <w:p w14:paraId="4C2F632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(1)本合同下交付的货物应符合“技术规格、参数与要求”所述的标准。如果没有提及适用标准，则应符合中华人民共和国有关机构发布的最新版本的标准。</w:t>
      </w:r>
    </w:p>
    <w:p w14:paraId="15D5CEF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(2)采用中华人民共和国法定计量单位。</w:t>
      </w:r>
    </w:p>
    <w:p w14:paraId="7E23D11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rightChars="0" w:firstLine="560" w:firstLineChars="200"/>
        <w:textAlignment w:val="baseline"/>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(3)乙方所出售的货物还应符合国家有关安全、环保、卫生之规定。</w:t>
      </w:r>
    </w:p>
    <w:p w14:paraId="598151C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9.2.保证</w:t>
      </w:r>
    </w:p>
    <w:p w14:paraId="228FD4D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竞争性磋商文件规定或乙方承诺(两者以较长的为准)的质量保证期内，本保证保持有效。</w:t>
      </w:r>
    </w:p>
    <w:p w14:paraId="6EC005F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(2)在质量保证期内所发现的缺陷，甲方应尽快以书面形式通知乙方。</w:t>
      </w:r>
    </w:p>
    <w:p w14:paraId="4E1B22A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(3)乙方收到通知后应在竞争性磋商文件规定或乙方承诺(两者以较长的为准)的响应时间内以合理的速度免费维修或更换有缺陷的货物或部件。</w:t>
      </w:r>
    </w:p>
    <w:p w14:paraId="3BBB1A8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(4)在质量保证期内，如果货物的质量或规格与合同不符，或证实货物是有缺陷的，包括潜在的缺陷或使用不符合要求的材料等，甲方可以根据本合同第15.1条规定以书面形式向乙方提出补救措施或索赔。</w:t>
      </w:r>
    </w:p>
    <w:p w14:paraId="372A334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(5)乙方在约定的时间内未能弥补缺陷，甲方可采取必要的补救措施，但其风险和费用将由乙方承担，甲方根据合同规定对乙方行使的其他权利不受影响。</w:t>
      </w:r>
    </w:p>
    <w:p w14:paraId="105FF5C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(6)乙方向甲方缴纳5%的质量保证金</w:t>
      </w:r>
    </w:p>
    <w:p w14:paraId="69C479F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2" w:name="_Toc24148"/>
      <w:bookmarkStart w:id="163" w:name="_Toc2108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10.权利瑕疵担保</w:t>
      </w:r>
      <w:bookmarkEnd w:id="162"/>
      <w:bookmarkEnd w:id="163"/>
    </w:p>
    <w:p w14:paraId="6F13518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10.1.乙方保证对其出售的货物享有合法的权利。</w:t>
      </w:r>
    </w:p>
    <w:p w14:paraId="301138C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10.2.乙方保证在其出售的货物上不存在任何未曾向甲方透露的担保物权，如抵押权、质押权、留置权等。</w:t>
      </w:r>
    </w:p>
    <w:p w14:paraId="7E5A713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10.3.如甲方使用该货物构成上述侵权的，则由乙方承担全部责任。</w:t>
      </w:r>
    </w:p>
    <w:p w14:paraId="5F8F943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4" w:name="_Toc13505"/>
      <w:bookmarkStart w:id="165" w:name="_Toc3067"/>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11.知识产权保护</w:t>
      </w:r>
      <w:bookmarkEnd w:id="164"/>
      <w:bookmarkEnd w:id="165"/>
    </w:p>
    <w:p w14:paraId="280CD54C">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11.1.乙方对其所销售的货物应当享有知识产权或经权利人合法授权，保证没有侵犯任何第三人的知识产权和商业秘密等权利。</w:t>
      </w:r>
    </w:p>
    <w:p w14:paraId="28EA1E1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11.2.甲方使用乙方提供的货物对第三人构成侵权的，应当由乙方承担全部法律责任，给甲方造成损害的，乙方应当承担赔偿责任。</w:t>
      </w:r>
    </w:p>
    <w:p w14:paraId="0B63F3AA">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11.3.甲方委托乙方开发的产品，甲方享有知识产权，未经甲方许可不得转让任何第三人。</w:t>
      </w:r>
    </w:p>
    <w:p w14:paraId="3654E6B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6" w:name="_Toc26402"/>
      <w:bookmarkStart w:id="167" w:name="_Toc2739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12.保密义务</w:t>
      </w:r>
      <w:bookmarkEnd w:id="166"/>
      <w:bookmarkEnd w:id="167"/>
    </w:p>
    <w:p w14:paraId="5801A80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12.1.甲、乙双方在采购和履行合同过程中所获悉的对方属于保密的内容，双方均有保密义务</w:t>
      </w:r>
    </w:p>
    <w:p w14:paraId="573D480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68" w:name="_Toc1534"/>
      <w:bookmarkStart w:id="169" w:name="_Toc1151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13.合同价款支付</w:t>
      </w:r>
      <w:bookmarkEnd w:id="168"/>
      <w:bookmarkEnd w:id="169"/>
    </w:p>
    <w:p w14:paraId="2C874FC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13.1.验收合格后，乙方出具正规发票给甲方，凭甲方开具的《政府采购合同验收报告单》办理合同价款结算手续。</w:t>
      </w:r>
    </w:p>
    <w:p w14:paraId="1190F3D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13.2.支付合同价款时，一律不向乙方以外的任何第三方办理付款手续。开户行和帐号以签订的政府采购合同为准，如果乙方要求变更，则乙方必须提供加盖了财务专用章、法定代表人签字的证明文件，报经甲方审查同意。</w:t>
      </w:r>
    </w:p>
    <w:p w14:paraId="59038B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0" w:name="_Toc32611"/>
      <w:bookmarkStart w:id="171" w:name="_Toc1770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14.伴随服务</w:t>
      </w:r>
      <w:bookmarkEnd w:id="170"/>
      <w:bookmarkEnd w:id="171"/>
    </w:p>
    <w:p w14:paraId="53E21FA4">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14.1.乙方应向甲方提交所提供货物的技术文件，包括相应的中文技术文件，如：产品目录、图纸、操作手册、使用说明、维护手册或服务指南。这些文件应包装好随同货物一起发运。</w:t>
      </w:r>
    </w:p>
    <w:p w14:paraId="4DA2B91D">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14.2.乙方还应提供下列服务：</w:t>
      </w:r>
    </w:p>
    <w:p w14:paraId="0BE5F107">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(1)货物的现场移动、安装、调试、启动监督及技术支持；</w:t>
      </w:r>
    </w:p>
    <w:p w14:paraId="0598D38D">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(2)提供货物组装和维修所需的专用工具和辅助材料；</w:t>
      </w:r>
    </w:p>
    <w:p w14:paraId="27EC0B1A">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(3)在合同各方商定的一定期限内对所有的货物实施运行监督、维修，但前提条件是该服务并不能免除乙方在质量保证期内所承担的义务；</w:t>
      </w:r>
    </w:p>
    <w:p w14:paraId="742B852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(4)在制造商或项目现场就货物的安装、启动、运营、维护对甲方操作人员进行培训。</w:t>
      </w:r>
    </w:p>
    <w:p w14:paraId="206EA765">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14.3.乙方提供的伴随服务的费用应包含在合同价款中，甲方不再另行支付。</w:t>
      </w:r>
    </w:p>
    <w:p w14:paraId="5948FD8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2" w:name="_Toc12462"/>
      <w:bookmarkStart w:id="173" w:name="_Toc2700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15.违约责任</w:t>
      </w:r>
      <w:bookmarkEnd w:id="172"/>
      <w:bookmarkEnd w:id="173"/>
    </w:p>
    <w:p w14:paraId="623A18E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15.1.质量瑕疵的补救措施和索赔</w:t>
      </w:r>
    </w:p>
    <w:p w14:paraId="6E88A69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27C42211">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①乙方同意退货并将货款退还给甲方，由此发生的一切费用和损失由乙方承担。</w:t>
      </w:r>
    </w:p>
    <w:p w14:paraId="1ED3A71E">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②根据货物的质量状况以及甲方所遭受的损失，经过甲乙双方商定降低货物的价格。</w:t>
      </w:r>
    </w:p>
    <w:p w14:paraId="4E3A3F7B">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62966238">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466B7A8B">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15.2.迟延交货的违约责任</w:t>
      </w:r>
    </w:p>
    <w:p w14:paraId="4C177BC6">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5308BBFE">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除本合同第20条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3B77BEC2">
      <w:pPr>
        <w:keepNext w:val="0"/>
        <w:keepLines w:val="0"/>
        <w:pageBreakBefore w:val="0"/>
        <w:widowControl w:val="0"/>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13BA74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4" w:name="_Toc24527"/>
      <w:bookmarkStart w:id="175" w:name="_Toc989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16.合同的变更</w:t>
      </w:r>
      <w:bookmarkEnd w:id="174"/>
      <w:bookmarkEnd w:id="175"/>
    </w:p>
    <w:p w14:paraId="67C8DFA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16.1.在合同履行过程中，甲、乙双方可就合同履行的时间、地点和方式等协商进行变更。协商一致后，双方应签订书面的补充协议。</w:t>
      </w:r>
    </w:p>
    <w:p w14:paraId="50E3AE6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16.2.在不改变合同其他条款的前提下，甲方有权在合同价款百分之十的范围内追加与合同标的相同的货物或服务，并就此与乙方签订补充合同，乙方不得拒绝。</w:t>
      </w:r>
    </w:p>
    <w:p w14:paraId="2511C014">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16.3.除双方签署书面协议，并成为合同不可分割的一部分外，本合同条件不得有任何变更。</w:t>
      </w:r>
    </w:p>
    <w:p w14:paraId="0788B165">
      <w:pPr>
        <w:keepNext w:val="0"/>
        <w:keepLines w:val="0"/>
        <w:pageBreakBefore w:val="0"/>
        <w:widowControl/>
        <w:wordWrap/>
        <w:overflowPunct/>
        <w:topLinePunct w:val="0"/>
        <w:bidi w:val="0"/>
        <w:spacing w:beforeAutospacing="0" w:afterAutospacing="0" w:line="360" w:lineRule="auto"/>
        <w:ind w:left="0" w:right="0"/>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6" w:name="_Toc30896"/>
      <w:bookmarkStart w:id="177" w:name="_Toc23839"/>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17.合同中止与终止</w:t>
      </w:r>
      <w:bookmarkEnd w:id="176"/>
      <w:bookmarkEnd w:id="177"/>
    </w:p>
    <w:p w14:paraId="29967F1F">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17.1.合同的中止</w:t>
      </w:r>
    </w:p>
    <w:p w14:paraId="48DFF430">
      <w:pPr>
        <w:keepNext w:val="0"/>
        <w:keepLines w:val="0"/>
        <w:pageBreakBefore w:val="0"/>
        <w:widowControl/>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(1)合同在履行过程中，因采购计划调整，甲方可以要求中止履行，待计划确定后继续履行；</w:t>
      </w:r>
    </w:p>
    <w:p w14:paraId="5DFAE89C">
      <w:pPr>
        <w:keepNext w:val="0"/>
        <w:keepLines w:val="0"/>
        <w:pageBreakBefore w:val="0"/>
        <w:widowControl/>
        <w:wordWrap/>
        <w:overflowPunct/>
        <w:topLinePunct w:val="0"/>
        <w:bidi w:val="0"/>
        <w:spacing w:beforeAutospacing="0" w:afterAutospacing="0" w:line="360" w:lineRule="auto"/>
        <w:ind w:left="0" w:right="0" w:firstLine="840" w:firstLineChars="3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(2)合同履行过程中因供应商就采购过程或结果提起投诉的，甲方认为有必要或财政部门责令中止的，应当中止合同的履行。</w:t>
      </w:r>
    </w:p>
    <w:p w14:paraId="104F6DF3">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17.2.合同的终止</w:t>
      </w:r>
    </w:p>
    <w:p w14:paraId="20F1E49C">
      <w:pPr>
        <w:keepNext w:val="0"/>
        <w:keepLines w:val="0"/>
        <w:pageBreakBefore w:val="0"/>
        <w:widowControl/>
        <w:wordWrap/>
        <w:overflowPunct/>
        <w:topLinePunct w:val="0"/>
        <w:bidi w:val="0"/>
        <w:spacing w:beforeAutospacing="0" w:afterAutospacing="0" w:line="360" w:lineRule="auto"/>
        <w:ind w:left="0" w:right="0" w:firstLine="840" w:firstLineChars="300"/>
        <w:outlineLvl w:val="4"/>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(1)合同因有效期限届满而终止；</w:t>
      </w:r>
    </w:p>
    <w:p w14:paraId="0E47334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(2)乙方未能依照本合同约定条件履行合同，已构成根本性违约的，甲方有权终止本合同，并追究乙方的违约责任。</w:t>
      </w:r>
    </w:p>
    <w:p w14:paraId="164E74F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(3)如果乙方丧失履约能力或被宣告破产，甲方可在任何时候以书面形式通知乙方终止合同而不给乙方补偿。</w:t>
      </w:r>
    </w:p>
    <w:p w14:paraId="1F937FA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(4)如果乙方在履行合同过程中有不正当竞争行为，甲方有权解除合同，并按《中华人民共和国反不正当竞争法》规定由有关部门追究其法律责任。</w:t>
      </w:r>
    </w:p>
    <w:p w14:paraId="23106A7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(5)如果合同的履行将损害国家利益或社会公共利益，甲方有权终止合同的履行，给乙方造成损失的予以相应补偿。</w:t>
      </w:r>
    </w:p>
    <w:p w14:paraId="67A170F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78" w:name="_Toc27340"/>
      <w:bookmarkStart w:id="179" w:name="_Toc11614"/>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18.合同转让和分包</w:t>
      </w:r>
      <w:bookmarkEnd w:id="178"/>
      <w:bookmarkEnd w:id="179"/>
    </w:p>
    <w:p w14:paraId="5CEE0519">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18.1.乙方不得以任何形式将合同转包。</w:t>
      </w:r>
    </w:p>
    <w:p w14:paraId="2B16B7E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18.2.乙方未在投标文件中说明，不得将合同的非主体、非关键性工作分包给他人。</w:t>
      </w:r>
    </w:p>
    <w:p w14:paraId="708EF02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18.3.根据政府采购支持中小企业发展政策规定，经甲方同意，获得政府采购合同的大型企业可依法向中小企业分包。</w:t>
      </w:r>
    </w:p>
    <w:p w14:paraId="73B30B03">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0" w:name="_Toc30867"/>
      <w:bookmarkStart w:id="181" w:name="_Toc32708"/>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19.不可抗力</w:t>
      </w:r>
      <w:bookmarkEnd w:id="180"/>
      <w:bookmarkEnd w:id="181"/>
    </w:p>
    <w:p w14:paraId="69065C2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19.1.不可抗力是指合同双方不可预见、不可避免、不可克服的自然灾害和社会事件。</w:t>
      </w:r>
    </w:p>
    <w:p w14:paraId="7F7944C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19.2.任何一方对由于不可抗力造成的部分或全部不能履行合同不承担违约责任。但迟延履行后发生不可抗力的，不能免除责任。</w:t>
      </w:r>
    </w:p>
    <w:p w14:paraId="5E21689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19.3.遇有不可抗力的一方，应在三日内将事件的情况以书面形式通知另一方，并在事件发生后十日内，向另一方提交合同不能履行或部分不能履行或需要延期履行理由的报告。</w:t>
      </w:r>
    </w:p>
    <w:p w14:paraId="65193E6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2" w:name="_Toc26020"/>
      <w:bookmarkStart w:id="183" w:name="_Toc2113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20.解决争议的方法</w:t>
      </w:r>
      <w:bookmarkEnd w:id="182"/>
      <w:bookmarkEnd w:id="183"/>
    </w:p>
    <w:p w14:paraId="3A6A0B6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0" w:right="0" w:firstLine="560" w:firstLineChars="200"/>
        <w:textAlignment w:val="baseline"/>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20.1.合同各方应通过友好协商，解决在执行合同过程中所发生的或与合同有关的一切争端。如从协商开始后十日内仍不能解决，可以向财政部门提请调解。</w:t>
      </w:r>
    </w:p>
    <w:p w14:paraId="5E2AFEBA">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20.2.调解不成可以按下列方式之一提起仲裁或诉讼：</w:t>
      </w:r>
    </w:p>
    <w:p w14:paraId="66502A67">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(1)向甲方所在地仲裁机构提起仲裁；</w:t>
      </w:r>
    </w:p>
    <w:p w14:paraId="195CD489">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(2)向甲方所在地人民法院提起诉讼。</w:t>
      </w:r>
    </w:p>
    <w:p w14:paraId="5A17033C">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20.3.如仲裁或诉讼事项不影响合同其它部分的履行，则在仲裁或诉讼期间，除正在进行仲裁或诉讼的部分外，合同的其它部分应继续执行。</w:t>
      </w:r>
    </w:p>
    <w:p w14:paraId="3FF4BD18">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4" w:name="_Toc21265"/>
      <w:bookmarkStart w:id="185" w:name="_Toc516"/>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21.法律适用</w:t>
      </w:r>
      <w:bookmarkEnd w:id="184"/>
      <w:bookmarkEnd w:id="185"/>
    </w:p>
    <w:p w14:paraId="0C1FAA2F">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21.1.本合同适用中华人民共和国现行法律、行政法规和规章，如合同条款与法律、行政法规和规章不一致的，按照法律、行政法规和规章修改本合同。</w:t>
      </w:r>
    </w:p>
    <w:p w14:paraId="0CAFAE0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6" w:name="_Toc19167"/>
      <w:bookmarkStart w:id="187" w:name="_Toc9550"/>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22.通知</w:t>
      </w:r>
      <w:bookmarkEnd w:id="186"/>
      <w:bookmarkEnd w:id="187"/>
    </w:p>
    <w:p w14:paraId="5ACE0769">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22.1.本合同一方给另一方的通知均应采用书面形式，传真或快递送到对方的地址和办理签收手续。</w:t>
      </w:r>
    </w:p>
    <w:p w14:paraId="295A69A7">
      <w:pPr>
        <w:keepNext w:val="0"/>
        <w:keepLines w:val="0"/>
        <w:pageBreakBefore w:val="0"/>
        <w:widowControl/>
        <w:wordWrap/>
        <w:overflowPunct/>
        <w:topLinePunct w:val="0"/>
        <w:bidi w:val="0"/>
        <w:spacing w:beforeAutospacing="0" w:afterAutospacing="0" w:line="360" w:lineRule="auto"/>
        <w:ind w:left="0" w:righ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22.2.通知以送到之日或通知书中规定的生效之日起生效，两者中以较迟之日为准。</w:t>
      </w:r>
    </w:p>
    <w:p w14:paraId="1535D5DD">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88" w:name="_Toc27373"/>
      <w:bookmarkStart w:id="189" w:name="_Toc1879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23.合同生效</w:t>
      </w:r>
      <w:bookmarkEnd w:id="188"/>
      <w:bookmarkEnd w:id="189"/>
    </w:p>
    <w:p w14:paraId="756EBE80">
      <w:pPr>
        <w:keepNext w:val="0"/>
        <w:keepLines w:val="0"/>
        <w:pageBreakBefore w:val="0"/>
        <w:widowControl/>
        <w:wordWrap/>
        <w:overflowPunct/>
        <w:topLinePunct w:val="0"/>
        <w:bidi w:val="0"/>
        <w:spacing w:beforeAutospacing="0" w:afterAutospacing="0" w:line="360" w:lineRule="auto"/>
        <w:ind w:left="0" w:right="0" w:firstLine="560" w:firstLineChars="200"/>
        <w:outlineLvl w:val="3"/>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23.1.本合同在甲乙双方共同签字盖章后生效。</w:t>
      </w:r>
    </w:p>
    <w:p w14:paraId="7205C19B">
      <w:pP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190" w:name="_Toc7467"/>
      <w:bookmarkStart w:id="191" w:name="_Toc32330"/>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br w:type="page"/>
      </w:r>
    </w:p>
    <w:p w14:paraId="440BD28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outlineLvl w:val="1"/>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pPr>
      <w:bookmarkStart w:id="192" w:name="_Toc31664"/>
      <w:r>
        <w:rPr>
          <w:rFonts w:hint="eastAsia" w:asciiTheme="minorEastAsia" w:hAnsiTheme="minorEastAsia" w:eastAsiaTheme="minorEastAsia" w:cstheme="minorEastAsia"/>
          <w:b/>
          <w:bCs/>
          <w:i w:val="0"/>
          <w:iCs w:val="0"/>
          <w:caps w:val="0"/>
          <w:snapToGrid/>
          <w:color w:val="000000"/>
          <w:spacing w:val="0"/>
          <w:kern w:val="0"/>
          <w:position w:val="0"/>
          <w:sz w:val="32"/>
          <w:szCs w:val="32"/>
          <w:lang w:val="en-US" w:eastAsia="zh-CN" w:bidi="ar"/>
        </w:rPr>
        <w:t>二、政府采购合同</w:t>
      </w:r>
      <w:bookmarkEnd w:id="190"/>
      <w:bookmarkEnd w:id="191"/>
      <w:bookmarkEnd w:id="192"/>
    </w:p>
    <w:p w14:paraId="6E3A859B">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招标人(全称)：(甲方)</w:t>
      </w:r>
    </w:p>
    <w:p w14:paraId="4EEB0011">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供应商(全称)：(乙方)</w:t>
      </w:r>
    </w:p>
    <w:p w14:paraId="13FB72F4">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为了保护甲、乙双方合法权益，根据《中华人民共和国</w:t>
      </w:r>
      <w:r>
        <w:rPr>
          <w:rFonts w:hint="eastAsia" w:asciiTheme="minorEastAsia" w:hAnsiTheme="minorEastAsia" w:eastAsiaTheme="minorEastAsia" w:cstheme="minorEastAsia"/>
          <w:spacing w:val="0"/>
          <w:position w:val="0"/>
          <w:sz w:val="28"/>
          <w:szCs w:val="28"/>
          <w:lang w:val="en-US" w:eastAsia="zh-CN"/>
        </w:rPr>
        <w:t>民法典</w:t>
      </w:r>
      <w:r>
        <w:rPr>
          <w:rFonts w:hint="eastAsia" w:asciiTheme="minorEastAsia" w:hAnsiTheme="minorEastAsia" w:eastAsiaTheme="minorEastAsia" w:cstheme="minorEastAsia"/>
          <w:spacing w:val="0"/>
          <w:position w:val="0"/>
          <w:sz w:val="28"/>
          <w:szCs w:val="28"/>
        </w:rPr>
        <w:t>》、《中华人民共和国政府采购法》及其他有关法律、法规、规章，双方签订本合同。</w:t>
      </w:r>
    </w:p>
    <w:p w14:paraId="7A1D5DC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93" w:name="_Toc3703"/>
      <w:bookmarkStart w:id="194" w:name="_Toc32632"/>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1.合同标的及金额</w:t>
      </w:r>
      <w:bookmarkEnd w:id="193"/>
      <w:bookmarkEnd w:id="194"/>
    </w:p>
    <w:p w14:paraId="01B7663D">
      <w:pPr>
        <w:pStyle w:val="17"/>
        <w:pageBreakBefore w:val="0"/>
        <w:numPr>
          <w:ilvl w:val="0"/>
          <w:numId w:val="0"/>
        </w:numPr>
        <w:wordWrap/>
        <w:overflowPunct/>
        <w:topLinePunct w:val="0"/>
        <w:bidi w:val="0"/>
        <w:spacing w:beforeAutospacing="0" w:after="0" w:afterAutospacing="0"/>
        <w:rPr>
          <w:rFonts w:hint="eastAsia" w:asciiTheme="minorEastAsia" w:hAnsiTheme="minorEastAsia" w:eastAsiaTheme="minorEastAsia" w:cstheme="minorEastAsia"/>
          <w:spacing w:val="0"/>
          <w:position w:val="0"/>
          <w:lang w:val="en-US" w:eastAsia="zh-CN"/>
        </w:rPr>
      </w:pPr>
    </w:p>
    <w:tbl>
      <w:tblPr>
        <w:tblStyle w:val="35"/>
        <w:tblW w:w="8055" w:type="dxa"/>
        <w:tblInd w:w="3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149"/>
        <w:gridCol w:w="1149"/>
        <w:gridCol w:w="1148"/>
        <w:gridCol w:w="1149"/>
        <w:gridCol w:w="1149"/>
        <w:gridCol w:w="1158"/>
      </w:tblGrid>
      <w:tr w14:paraId="57061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153" w:type="dxa"/>
            <w:vAlign w:val="center"/>
          </w:tcPr>
          <w:p w14:paraId="3BAB42AF">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序号</w:t>
            </w:r>
          </w:p>
        </w:tc>
        <w:tc>
          <w:tcPr>
            <w:tcW w:w="1149" w:type="dxa"/>
            <w:vAlign w:val="center"/>
          </w:tcPr>
          <w:p w14:paraId="0E3A1C54">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标的名称</w:t>
            </w:r>
          </w:p>
        </w:tc>
        <w:tc>
          <w:tcPr>
            <w:tcW w:w="1149" w:type="dxa"/>
            <w:vAlign w:val="center"/>
          </w:tcPr>
          <w:p w14:paraId="7728DD97">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型号规格</w:t>
            </w:r>
          </w:p>
        </w:tc>
        <w:tc>
          <w:tcPr>
            <w:tcW w:w="1148" w:type="dxa"/>
            <w:vAlign w:val="center"/>
          </w:tcPr>
          <w:p w14:paraId="02B44988">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数量</w:t>
            </w:r>
          </w:p>
        </w:tc>
        <w:tc>
          <w:tcPr>
            <w:tcW w:w="1149" w:type="dxa"/>
            <w:vAlign w:val="center"/>
          </w:tcPr>
          <w:p w14:paraId="28DD4448">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单价</w:t>
            </w:r>
          </w:p>
        </w:tc>
        <w:tc>
          <w:tcPr>
            <w:tcW w:w="1149" w:type="dxa"/>
            <w:vAlign w:val="center"/>
          </w:tcPr>
          <w:p w14:paraId="368F7D20">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总价</w:t>
            </w:r>
          </w:p>
        </w:tc>
        <w:tc>
          <w:tcPr>
            <w:tcW w:w="1158" w:type="dxa"/>
            <w:vAlign w:val="center"/>
          </w:tcPr>
          <w:p w14:paraId="246D3027">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备注</w:t>
            </w:r>
          </w:p>
        </w:tc>
      </w:tr>
      <w:tr w14:paraId="0B86B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153" w:type="dxa"/>
            <w:vAlign w:val="center"/>
          </w:tcPr>
          <w:p w14:paraId="7B403DED">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653436EA">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3E9B8157">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8" w:type="dxa"/>
            <w:vAlign w:val="center"/>
          </w:tcPr>
          <w:p w14:paraId="61E32F60">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327DEFD5">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49" w:type="dxa"/>
            <w:vAlign w:val="center"/>
          </w:tcPr>
          <w:p w14:paraId="5FE17598">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c>
          <w:tcPr>
            <w:tcW w:w="1158" w:type="dxa"/>
            <w:vAlign w:val="center"/>
          </w:tcPr>
          <w:p w14:paraId="14EDC2FA">
            <w:pPr>
              <w:keepNext w:val="0"/>
              <w:keepLines w:val="0"/>
              <w:pageBreakBefore w:val="0"/>
              <w:widowControl/>
              <w:wordWrap/>
              <w:overflowPunct/>
              <w:topLinePunct w:val="0"/>
              <w:bidi w:val="0"/>
              <w:spacing w:beforeAutospacing="0" w:afterAutospacing="0" w:line="360" w:lineRule="auto"/>
              <w:ind w:left="0" w:leftChars="0" w:right="0" w:rightChars="0" w:firstLine="0" w:firstLineChars="0"/>
              <w:jc w:val="center"/>
              <w:rPr>
                <w:rFonts w:hint="eastAsia" w:asciiTheme="minorEastAsia" w:hAnsiTheme="minorEastAsia" w:eastAsiaTheme="minorEastAsia" w:cstheme="minorEastAsia"/>
                <w:spacing w:val="0"/>
                <w:position w:val="0"/>
                <w:sz w:val="24"/>
                <w:szCs w:val="24"/>
              </w:rPr>
            </w:pPr>
          </w:p>
        </w:tc>
      </w:tr>
      <w:tr w14:paraId="05C5C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055" w:type="dxa"/>
            <w:gridSpan w:val="7"/>
            <w:vAlign w:val="top"/>
          </w:tcPr>
          <w:p w14:paraId="7B77207A">
            <w:pPr>
              <w:keepNext w:val="0"/>
              <w:keepLines w:val="0"/>
              <w:pageBreakBefore w:val="0"/>
              <w:widowControl/>
              <w:wordWrap/>
              <w:overflowPunct/>
              <w:topLinePunct w:val="0"/>
              <w:bidi w:val="0"/>
              <w:spacing w:beforeAutospacing="0" w:afterAutospacing="0" w:line="360" w:lineRule="auto"/>
              <w:ind w:left="0"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合同金额小写：</w:t>
            </w:r>
          </w:p>
          <w:p w14:paraId="20AA402C">
            <w:pPr>
              <w:keepNext w:val="0"/>
              <w:keepLines w:val="0"/>
              <w:pageBreakBefore w:val="0"/>
              <w:widowControl/>
              <w:wordWrap/>
              <w:overflowPunct/>
              <w:topLinePunct w:val="0"/>
              <w:bidi w:val="0"/>
              <w:spacing w:beforeAutospacing="0" w:afterAutospacing="0" w:line="360" w:lineRule="auto"/>
              <w:ind w:left="0" w:firstLine="480" w:firstLineChars="200"/>
              <w:rPr>
                <w:rFonts w:hint="eastAsia" w:asciiTheme="minorEastAsia" w:hAnsiTheme="minorEastAsia" w:eastAsiaTheme="minorEastAsia" w:cstheme="minorEastAsia"/>
                <w:spacing w:val="0"/>
                <w:position w:val="0"/>
                <w:sz w:val="24"/>
                <w:szCs w:val="24"/>
                <w:lang w:eastAsia="zh-CN"/>
              </w:rPr>
            </w:pPr>
            <w:r>
              <w:rPr>
                <w:rFonts w:hint="eastAsia" w:asciiTheme="minorEastAsia" w:hAnsiTheme="minorEastAsia" w:eastAsiaTheme="minorEastAsia" w:cstheme="minorEastAsia"/>
                <w:spacing w:val="0"/>
                <w:position w:val="0"/>
                <w:sz w:val="24"/>
                <w:szCs w:val="24"/>
              </w:rPr>
              <w:t>大写：</w:t>
            </w:r>
          </w:p>
        </w:tc>
      </w:tr>
    </w:tbl>
    <w:p w14:paraId="5FACE2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9"/>
        <w:rPr>
          <w:rFonts w:hint="eastAsia" w:asciiTheme="minorEastAsia" w:hAnsiTheme="minorEastAsia" w:eastAsiaTheme="minorEastAsia" w:cstheme="minorEastAsia"/>
          <w:b/>
          <w:bCs/>
          <w:i w:val="0"/>
          <w:iCs w:val="0"/>
          <w:caps w:val="0"/>
          <w:snapToGrid/>
          <w:color w:val="000000"/>
          <w:spacing w:val="0"/>
          <w:kern w:val="0"/>
          <w:position w:val="0"/>
          <w:sz w:val="24"/>
          <w:szCs w:val="24"/>
          <w:lang w:val="en-US" w:eastAsia="zh-CN" w:bidi="ar"/>
        </w:rPr>
      </w:pPr>
      <w:bookmarkStart w:id="195" w:name="_Toc21071"/>
    </w:p>
    <w:p w14:paraId="7B1D30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2.履行合同的时间、地点及方式：由甲乙双方协商确定</w:t>
      </w:r>
    </w:p>
    <w:p w14:paraId="6EAA52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3.付款方式：由甲乙双方协商确定</w:t>
      </w:r>
    </w:p>
    <w:p w14:paraId="1D41E3C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360" w:lineRule="auto"/>
        <w:ind w:left="420" w:leftChars="0" w:right="0" w:rightChars="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4.解决合同纠纷方式</w:t>
      </w:r>
      <w:bookmarkEnd w:id="195"/>
    </w:p>
    <w:p w14:paraId="7098F91C">
      <w:pPr>
        <w:keepNext w:val="0"/>
        <w:keepLines w:val="0"/>
        <w:pageBreakBefore w:val="0"/>
        <w:widowControl w:val="0"/>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首先通过双方协商解决，协商解决不成，则通过以下途径之一解决纠纷：</w:t>
      </w:r>
    </w:p>
    <w:p w14:paraId="2A7A86F8">
      <w:pPr>
        <w:keepNext w:val="0"/>
        <w:keepLines w:val="0"/>
        <w:pageBreakBefore w:val="0"/>
        <w:widowControl w:val="0"/>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□提请仲裁□向人民法院提起诉讼</w:t>
      </w:r>
    </w:p>
    <w:p w14:paraId="617A488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outlineLvl w:val="2"/>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bookmarkStart w:id="196" w:name="_Toc18736"/>
      <w:bookmarkStart w:id="197" w:name="_Toc32273"/>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t>5.组成合同的文件</w:t>
      </w:r>
      <w:bookmarkEnd w:id="196"/>
      <w:bookmarkEnd w:id="197"/>
    </w:p>
    <w:p w14:paraId="31864FC3">
      <w:pPr>
        <w:keepNext w:val="0"/>
        <w:keepLines w:val="0"/>
        <w:pageBreakBefore w:val="0"/>
        <w:widowControl/>
        <w:wordWrap/>
        <w:overflowPunct/>
        <w:topLinePunct w:val="0"/>
        <w:bidi w:val="0"/>
        <w:spacing w:beforeAutospacing="0" w:afterAutospacing="0" w:line="360" w:lineRule="auto"/>
        <w:ind w:left="0" w:right="-703" w:rightChars="-335"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合同由以下文件构成，如下述文件之间有任何抵触、矛盾或歧义，应按以下顺序解释：</w:t>
      </w:r>
    </w:p>
    <w:p w14:paraId="58B550D9">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(1)在采购或合同履行过程中乙方作出的承诺以及双方协商达成的变更或补充协议；</w:t>
      </w:r>
    </w:p>
    <w:p w14:paraId="0F963436">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(2)本合同协议书</w:t>
      </w:r>
    </w:p>
    <w:p w14:paraId="3386B1BB">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(3)中标通知书</w:t>
      </w:r>
    </w:p>
    <w:p w14:paraId="1C001BCB">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(4)合同格式条款</w:t>
      </w:r>
    </w:p>
    <w:p w14:paraId="6D2FF7BB">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(5)</w:t>
      </w:r>
      <w:r>
        <w:rPr>
          <w:rFonts w:hint="eastAsia" w:asciiTheme="minorEastAsia" w:hAnsiTheme="minorEastAsia" w:eastAsiaTheme="minorEastAsia" w:cstheme="minorEastAsia"/>
          <w:spacing w:val="0"/>
          <w:position w:val="0"/>
          <w:sz w:val="28"/>
          <w:szCs w:val="28"/>
          <w:lang w:val="en-US" w:eastAsia="zh-CN"/>
        </w:rPr>
        <w:t>响应</w:t>
      </w:r>
      <w:r>
        <w:rPr>
          <w:rFonts w:hint="eastAsia" w:asciiTheme="minorEastAsia" w:hAnsiTheme="minorEastAsia" w:eastAsiaTheme="minorEastAsia" w:cstheme="minorEastAsia"/>
          <w:spacing w:val="0"/>
          <w:position w:val="0"/>
          <w:sz w:val="28"/>
          <w:szCs w:val="28"/>
        </w:rPr>
        <w:t>文件</w:t>
      </w:r>
    </w:p>
    <w:p w14:paraId="447A6BAB">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(6)竞争性磋商文件</w:t>
      </w:r>
    </w:p>
    <w:p w14:paraId="17430769">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rPr>
      </w:pPr>
      <w:r>
        <w:rPr>
          <w:rFonts w:hint="eastAsia" w:asciiTheme="minorEastAsia" w:hAnsiTheme="minorEastAsia" w:eastAsiaTheme="minorEastAsia" w:cstheme="minorEastAsia"/>
          <w:spacing w:val="0"/>
          <w:position w:val="0"/>
          <w:sz w:val="28"/>
          <w:szCs w:val="28"/>
        </w:rPr>
        <w:t>(7)标准、规范及有关技术文件</w:t>
      </w:r>
    </w:p>
    <w:p w14:paraId="5240CA76">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u w:val="single"/>
        </w:rPr>
      </w:pPr>
      <w:r>
        <w:rPr>
          <w:rFonts w:hint="eastAsia" w:asciiTheme="minorEastAsia" w:hAnsiTheme="minorEastAsia" w:eastAsiaTheme="minorEastAsia" w:cstheme="minorEastAsia"/>
          <w:spacing w:val="0"/>
          <w:position w:val="0"/>
          <w:sz w:val="28"/>
          <w:szCs w:val="28"/>
        </w:rPr>
        <w:t>合同订立时间：</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354150E8">
      <w:pPr>
        <w:keepNext w:val="0"/>
        <w:keepLines w:val="0"/>
        <w:pageBreakBefore w:val="0"/>
        <w:widowControl/>
        <w:wordWrap/>
        <w:overflowPunct/>
        <w:topLinePunct w:val="0"/>
        <w:bidi w:val="0"/>
        <w:spacing w:beforeAutospacing="0" w:afterAutospacing="0" w:line="360" w:lineRule="auto"/>
        <w:ind w:left="0" w:firstLine="560" w:firstLineChars="200"/>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合同订立地点：</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6E83292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firstLine="281" w:firstLineChars="100"/>
        <w:textAlignment w:val="baseline"/>
        <w:rPr>
          <w:rFonts w:hint="eastAsia" w:asciiTheme="minorEastAsia" w:hAnsiTheme="minorEastAsia" w:eastAsiaTheme="minorEastAsia" w:cstheme="minorEastAsia"/>
          <w:b/>
          <w:bCs/>
          <w:spacing w:val="0"/>
          <w:position w:val="0"/>
          <w:sz w:val="28"/>
          <w:szCs w:val="28"/>
        </w:rPr>
      </w:pPr>
    </w:p>
    <w:p w14:paraId="6EA26A0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1" w:firstLineChars="100"/>
        <w:textAlignment w:val="baseline"/>
        <w:rPr>
          <w:rFonts w:hint="eastAsia" w:asciiTheme="minorEastAsia" w:hAnsiTheme="minorEastAsia" w:eastAsiaTheme="minorEastAsia" w:cstheme="minorEastAsia"/>
          <w:b/>
          <w:bCs/>
          <w:spacing w:val="0"/>
          <w:position w:val="0"/>
          <w:sz w:val="28"/>
          <w:szCs w:val="28"/>
        </w:rPr>
      </w:pPr>
      <w:r>
        <w:rPr>
          <w:rFonts w:hint="eastAsia" w:asciiTheme="minorEastAsia" w:hAnsiTheme="minorEastAsia" w:eastAsiaTheme="minorEastAsia" w:cstheme="minorEastAsia"/>
          <w:b/>
          <w:bCs/>
          <w:spacing w:val="0"/>
          <w:position w:val="0"/>
          <w:sz w:val="28"/>
          <w:szCs w:val="28"/>
        </w:rPr>
        <w:t>甲方：(公章)</w:t>
      </w:r>
      <w:r>
        <w:rPr>
          <w:rFonts w:hint="eastAsia" w:asciiTheme="minorEastAsia" w:hAnsiTheme="minorEastAsia" w:eastAsiaTheme="minorEastAsia" w:cstheme="minorEastAsia"/>
          <w:b/>
          <w:bCs/>
          <w:spacing w:val="0"/>
          <w:position w:val="0"/>
          <w:sz w:val="28"/>
          <w:szCs w:val="28"/>
          <w:lang w:val="en-US" w:eastAsia="zh-CN"/>
        </w:rPr>
        <w:t xml:space="preserve">                      </w:t>
      </w:r>
      <w:r>
        <w:rPr>
          <w:rFonts w:hint="eastAsia" w:asciiTheme="minorEastAsia" w:hAnsiTheme="minorEastAsia" w:eastAsiaTheme="minorEastAsia" w:cstheme="minorEastAsia"/>
          <w:b/>
          <w:bCs/>
          <w:spacing w:val="0"/>
          <w:position w:val="0"/>
          <w:sz w:val="28"/>
          <w:szCs w:val="28"/>
        </w:rPr>
        <w:t>乙方：(公章)</w:t>
      </w:r>
    </w:p>
    <w:p w14:paraId="7A5DDC0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lang w:val="en-US" w:eastAsia="zh-CN"/>
        </w:rPr>
      </w:pPr>
      <w:r>
        <w:rPr>
          <w:rFonts w:hint="eastAsia" w:asciiTheme="minorEastAsia" w:hAnsiTheme="minorEastAsia" w:eastAsiaTheme="minorEastAsia" w:cstheme="minorEastAsia"/>
          <w:spacing w:val="0"/>
          <w:position w:val="0"/>
          <w:sz w:val="28"/>
          <w:szCs w:val="28"/>
        </w:rPr>
        <w:t>法定代表人：</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法定代表人：</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2DE269E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b/>
          <w:bCs/>
          <w:spacing w:val="0"/>
          <w:position w:val="0"/>
          <w:sz w:val="28"/>
          <w:szCs w:val="28"/>
          <w:lang w:eastAsia="zh-CN"/>
        </w:rPr>
      </w:pPr>
      <w:r>
        <w:rPr>
          <w:rFonts w:hint="eastAsia" w:asciiTheme="minorEastAsia" w:hAnsiTheme="minorEastAsia" w:eastAsiaTheme="minorEastAsia" w:cstheme="minorEastAsia"/>
          <w:spacing w:val="0"/>
          <w:position w:val="0"/>
          <w:sz w:val="28"/>
          <w:szCs w:val="28"/>
        </w:rPr>
        <w:t>委托代理人：</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委托代理人：</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347EDE5F">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电</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话：</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电</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话：</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04A9590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lang w:eastAsia="zh-CN"/>
        </w:rPr>
      </w:pPr>
      <w:r>
        <w:rPr>
          <w:rFonts w:hint="eastAsia" w:asciiTheme="minorEastAsia" w:hAnsiTheme="minorEastAsia" w:eastAsiaTheme="minorEastAsia" w:cstheme="minorEastAsia"/>
          <w:spacing w:val="0"/>
          <w:position w:val="0"/>
          <w:sz w:val="28"/>
          <w:szCs w:val="28"/>
        </w:rPr>
        <w:t>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真：</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传</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真：</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002E599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0" w:firstLine="280" w:firstLineChars="100"/>
        <w:textAlignment w:val="baseline"/>
        <w:rPr>
          <w:rFonts w:hint="eastAsia" w:asciiTheme="minorEastAsia" w:hAnsiTheme="minorEastAsia" w:eastAsiaTheme="minorEastAsia" w:cstheme="minorEastAsia"/>
          <w:spacing w:val="0"/>
          <w:position w:val="0"/>
          <w:sz w:val="28"/>
          <w:szCs w:val="28"/>
          <w:u w:val="single"/>
          <w:lang w:val="en-US" w:eastAsia="zh-CN"/>
        </w:rPr>
      </w:pPr>
      <w:r>
        <w:rPr>
          <w:rFonts w:hint="eastAsia" w:asciiTheme="minorEastAsia" w:hAnsiTheme="minorEastAsia" w:eastAsiaTheme="minorEastAsia" w:cstheme="minorEastAsia"/>
          <w:spacing w:val="0"/>
          <w:position w:val="0"/>
          <w:sz w:val="28"/>
          <w:szCs w:val="28"/>
        </w:rPr>
        <w:t>账</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号：</w:t>
      </w:r>
      <w:r>
        <w:rPr>
          <w:rFonts w:hint="eastAsia" w:asciiTheme="minorEastAsia" w:hAnsiTheme="minorEastAsia" w:eastAsiaTheme="minorEastAsia" w:cstheme="minorEastAsia"/>
          <w:spacing w:val="0"/>
          <w:position w:val="0"/>
          <w:sz w:val="28"/>
          <w:szCs w:val="28"/>
          <w:u w:val="single"/>
          <w:lang w:val="en-US" w:eastAsia="zh-CN"/>
        </w:rPr>
        <w:t xml:space="preserve">                 </w:t>
      </w:r>
      <w:r>
        <w:rPr>
          <w:rFonts w:hint="eastAsia" w:asciiTheme="minorEastAsia" w:hAnsiTheme="minorEastAsia" w:eastAsiaTheme="minorEastAsia" w:cstheme="minorEastAsia"/>
          <w:spacing w:val="0"/>
          <w:position w:val="0"/>
          <w:sz w:val="28"/>
          <w:szCs w:val="28"/>
          <w:u w:val="none"/>
          <w:lang w:val="en-US" w:eastAsia="zh-CN"/>
        </w:rPr>
        <w:t xml:space="preserve">         </w:t>
      </w:r>
      <w:r>
        <w:rPr>
          <w:rFonts w:hint="eastAsia" w:asciiTheme="minorEastAsia" w:hAnsiTheme="minorEastAsia" w:eastAsiaTheme="minorEastAsia" w:cstheme="minorEastAsia"/>
          <w:spacing w:val="0"/>
          <w:position w:val="0"/>
          <w:sz w:val="28"/>
          <w:szCs w:val="28"/>
        </w:rPr>
        <w:t>账</w:t>
      </w:r>
      <w:r>
        <w:rPr>
          <w:rFonts w:hint="eastAsia" w:asciiTheme="minorEastAsia" w:hAnsiTheme="minorEastAsia" w:eastAsiaTheme="minorEastAsia" w:cstheme="minorEastAsia"/>
          <w:spacing w:val="0"/>
          <w:position w:val="0"/>
          <w:sz w:val="28"/>
          <w:szCs w:val="28"/>
          <w:lang w:val="en-US" w:eastAsia="zh-CN"/>
        </w:rPr>
        <w:t xml:space="preserve">  </w:t>
      </w:r>
      <w:r>
        <w:rPr>
          <w:rFonts w:hint="eastAsia" w:asciiTheme="minorEastAsia" w:hAnsiTheme="minorEastAsia" w:eastAsiaTheme="minorEastAsia" w:cstheme="minorEastAsia"/>
          <w:spacing w:val="0"/>
          <w:position w:val="0"/>
          <w:sz w:val="28"/>
          <w:szCs w:val="28"/>
        </w:rPr>
        <w:t>号：</w:t>
      </w:r>
      <w:r>
        <w:rPr>
          <w:rFonts w:hint="eastAsia" w:asciiTheme="minorEastAsia" w:hAnsiTheme="minorEastAsia" w:eastAsiaTheme="minorEastAsia" w:cstheme="minorEastAsia"/>
          <w:spacing w:val="0"/>
          <w:position w:val="0"/>
          <w:sz w:val="28"/>
          <w:szCs w:val="28"/>
          <w:u w:val="single"/>
          <w:lang w:val="en-US" w:eastAsia="zh-CN"/>
        </w:rPr>
        <w:t xml:space="preserve">                </w:t>
      </w:r>
    </w:p>
    <w:p w14:paraId="6D4A49AE">
      <w:pPr>
        <w:keepNext w:val="0"/>
        <w:keepLines w:val="0"/>
        <w:pageBreakBefore w:val="0"/>
        <w:widowControl/>
        <w:wordWrap/>
        <w:overflowPunct/>
        <w:topLinePunct w:val="0"/>
        <w:bidi w:val="0"/>
        <w:spacing w:beforeAutospacing="0" w:afterAutospacing="0" w:line="480" w:lineRule="auto"/>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pPr>
      <w:r>
        <w:rPr>
          <w:rFonts w:hint="eastAsia" w:asciiTheme="minorEastAsia" w:hAnsiTheme="minorEastAsia" w:eastAsiaTheme="minorEastAsia" w:cstheme="minorEastAsia"/>
          <w:b/>
          <w:bCs/>
          <w:i w:val="0"/>
          <w:iCs w:val="0"/>
          <w:caps w:val="0"/>
          <w:snapToGrid/>
          <w:color w:val="000000"/>
          <w:spacing w:val="0"/>
          <w:kern w:val="0"/>
          <w:position w:val="0"/>
          <w:sz w:val="28"/>
          <w:szCs w:val="28"/>
          <w:lang w:val="en-US" w:eastAsia="zh-CN" w:bidi="ar"/>
        </w:rPr>
        <w:br w:type="page"/>
      </w:r>
    </w:p>
    <w:p w14:paraId="2A7DC8E3">
      <w:pPr>
        <w:keepNext w:val="0"/>
        <w:keepLines w:val="0"/>
        <w:pageBreakBefore w:val="0"/>
        <w:widowControl/>
        <w:numPr>
          <w:ilvl w:val="0"/>
          <w:numId w:val="1"/>
        </w:numPr>
        <w:suppressLineNumbers w:val="0"/>
        <w:wordWrap/>
        <w:overflowPunct/>
        <w:topLinePunct w:val="0"/>
        <w:bidi w:val="0"/>
        <w:spacing w:before="0" w:beforeAutospacing="0" w:after="0" w:afterAutospacing="0" w:line="360" w:lineRule="auto"/>
        <w:ind w:left="0" w:right="0" w:firstLine="420"/>
        <w:jc w:val="center"/>
        <w:outlineLvl w:val="0"/>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pPr>
      <w:bookmarkStart w:id="198" w:name="_Toc8417"/>
      <w:bookmarkStart w:id="199" w:name="_Toc26275"/>
      <w:r>
        <w:rPr>
          <w:rFonts w:hint="eastAsia" w:asciiTheme="minorEastAsia" w:hAnsiTheme="minorEastAsia" w:eastAsiaTheme="minorEastAsia" w:cstheme="minorEastAsia"/>
          <w:b/>
          <w:bCs/>
          <w:i w:val="0"/>
          <w:iCs w:val="0"/>
          <w:caps w:val="0"/>
          <w:snapToGrid w:val="0"/>
          <w:color w:val="000000"/>
          <w:spacing w:val="0"/>
          <w:kern w:val="0"/>
          <w:sz w:val="44"/>
          <w:szCs w:val="44"/>
          <w:lang w:val="en-US" w:eastAsia="zh-CN" w:bidi="ar"/>
        </w:rPr>
        <w:t>投标文件格式</w:t>
      </w:r>
      <w:bookmarkEnd w:id="198"/>
      <w:bookmarkEnd w:id="199"/>
    </w:p>
    <w:p w14:paraId="6A2858AB">
      <w:pPr>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Theme="minorEastAsia" w:hAnsiTheme="minorEastAsia" w:eastAsiaTheme="minorEastAsia" w:cstheme="minorEastAsia"/>
          <w:b/>
          <w:snapToGrid/>
          <w:spacing w:val="0"/>
          <w:kern w:val="2"/>
          <w:position w:val="0"/>
          <w:sz w:val="36"/>
          <w:szCs w:val="36"/>
          <w:lang w:val="en-US" w:eastAsia="zh-CN" w:bidi="ar-SA"/>
        </w:rPr>
      </w:pPr>
      <w:bookmarkStart w:id="200" w:name="_Toc7408"/>
      <w:bookmarkStart w:id="201" w:name="_Toc1185"/>
      <w:bookmarkStart w:id="202" w:name="_Toc6311"/>
      <w:r>
        <w:rPr>
          <w:rFonts w:hint="eastAsia" w:asciiTheme="minorEastAsia" w:hAnsiTheme="minorEastAsia" w:eastAsiaTheme="minorEastAsia" w:cstheme="minorEastAsia"/>
          <w:b/>
          <w:snapToGrid/>
          <w:spacing w:val="0"/>
          <w:kern w:val="2"/>
          <w:position w:val="0"/>
          <w:sz w:val="36"/>
          <w:szCs w:val="36"/>
          <w:lang w:val="en-US" w:eastAsia="zh-CN" w:bidi="ar-SA"/>
        </w:rPr>
        <w:t>一、投标承诺书</w:t>
      </w:r>
      <w:bookmarkEnd w:id="200"/>
      <w:bookmarkEnd w:id="201"/>
      <w:bookmarkEnd w:id="202"/>
    </w:p>
    <w:p w14:paraId="37F7A4D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(招标人) </w:t>
      </w:r>
    </w:p>
    <w:p w14:paraId="7DC734C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根据贵方为</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（项目名称）的投标邀请（招标编号：</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）的要求，为杜绝商业欺诈和商业贿赂行为，我公司在此庄严承诺： </w:t>
      </w:r>
    </w:p>
    <w:p w14:paraId="535520F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1、在参与招标活动中遵纪守法、诚信经营、公平竞争。 </w:t>
      </w:r>
    </w:p>
    <w:p w14:paraId="1BF71C3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2、不向招标人、招标代理机购和评审专家进行任何形式的商业贿赂以谋取交易机会。 </w:t>
      </w:r>
    </w:p>
    <w:p w14:paraId="6CE40C9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3、不向招标人和招标代理机构提供虚假资格文件或采用虚假应标方式参与招标市场竞争并谋取中标、成交。 </w:t>
      </w:r>
    </w:p>
    <w:p w14:paraId="2234DF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4、我公司投标文件中所提供的货物和服务的参数都如实描述，无任何虚假情况。 </w:t>
      </w:r>
    </w:p>
    <w:p w14:paraId="3CFA60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5、不采取“围标、陪标”等商业欺诈手段获得政府招标定单。 </w:t>
      </w:r>
    </w:p>
    <w:p w14:paraId="5696E5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6、不采取不正当手段诋毁、排挤其他供应商。 </w:t>
      </w:r>
    </w:p>
    <w:p w14:paraId="690796D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7、不在提供货物和服务时“偷梁换柱、以次充好”损害招标人的合法权益。 </w:t>
      </w:r>
    </w:p>
    <w:p w14:paraId="7034DA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8、不与招标人、招标代理机构和招标评审专家或其它供应商恶意串通，进行质疑和投诉，维护政府招标市场秩序。 </w:t>
      </w:r>
    </w:p>
    <w:p w14:paraId="626C6F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9、尊重和接受政府招标监督管理部门的监督，承担因违规违约行为给招标人造成的损失。 </w:t>
      </w:r>
    </w:p>
    <w:p w14:paraId="788CC5A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10、不发生其他有悖于政府招标公平、公正和诚信原则的行为。 </w:t>
      </w:r>
    </w:p>
    <w:p w14:paraId="421F851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以上承诺如有违反，除被没收投标保证金外，还自愿承担一切法律责任及后果。 </w:t>
      </w:r>
    </w:p>
    <w:p w14:paraId="4DF443F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341A6915">
      <w:pPr>
        <w:pStyle w:val="7"/>
        <w:rPr>
          <w:rFonts w:hint="eastAsia" w:asciiTheme="minorEastAsia" w:hAnsiTheme="minorEastAsia" w:eastAsiaTheme="minorEastAsia" w:cstheme="minorEastAsia"/>
          <w:lang w:val="en-US" w:eastAsia="zh-CN"/>
        </w:rPr>
      </w:pPr>
    </w:p>
    <w:p w14:paraId="29BB772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33E60D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3602E5F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日 </w:t>
      </w:r>
    </w:p>
    <w:p w14:paraId="7C6C327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备注：对本投标承诺书的任何修改将被视为非实质性响应投标，在评标时将其视为无效投标。</w:t>
      </w:r>
      <w:bookmarkStart w:id="203" w:name="_Toc19239"/>
    </w:p>
    <w:p w14:paraId="2A2C2E5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16" w:firstLineChars="150"/>
        <w:jc w:val="both"/>
        <w:textAlignment w:val="auto"/>
        <w:rPr>
          <w:rFonts w:hint="eastAsia" w:asciiTheme="minorEastAsia" w:hAnsiTheme="minorEastAsia" w:eastAsiaTheme="minorEastAsia" w:cstheme="minorEastAsia"/>
          <w:b/>
          <w:snapToGrid/>
          <w:spacing w:val="0"/>
          <w:kern w:val="2"/>
          <w:position w:val="0"/>
          <w:szCs w:val="21"/>
          <w:lang w:val="en-US" w:eastAsia="zh-CN" w:bidi="ar-SA"/>
        </w:rPr>
      </w:pPr>
      <w:r>
        <w:rPr>
          <w:rFonts w:hint="eastAsia" w:asciiTheme="minorEastAsia" w:hAnsiTheme="minorEastAsia" w:eastAsiaTheme="minorEastAsia" w:cstheme="minorEastAsia"/>
          <w:b/>
          <w:snapToGrid/>
          <w:spacing w:val="0"/>
          <w:kern w:val="2"/>
          <w:position w:val="0"/>
          <w:szCs w:val="21"/>
          <w:lang w:val="en-US" w:eastAsia="zh-CN" w:bidi="ar-SA"/>
        </w:rPr>
        <w:br w:type="page"/>
      </w:r>
    </w:p>
    <w:p w14:paraId="53EEACC0">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2"/>
          <w:position w:val="0"/>
          <w:sz w:val="36"/>
          <w:szCs w:val="36"/>
          <w:lang w:val="en-US" w:eastAsia="zh-CN" w:bidi="ar-SA"/>
        </w:rPr>
      </w:pPr>
      <w:bookmarkStart w:id="204" w:name="_Toc10679"/>
      <w:bookmarkStart w:id="205" w:name="_Toc12651"/>
      <w:r>
        <w:rPr>
          <w:rFonts w:hint="eastAsia" w:asciiTheme="minorEastAsia" w:hAnsiTheme="minorEastAsia" w:eastAsiaTheme="minorEastAsia" w:cstheme="minorEastAsia"/>
          <w:b/>
          <w:snapToGrid/>
          <w:spacing w:val="0"/>
          <w:kern w:val="2"/>
          <w:position w:val="0"/>
          <w:sz w:val="36"/>
          <w:szCs w:val="36"/>
          <w:lang w:val="en-US" w:eastAsia="zh-CN" w:bidi="ar-SA"/>
        </w:rPr>
        <w:t>二、投标函</w:t>
      </w:r>
      <w:bookmarkEnd w:id="203"/>
      <w:bookmarkEnd w:id="204"/>
      <w:bookmarkEnd w:id="205"/>
    </w:p>
    <w:p w14:paraId="25AB06B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(招标人)</w:t>
      </w:r>
    </w:p>
    <w:p w14:paraId="696854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根据贵方为 </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（项目名称）的投标邀请（招标编号 :</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），签字代表</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（姓名、职务）经正式授权并代表投标人 </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（投标人名称、地址）提交下述文件正本一份、副本</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份并在此声明，所递交的投标文件内容完整、真实。</w:t>
      </w:r>
    </w:p>
    <w:p w14:paraId="62A3EC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1、商务文件：投标承诺书、投标函、开标报价一览表、分项价格表、投标人资格证明文件、商务响应说明书； </w:t>
      </w:r>
    </w:p>
    <w:p w14:paraId="6F3D480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2、技术文件：投标方案说明书。 </w:t>
      </w:r>
    </w:p>
    <w:p w14:paraId="3DC8722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在此，签字代表宣布同意如下： </w:t>
      </w:r>
    </w:p>
    <w:p w14:paraId="4696078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1、所附投标价格表中规定的应提交和交付的货物和服务投标总价为：</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(人民币大写)。</w:t>
      </w:r>
    </w:p>
    <w:p w14:paraId="1D1CCC8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outlineLvl w:val="2"/>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2、投标人将按竞争性磋商文件的规定履行合同责任和义务。 </w:t>
      </w:r>
    </w:p>
    <w:p w14:paraId="4A92114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3、投标人已详细审查全部竞争性磋商文件。我们完全理解并同意放弃对这方面有不明及误解的权力。 </w:t>
      </w:r>
    </w:p>
    <w:p w14:paraId="14176D6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4、本投标有效期为自竞争性磋商文件规定的提交投标文件截止之日起</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个日历天。在投标有效期内我方同意遵守本投标文件中的承诺且在此期限期满之前投标文件对我方具有法律约束力。 </w:t>
      </w:r>
    </w:p>
    <w:p w14:paraId="223B8C6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left"/>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5、我方同意提供贵方可能要求的与其投标有关的一切数据或资料。</w:t>
      </w:r>
    </w:p>
    <w:p w14:paraId="28B119A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6、与本投标有关的一切正式往来信函请寄：</w:t>
      </w:r>
    </w:p>
    <w:p w14:paraId="34F9834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地址：</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邮编：</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电话：</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传真：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   </w:t>
      </w:r>
    </w:p>
    <w:p w14:paraId="0B80F59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12D80B9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62AFCD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0837D47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1A0A1B9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日 </w:t>
      </w:r>
    </w:p>
    <w:p w14:paraId="0A2BA07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41E9F3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备注：除可填报的部分外，对本投标函的任何修改将被视为非实质性响应投标，在评标时将其视为无效投标。 </w:t>
      </w:r>
    </w:p>
    <w:p w14:paraId="632075C0">
      <w:pPr>
        <w:keepNext w:val="0"/>
        <w:keepLines w:val="0"/>
        <w:pageBreakBefore w:val="0"/>
        <w:wordWrap/>
        <w:overflowPunct/>
        <w:topLinePunct w:val="0"/>
        <w:bidi w:val="0"/>
        <w:spacing w:beforeAutospacing="0" w:afterAutospacing="0" w:line="288" w:lineRule="auto"/>
        <w:rPr>
          <w:rFonts w:hint="eastAsia" w:asciiTheme="minorEastAsia" w:hAnsiTheme="minorEastAsia" w:eastAsiaTheme="minorEastAsia" w:cstheme="minorEastAsia"/>
          <w:b/>
          <w:snapToGrid/>
          <w:spacing w:val="0"/>
          <w:kern w:val="2"/>
          <w:position w:val="0"/>
          <w:szCs w:val="21"/>
          <w:lang w:val="en-US" w:eastAsia="zh-CN" w:bidi="ar-SA"/>
        </w:rPr>
      </w:pPr>
      <w:bookmarkStart w:id="206" w:name="_Toc16115"/>
      <w:r>
        <w:rPr>
          <w:rFonts w:hint="eastAsia" w:asciiTheme="minorEastAsia" w:hAnsiTheme="minorEastAsia" w:eastAsiaTheme="minorEastAsia" w:cstheme="minorEastAsia"/>
          <w:b/>
          <w:snapToGrid/>
          <w:spacing w:val="0"/>
          <w:kern w:val="2"/>
          <w:position w:val="0"/>
          <w:szCs w:val="21"/>
          <w:lang w:val="en-US" w:eastAsia="zh-CN" w:bidi="ar-SA"/>
        </w:rPr>
        <w:br w:type="page"/>
      </w:r>
    </w:p>
    <w:p w14:paraId="6669A804">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color w:val="auto"/>
          <w:spacing w:val="0"/>
          <w:position w:val="0"/>
          <w:sz w:val="24"/>
          <w:szCs w:val="24"/>
        </w:rPr>
      </w:pPr>
      <w:bookmarkStart w:id="207" w:name="_Toc29915"/>
      <w:bookmarkStart w:id="208" w:name="_Toc16931"/>
      <w:r>
        <w:rPr>
          <w:rFonts w:hint="eastAsia" w:asciiTheme="minorEastAsia" w:hAnsiTheme="minorEastAsia" w:eastAsiaTheme="minorEastAsia" w:cstheme="minorEastAsia"/>
          <w:b/>
          <w:snapToGrid/>
          <w:spacing w:val="0"/>
          <w:kern w:val="2"/>
          <w:position w:val="0"/>
          <w:sz w:val="36"/>
          <w:szCs w:val="36"/>
          <w:lang w:val="en-US" w:eastAsia="zh-CN" w:bidi="ar-SA"/>
        </w:rPr>
        <w:t>三、开标报价一览表</w:t>
      </w:r>
      <w:bookmarkEnd w:id="206"/>
      <w:bookmarkEnd w:id="207"/>
      <w:bookmarkEnd w:id="208"/>
    </w:p>
    <w:p w14:paraId="036FEF3E">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00080D44">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项目名称：</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2151A0B1">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招标编号：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41EAAA90">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投标包号：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288C82B7">
      <w:pPr>
        <w:pStyle w:val="34"/>
        <w:pageBreakBefore w:val="0"/>
        <w:wordWrap/>
        <w:overflowPunct/>
        <w:topLinePunct w:val="0"/>
        <w:bidi w:val="0"/>
        <w:spacing w:beforeAutospacing="0" w:afterAutospacing="0" w:line="360" w:lineRule="auto"/>
        <w:jc w:val="right"/>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金额单位：人民币</w:t>
      </w:r>
      <w:r>
        <w:rPr>
          <w:rFonts w:hint="eastAsia" w:asciiTheme="minorEastAsia" w:hAnsiTheme="minorEastAsia" w:eastAsiaTheme="minorEastAsia" w:cstheme="minorEastAsia"/>
          <w:color w:val="auto"/>
          <w:spacing w:val="0"/>
          <w:position w:val="0"/>
          <w:sz w:val="24"/>
          <w:szCs w:val="24"/>
          <w:lang w:val="en-US" w:eastAsia="zh-CN"/>
        </w:rPr>
        <w:t xml:space="preserve"> </w:t>
      </w:r>
      <w:r>
        <w:rPr>
          <w:rFonts w:hint="eastAsia" w:asciiTheme="minorEastAsia" w:hAnsiTheme="minorEastAsia" w:eastAsiaTheme="minorEastAsia" w:cstheme="minorEastAsia"/>
          <w:color w:val="auto"/>
          <w:spacing w:val="0"/>
          <w:position w:val="0"/>
          <w:sz w:val="24"/>
          <w:szCs w:val="24"/>
        </w:rPr>
        <w:t>元</w:t>
      </w:r>
    </w:p>
    <w:tbl>
      <w:tblPr>
        <w:tblStyle w:val="19"/>
        <w:tblW w:w="8338" w:type="dxa"/>
        <w:tblInd w:w="-5" w:type="dxa"/>
        <w:tblLayout w:type="fixed"/>
        <w:tblCellMar>
          <w:top w:w="0" w:type="dxa"/>
          <w:left w:w="0" w:type="dxa"/>
          <w:bottom w:w="0" w:type="dxa"/>
          <w:right w:w="0" w:type="dxa"/>
        </w:tblCellMar>
      </w:tblPr>
      <w:tblGrid>
        <w:gridCol w:w="2525"/>
        <w:gridCol w:w="2454"/>
        <w:gridCol w:w="2034"/>
        <w:gridCol w:w="1325"/>
      </w:tblGrid>
      <w:tr w14:paraId="63D14D82">
        <w:tblPrEx>
          <w:tblCellMar>
            <w:top w:w="0" w:type="dxa"/>
            <w:left w:w="0" w:type="dxa"/>
            <w:bottom w:w="0" w:type="dxa"/>
            <w:right w:w="0" w:type="dxa"/>
          </w:tblCellMar>
        </w:tblPrEx>
        <w:trPr>
          <w:trHeight w:val="1418" w:hRule="exact"/>
        </w:trPr>
        <w:tc>
          <w:tcPr>
            <w:tcW w:w="2525" w:type="dxa"/>
            <w:tcBorders>
              <w:top w:val="single" w:color="000000" w:sz="4" w:space="0"/>
              <w:left w:val="single" w:color="000000" w:sz="4" w:space="0"/>
              <w:bottom w:val="single" w:color="000000" w:sz="4" w:space="0"/>
              <w:right w:val="single" w:color="000000" w:sz="4" w:space="0"/>
            </w:tcBorders>
            <w:noWrap w:val="0"/>
            <w:vAlign w:val="center"/>
          </w:tcPr>
          <w:p w14:paraId="2FCF8961">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投标单位</w:t>
            </w: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40667DA3">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投标总报价（元）</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FD77E8D">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服务期（天）</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73074BBE">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r>
              <w:rPr>
                <w:rFonts w:hint="eastAsia" w:asciiTheme="minorEastAsia" w:hAnsiTheme="minorEastAsia" w:eastAsiaTheme="minorEastAsia" w:cstheme="minorEastAsia"/>
                <w:snapToGrid/>
                <w:color w:val="000000"/>
                <w:spacing w:val="0"/>
                <w:position w:val="0"/>
                <w:sz w:val="24"/>
                <w:szCs w:val="24"/>
                <w:lang w:val="en-US" w:eastAsia="zh-CN"/>
              </w:rPr>
              <w:t>备注</w:t>
            </w:r>
          </w:p>
        </w:tc>
      </w:tr>
      <w:tr w14:paraId="33E3271E">
        <w:tblPrEx>
          <w:tblCellMar>
            <w:top w:w="0" w:type="dxa"/>
            <w:left w:w="0" w:type="dxa"/>
            <w:bottom w:w="0" w:type="dxa"/>
            <w:right w:w="0" w:type="dxa"/>
          </w:tblCellMar>
        </w:tblPrEx>
        <w:trPr>
          <w:trHeight w:val="1119" w:hRule="exact"/>
        </w:trPr>
        <w:tc>
          <w:tcPr>
            <w:tcW w:w="2525" w:type="dxa"/>
            <w:tcBorders>
              <w:top w:val="single" w:color="000000" w:sz="4" w:space="0"/>
              <w:left w:val="single" w:color="000000" w:sz="4" w:space="0"/>
              <w:bottom w:val="single" w:color="000000" w:sz="4" w:space="0"/>
              <w:right w:val="single" w:color="000000" w:sz="4" w:space="0"/>
            </w:tcBorders>
            <w:noWrap w:val="0"/>
            <w:vAlign w:val="center"/>
          </w:tcPr>
          <w:p w14:paraId="44628494">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c>
          <w:tcPr>
            <w:tcW w:w="2454" w:type="dxa"/>
            <w:tcBorders>
              <w:top w:val="single" w:color="000000" w:sz="4" w:space="0"/>
              <w:left w:val="single" w:color="000000" w:sz="4" w:space="0"/>
              <w:bottom w:val="single" w:color="000000" w:sz="4" w:space="0"/>
              <w:right w:val="single" w:color="000000" w:sz="4" w:space="0"/>
            </w:tcBorders>
            <w:noWrap w:val="0"/>
            <w:vAlign w:val="center"/>
          </w:tcPr>
          <w:p w14:paraId="3D098CA4">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73F52918">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2815D233">
            <w:pPr>
              <w:pStyle w:val="39"/>
              <w:pageBreakBefore w:val="0"/>
              <w:kinsoku/>
              <w:wordWrap/>
              <w:overflowPunct/>
              <w:topLinePunct w:val="0"/>
              <w:autoSpaceDE/>
              <w:autoSpaceDN/>
              <w:bidi w:val="0"/>
              <w:adjustRightInd/>
              <w:snapToGrid/>
              <w:spacing w:beforeAutospacing="0" w:afterAutospacing="0" w:line="360" w:lineRule="auto"/>
              <w:ind w:right="1"/>
              <w:jc w:val="center"/>
              <w:textAlignment w:val="auto"/>
              <w:rPr>
                <w:rFonts w:hint="eastAsia" w:asciiTheme="minorEastAsia" w:hAnsiTheme="minorEastAsia" w:eastAsiaTheme="minorEastAsia" w:cstheme="minorEastAsia"/>
                <w:snapToGrid/>
                <w:color w:val="000000"/>
                <w:spacing w:val="0"/>
                <w:position w:val="0"/>
                <w:sz w:val="24"/>
                <w:szCs w:val="24"/>
                <w:lang w:val="en-US" w:eastAsia="zh-CN"/>
              </w:rPr>
            </w:pPr>
          </w:p>
        </w:tc>
      </w:tr>
    </w:tbl>
    <w:p w14:paraId="0BB5A4B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0033F9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9D27EC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4BDF5A5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64B12D2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5B9B7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472CFEB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490C021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19FE79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0E865C43">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20F5FF6B">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0B1B5B38">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 xml:space="preserve">日 </w:t>
      </w:r>
    </w:p>
    <w:p w14:paraId="6338F41D">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338CA979">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 xml:space="preserve">注：1、请严格按此“开标报价一览表”格式填写相关内容。 </w:t>
      </w:r>
    </w:p>
    <w:p w14:paraId="79BB8BAD">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510B30E1">
      <w:pPr>
        <w:pageBreakBefore w:val="0"/>
        <w:wordWrap/>
        <w:overflowPunct/>
        <w:topLinePunct w:val="0"/>
        <w:bidi w:val="0"/>
        <w:spacing w:beforeAutospacing="0" w:afterAutospacing="0"/>
        <w:rPr>
          <w:rFonts w:hint="eastAsia" w:asciiTheme="minorEastAsia" w:hAnsiTheme="minorEastAsia" w:eastAsiaTheme="minorEastAsia" w:cstheme="minorEastAsia"/>
          <w:spacing w:val="0"/>
          <w:position w:val="0"/>
          <w:sz w:val="24"/>
          <w:szCs w:val="24"/>
          <w:lang w:val="en-US" w:eastAsia="zh-CN"/>
        </w:rPr>
      </w:pPr>
      <w:r>
        <w:rPr>
          <w:rFonts w:hint="eastAsia" w:asciiTheme="minorEastAsia" w:hAnsiTheme="minorEastAsia" w:eastAsiaTheme="minorEastAsia" w:cstheme="minorEastAsia"/>
          <w:b/>
          <w:snapToGrid/>
          <w:spacing w:val="0"/>
          <w:kern w:val="2"/>
          <w:position w:val="0"/>
          <w:sz w:val="24"/>
          <w:szCs w:val="24"/>
          <w:lang w:val="en-US" w:eastAsia="zh-CN" w:bidi="ar-SA"/>
        </w:rPr>
        <w:br w:type="page"/>
      </w:r>
    </w:p>
    <w:p w14:paraId="745E940A">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color w:val="000000"/>
          <w:spacing w:val="0"/>
          <w:kern w:val="0"/>
          <w:position w:val="0"/>
          <w:sz w:val="28"/>
          <w:szCs w:val="28"/>
          <w:lang w:val="en-US" w:eastAsia="zh-CN" w:bidi="ar-SA"/>
        </w:rPr>
      </w:pPr>
      <w:bookmarkStart w:id="209" w:name="_Toc13673"/>
      <w:bookmarkStart w:id="210" w:name="_Toc5972"/>
      <w:bookmarkStart w:id="211" w:name="_Toc4917"/>
      <w:r>
        <w:rPr>
          <w:rFonts w:hint="eastAsia" w:asciiTheme="minorEastAsia" w:hAnsiTheme="minorEastAsia" w:eastAsiaTheme="minorEastAsia" w:cstheme="minorEastAsia"/>
          <w:b/>
          <w:snapToGrid/>
          <w:spacing w:val="0"/>
          <w:kern w:val="2"/>
          <w:position w:val="0"/>
          <w:sz w:val="36"/>
          <w:szCs w:val="36"/>
          <w:lang w:val="en-US" w:eastAsia="zh-CN" w:bidi="ar-SA"/>
        </w:rPr>
        <w:t>四、分项价格表</w:t>
      </w:r>
      <w:bookmarkEnd w:id="209"/>
      <w:bookmarkEnd w:id="210"/>
      <w:bookmarkEnd w:id="211"/>
    </w:p>
    <w:p w14:paraId="5043A7AB">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52EDC2D3">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项目名称：</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617A32A9">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招标编号：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69304352">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投标包号：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77551550">
      <w:pPr>
        <w:pStyle w:val="34"/>
        <w:pageBreakBefore w:val="0"/>
        <w:wordWrap/>
        <w:overflowPunct/>
        <w:topLinePunct w:val="0"/>
        <w:bidi w:val="0"/>
        <w:spacing w:beforeAutospacing="0" w:afterAutospacing="0" w:line="360" w:lineRule="auto"/>
        <w:jc w:val="right"/>
        <w:rPr>
          <w:rFonts w:hint="eastAsia" w:asciiTheme="minorEastAsia" w:hAnsiTheme="minorEastAsia" w:eastAsiaTheme="minorEastAsia" w:cstheme="minorEastAsia"/>
          <w:spacing w:val="0"/>
          <w:position w:val="0"/>
          <w:sz w:val="24"/>
          <w:szCs w:val="24"/>
        </w:rPr>
      </w:pPr>
      <w:r>
        <w:rPr>
          <w:rFonts w:hint="eastAsia" w:asciiTheme="minorEastAsia" w:hAnsiTheme="minorEastAsia" w:eastAsiaTheme="minorEastAsia" w:cstheme="minorEastAsia"/>
          <w:spacing w:val="0"/>
          <w:position w:val="0"/>
          <w:sz w:val="24"/>
          <w:szCs w:val="24"/>
        </w:rPr>
        <w:t xml:space="preserve">金额单位：人民币元 </w:t>
      </w:r>
    </w:p>
    <w:tbl>
      <w:tblPr>
        <w:tblStyle w:val="19"/>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89"/>
        <w:gridCol w:w="187"/>
        <w:gridCol w:w="1219"/>
        <w:gridCol w:w="1219"/>
        <w:gridCol w:w="1219"/>
        <w:gridCol w:w="1219"/>
        <w:gridCol w:w="1224"/>
      </w:tblGrid>
      <w:tr w14:paraId="7C87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63" w:type="dxa"/>
            <w:noWrap w:val="0"/>
            <w:vAlign w:val="center"/>
          </w:tcPr>
          <w:p w14:paraId="511A717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序号</w:t>
            </w:r>
          </w:p>
        </w:tc>
        <w:tc>
          <w:tcPr>
            <w:tcW w:w="1476" w:type="dxa"/>
            <w:gridSpan w:val="2"/>
            <w:noWrap w:val="0"/>
            <w:vAlign w:val="center"/>
          </w:tcPr>
          <w:p w14:paraId="5E2E6BF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default"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服务名称</w:t>
            </w:r>
          </w:p>
        </w:tc>
        <w:tc>
          <w:tcPr>
            <w:tcW w:w="1219" w:type="dxa"/>
            <w:noWrap w:val="0"/>
            <w:vAlign w:val="center"/>
          </w:tcPr>
          <w:p w14:paraId="4ADDA30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数量</w:t>
            </w:r>
          </w:p>
        </w:tc>
        <w:tc>
          <w:tcPr>
            <w:tcW w:w="1219" w:type="dxa"/>
            <w:noWrap w:val="0"/>
            <w:vAlign w:val="center"/>
          </w:tcPr>
          <w:p w14:paraId="0C5C558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单位</w:t>
            </w:r>
          </w:p>
        </w:tc>
        <w:tc>
          <w:tcPr>
            <w:tcW w:w="1219" w:type="dxa"/>
            <w:noWrap w:val="0"/>
            <w:vAlign w:val="center"/>
          </w:tcPr>
          <w:p w14:paraId="5102BAE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单价</w:t>
            </w:r>
          </w:p>
        </w:tc>
        <w:tc>
          <w:tcPr>
            <w:tcW w:w="1219" w:type="dxa"/>
            <w:noWrap w:val="0"/>
            <w:vAlign w:val="center"/>
          </w:tcPr>
          <w:p w14:paraId="2F066A2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总价</w:t>
            </w:r>
          </w:p>
        </w:tc>
        <w:tc>
          <w:tcPr>
            <w:tcW w:w="1224" w:type="dxa"/>
            <w:noWrap w:val="0"/>
            <w:vAlign w:val="center"/>
          </w:tcPr>
          <w:p w14:paraId="5517066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备注</w:t>
            </w:r>
          </w:p>
        </w:tc>
      </w:tr>
      <w:tr w14:paraId="506E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41C3BC0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1</w:t>
            </w:r>
          </w:p>
        </w:tc>
        <w:tc>
          <w:tcPr>
            <w:tcW w:w="1476" w:type="dxa"/>
            <w:gridSpan w:val="2"/>
            <w:noWrap w:val="0"/>
            <w:vAlign w:val="center"/>
          </w:tcPr>
          <w:p w14:paraId="4B1C25A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4582288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5DDF879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9B44C7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9B18CD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4106FA5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60EB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43E5DC2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2</w:t>
            </w:r>
          </w:p>
        </w:tc>
        <w:tc>
          <w:tcPr>
            <w:tcW w:w="1476" w:type="dxa"/>
            <w:gridSpan w:val="2"/>
            <w:noWrap w:val="0"/>
            <w:vAlign w:val="center"/>
          </w:tcPr>
          <w:p w14:paraId="46A0515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7FC5801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41D2BF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5A44BD5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91741D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4A76D86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18C2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06F73D7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3</w:t>
            </w:r>
          </w:p>
        </w:tc>
        <w:tc>
          <w:tcPr>
            <w:tcW w:w="1476" w:type="dxa"/>
            <w:gridSpan w:val="2"/>
            <w:noWrap w:val="0"/>
            <w:vAlign w:val="center"/>
          </w:tcPr>
          <w:p w14:paraId="4DAA543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D5424BA">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1BBFE2F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449C44B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BCC20C4">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24BB977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1CD9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0BDB989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4</w:t>
            </w:r>
          </w:p>
        </w:tc>
        <w:tc>
          <w:tcPr>
            <w:tcW w:w="1476" w:type="dxa"/>
            <w:gridSpan w:val="2"/>
            <w:noWrap w:val="0"/>
            <w:vAlign w:val="center"/>
          </w:tcPr>
          <w:p w14:paraId="7724A818">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7DAA3CAB">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7200F7E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22753D8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28CD775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51A2D90D">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0166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411EE13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5</w:t>
            </w:r>
          </w:p>
        </w:tc>
        <w:tc>
          <w:tcPr>
            <w:tcW w:w="1476" w:type="dxa"/>
            <w:gridSpan w:val="2"/>
            <w:noWrap w:val="0"/>
            <w:vAlign w:val="center"/>
          </w:tcPr>
          <w:p w14:paraId="4289878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D46193F">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981A77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3EDC8042">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686B721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24" w:type="dxa"/>
            <w:noWrap w:val="0"/>
            <w:vAlign w:val="center"/>
          </w:tcPr>
          <w:p w14:paraId="374EA84E">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r>
      <w:tr w14:paraId="5F0A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3" w:type="dxa"/>
            <w:noWrap w:val="0"/>
            <w:vAlign w:val="center"/>
          </w:tcPr>
          <w:p w14:paraId="4AB9035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w:t>
            </w:r>
          </w:p>
        </w:tc>
        <w:tc>
          <w:tcPr>
            <w:tcW w:w="1476" w:type="dxa"/>
            <w:gridSpan w:val="2"/>
            <w:noWrap w:val="0"/>
            <w:vAlign w:val="center"/>
          </w:tcPr>
          <w:p w14:paraId="22418076">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tc>
        <w:tc>
          <w:tcPr>
            <w:tcW w:w="1219" w:type="dxa"/>
            <w:noWrap w:val="0"/>
            <w:vAlign w:val="center"/>
          </w:tcPr>
          <w:p w14:paraId="54F9D26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19" w:type="dxa"/>
            <w:noWrap w:val="0"/>
            <w:vAlign w:val="center"/>
          </w:tcPr>
          <w:p w14:paraId="7EA0D88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19" w:type="dxa"/>
            <w:noWrap w:val="0"/>
            <w:vAlign w:val="center"/>
          </w:tcPr>
          <w:p w14:paraId="7EF26590">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19" w:type="dxa"/>
            <w:noWrap w:val="0"/>
            <w:vAlign w:val="center"/>
          </w:tcPr>
          <w:p w14:paraId="3E27B67C">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c>
          <w:tcPr>
            <w:tcW w:w="1224" w:type="dxa"/>
            <w:noWrap w:val="0"/>
            <w:vAlign w:val="center"/>
          </w:tcPr>
          <w:p w14:paraId="6C9640A9">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p>
        </w:tc>
      </w:tr>
      <w:tr w14:paraId="5B3A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252" w:type="dxa"/>
            <w:gridSpan w:val="2"/>
            <w:noWrap w:val="0"/>
            <w:vAlign w:val="center"/>
          </w:tcPr>
          <w:p w14:paraId="15B3AE67">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投标总报价</w:t>
            </w:r>
          </w:p>
        </w:tc>
        <w:tc>
          <w:tcPr>
            <w:tcW w:w="6287" w:type="dxa"/>
            <w:gridSpan w:val="6"/>
            <w:noWrap w:val="0"/>
            <w:vAlign w:val="center"/>
          </w:tcPr>
          <w:p w14:paraId="3F03EFDE">
            <w:pPr>
              <w:pStyle w:val="7"/>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r>
              <w:rPr>
                <w:rFonts w:hint="eastAsia" w:asciiTheme="minorEastAsia" w:hAnsiTheme="minorEastAsia" w:eastAsiaTheme="minorEastAsia" w:cstheme="minorEastAsia"/>
                <w:snapToGrid/>
                <w:color w:val="000000"/>
                <w:spacing w:val="0"/>
                <w:kern w:val="2"/>
                <w:position w:val="0"/>
                <w:sz w:val="24"/>
                <w:szCs w:val="24"/>
                <w:lang w:val="en-US" w:eastAsia="zh-CN" w:bidi="ar-SA"/>
              </w:rPr>
              <w:t>(大写)人民币</w:t>
            </w:r>
            <w:r>
              <w:rPr>
                <w:rFonts w:hint="eastAsia" w:asciiTheme="minorEastAsia" w:hAnsiTheme="minorEastAsia" w:eastAsiaTheme="minorEastAsia" w:cstheme="minorEastAsia"/>
                <w:snapToGrid/>
                <w:color w:val="000000"/>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color w:val="000000"/>
                <w:spacing w:val="0"/>
                <w:kern w:val="2"/>
                <w:position w:val="0"/>
                <w:sz w:val="24"/>
                <w:szCs w:val="24"/>
                <w:lang w:val="en-US" w:eastAsia="zh-CN" w:bidi="ar-SA"/>
              </w:rPr>
              <w:t>。</w:t>
            </w:r>
          </w:p>
          <w:p w14:paraId="2B5F3944">
            <w:pPr>
              <w:pStyle w:val="7"/>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napToGrid/>
                <w:color w:val="000000"/>
                <w:spacing w:val="0"/>
                <w:kern w:val="2"/>
                <w:position w:val="0"/>
                <w:sz w:val="24"/>
                <w:szCs w:val="24"/>
                <w:lang w:val="en-US" w:eastAsia="zh-CN" w:bidi="ar-SA"/>
              </w:rPr>
            </w:pPr>
            <w:r>
              <w:rPr>
                <w:rFonts w:hint="eastAsia" w:asciiTheme="minorEastAsia" w:hAnsiTheme="minorEastAsia" w:eastAsiaTheme="minorEastAsia" w:cstheme="minorEastAsia"/>
                <w:snapToGrid/>
                <w:color w:val="000000"/>
                <w:spacing w:val="0"/>
                <w:kern w:val="2"/>
                <w:position w:val="0"/>
                <w:sz w:val="24"/>
                <w:szCs w:val="24"/>
                <w:lang w:val="en-US" w:eastAsia="zh-CN" w:bidi="ar-SA"/>
              </w:rPr>
              <w:t>(小写：￥</w:t>
            </w:r>
            <w:r>
              <w:rPr>
                <w:rFonts w:hint="eastAsia" w:asciiTheme="minorEastAsia" w:hAnsiTheme="minorEastAsia" w:eastAsiaTheme="minorEastAsia" w:cstheme="minorEastAsia"/>
                <w:snapToGrid/>
                <w:color w:val="000000"/>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color w:val="000000"/>
                <w:spacing w:val="0"/>
                <w:kern w:val="2"/>
                <w:position w:val="0"/>
                <w:sz w:val="24"/>
                <w:szCs w:val="24"/>
                <w:lang w:val="en-US" w:eastAsia="zh-CN" w:bidi="ar-SA"/>
              </w:rPr>
              <w:t>)。</w:t>
            </w:r>
          </w:p>
        </w:tc>
      </w:tr>
    </w:tbl>
    <w:p w14:paraId="73A13A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64CF75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2F14011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12CDE85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3C91CA5D">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000EF99D">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6AB80893">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7B686D2B">
      <w:pPr>
        <w:pStyle w:val="7"/>
        <w:rPr>
          <w:rFonts w:hint="eastAsia" w:asciiTheme="minorEastAsia" w:hAnsiTheme="minorEastAsia" w:eastAsiaTheme="minorEastAsia" w:cstheme="minorEastAsia"/>
          <w:lang w:val="en-US" w:eastAsia="zh-CN"/>
        </w:rPr>
      </w:pPr>
    </w:p>
    <w:p w14:paraId="73C639EA">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 xml:space="preserve">注：1、应按照 “投标须知”的要求报价。 </w:t>
      </w:r>
    </w:p>
    <w:p w14:paraId="782BE2A3">
      <w:pPr>
        <w:pStyle w:val="34"/>
        <w:pageBreakBefore w:val="0"/>
        <w:numPr>
          <w:ilvl w:val="0"/>
          <w:numId w:val="8"/>
        </w:numPr>
        <w:wordWrap/>
        <w:overflowPunct/>
        <w:topLinePunct w:val="0"/>
        <w:bidi w:val="0"/>
        <w:spacing w:beforeAutospacing="0" w:afterAutospacing="0" w:line="360" w:lineRule="auto"/>
        <w:ind w:firstLine="480" w:firstLineChars="200"/>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总价金额与按单价汇总金额不一致的，以单价金额计算结果为准。</w:t>
      </w:r>
    </w:p>
    <w:p w14:paraId="5D163205">
      <w:pPr>
        <w:pStyle w:val="34"/>
        <w:pageBreakBefore w:val="0"/>
        <w:numPr>
          <w:ilvl w:val="0"/>
          <w:numId w:val="0"/>
        </w:numPr>
        <w:wordWrap/>
        <w:overflowPunct/>
        <w:topLinePunct w:val="0"/>
        <w:bidi w:val="0"/>
        <w:spacing w:beforeAutospacing="0" w:afterAutospacing="0" w:line="360" w:lineRule="auto"/>
        <w:rPr>
          <w:rFonts w:hint="eastAsia" w:asciiTheme="minorEastAsia" w:hAnsiTheme="minorEastAsia" w:eastAsiaTheme="minorEastAsia" w:cstheme="minorEastAsia"/>
          <w:b/>
          <w:snapToGrid/>
          <w:spacing w:val="0"/>
          <w:kern w:val="2"/>
          <w:position w:val="0"/>
          <w:sz w:val="24"/>
          <w:szCs w:val="24"/>
          <w:lang w:val="en-US" w:eastAsia="zh-CN" w:bidi="ar-SA"/>
        </w:rPr>
      </w:pPr>
      <w:r>
        <w:rPr>
          <w:rFonts w:hint="eastAsia" w:asciiTheme="minorEastAsia" w:hAnsiTheme="minorEastAsia" w:eastAsiaTheme="minorEastAsia" w:cstheme="minorEastAsia"/>
          <w:color w:val="auto"/>
          <w:spacing w:val="0"/>
          <w:position w:val="0"/>
          <w:sz w:val="24"/>
          <w:szCs w:val="24"/>
        </w:rPr>
        <w:t xml:space="preserve"> </w:t>
      </w:r>
      <w:bookmarkStart w:id="212" w:name="_Toc13542"/>
      <w:bookmarkStart w:id="213" w:name="_Toc19195"/>
      <w:r>
        <w:rPr>
          <w:rFonts w:hint="eastAsia" w:asciiTheme="minorEastAsia" w:hAnsiTheme="minorEastAsia" w:eastAsiaTheme="minorEastAsia" w:cstheme="minorEastAsia"/>
          <w:b/>
          <w:snapToGrid/>
          <w:spacing w:val="0"/>
          <w:kern w:val="2"/>
          <w:position w:val="0"/>
          <w:sz w:val="24"/>
          <w:szCs w:val="24"/>
          <w:lang w:val="en-US" w:eastAsia="zh-CN" w:bidi="ar-SA"/>
        </w:rPr>
        <w:br w:type="page"/>
      </w:r>
    </w:p>
    <w:bookmarkEnd w:id="212"/>
    <w:bookmarkEnd w:id="213"/>
    <w:p w14:paraId="12A6134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color w:val="000000"/>
          <w:spacing w:val="0"/>
          <w:kern w:val="2"/>
          <w:position w:val="0"/>
          <w:sz w:val="36"/>
          <w:szCs w:val="36"/>
          <w:lang w:val="en-US" w:eastAsia="zh-CN" w:bidi="ar-SA"/>
        </w:rPr>
      </w:pPr>
      <w:bookmarkStart w:id="214" w:name="_Toc26311"/>
      <w:bookmarkStart w:id="215" w:name="_Toc17268"/>
      <w:bookmarkStart w:id="216" w:name="_Toc6506"/>
      <w:bookmarkStart w:id="217" w:name="_Toc3131"/>
      <w:bookmarkStart w:id="218" w:name="_Toc17539"/>
      <w:r>
        <w:rPr>
          <w:rFonts w:hint="eastAsia" w:asciiTheme="minorEastAsia" w:hAnsiTheme="minorEastAsia" w:eastAsiaTheme="minorEastAsia" w:cstheme="minorEastAsia"/>
          <w:b/>
          <w:snapToGrid/>
          <w:color w:val="000000"/>
          <w:spacing w:val="0"/>
          <w:kern w:val="2"/>
          <w:position w:val="0"/>
          <w:sz w:val="36"/>
          <w:szCs w:val="36"/>
          <w:lang w:val="en-US" w:eastAsia="zh-CN" w:bidi="ar-SA"/>
        </w:rPr>
        <w:t>五、投标人资格证明文件</w:t>
      </w:r>
      <w:bookmarkEnd w:id="214"/>
      <w:bookmarkEnd w:id="215"/>
      <w:bookmarkEnd w:id="216"/>
      <w:bookmarkEnd w:id="217"/>
    </w:p>
    <w:p w14:paraId="0D979CC7">
      <w:pPr>
        <w:keepNext w:val="0"/>
        <w:keepLines w:val="0"/>
        <w:pageBreakBefore w:val="0"/>
        <w:widowControl w:val="0"/>
        <w:wordWrap/>
        <w:overflowPunct/>
        <w:topLinePunct w:val="0"/>
        <w:autoSpaceDE w:val="0"/>
        <w:autoSpaceDN w:val="0"/>
        <w:bidi w:val="0"/>
        <w:adjustRightInd w:val="0"/>
        <w:spacing w:beforeAutospacing="0" w:afterAutospacing="0" w:line="360" w:lineRule="auto"/>
        <w:rPr>
          <w:rFonts w:hint="eastAsia" w:asciiTheme="minorEastAsia" w:hAnsiTheme="minorEastAsia" w:eastAsiaTheme="minorEastAsia" w:cstheme="minorEastAsia"/>
          <w:color w:val="000000"/>
          <w:spacing w:val="0"/>
          <w:position w:val="0"/>
          <w:sz w:val="28"/>
          <w:szCs w:val="28"/>
          <w:lang w:val="en-US" w:eastAsia="zh-CN" w:bidi="ar-SA"/>
        </w:rPr>
      </w:pPr>
    </w:p>
    <w:p w14:paraId="4EDC6136">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投标人须按“投标须知”要求，提供下列证明材料，以满足投标人基本资格条件和特定资格条件要求：</w:t>
      </w:r>
    </w:p>
    <w:p w14:paraId="4CE32E06">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1、法定代表人身份证明书或附有法定代表人身份证明的授权委托书；</w:t>
      </w:r>
    </w:p>
    <w:p w14:paraId="11D287FA">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2、法人、或者其他组织的营业执照、税务登记证、组织机构代码证等主体资格证明文件，自然人的身份证明；</w:t>
      </w:r>
    </w:p>
    <w:p w14:paraId="10E88D63">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3、财务状况报告相关证明；</w:t>
      </w:r>
    </w:p>
    <w:p w14:paraId="27BCBF2A">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附5-4、供应商依法纳税证明；</w:t>
      </w:r>
    </w:p>
    <w:p w14:paraId="371C773E">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附5-5、供应商依法缴纳社保证明；</w:t>
      </w:r>
    </w:p>
    <w:p w14:paraId="2338B71F">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5-6</w:t>
      </w:r>
      <w:r>
        <w:rPr>
          <w:rFonts w:hint="eastAsia" w:asciiTheme="minorEastAsia" w:hAnsiTheme="minorEastAsia" w:eastAsiaTheme="minorEastAsia" w:cstheme="minorEastAsia"/>
          <w:b w:val="0"/>
          <w:bCs w:val="0"/>
          <w:snapToGrid w:val="0"/>
          <w:color w:val="000000"/>
          <w:spacing w:val="0"/>
          <w:kern w:val="0"/>
          <w:position w:val="0"/>
          <w:sz w:val="24"/>
          <w:szCs w:val="24"/>
        </w:rPr>
        <w:t>、特定资格条件证明文件</w:t>
      </w:r>
    </w:p>
    <w:p w14:paraId="32CF080B">
      <w:pPr>
        <w:pageBreakBefore w:val="0"/>
        <w:widowControl/>
        <w:kinsoku w:val="0"/>
        <w:wordWrap/>
        <w:overflowPunct/>
        <w:topLinePunct w:val="0"/>
        <w:autoSpaceDE w:val="0"/>
        <w:autoSpaceDN w:val="0"/>
        <w:bidi w:val="0"/>
        <w:adjustRightInd w:val="0"/>
        <w:snapToGrid w:val="0"/>
        <w:spacing w:beforeAutospacing="0" w:afterAutospacing="0" w:line="360" w:lineRule="auto"/>
        <w:ind w:left="7" w:firstLine="528"/>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附</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5-7</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供应商认为需要提供的相关证明文件</w:t>
      </w:r>
    </w:p>
    <w:p w14:paraId="637E04C1">
      <w:pPr>
        <w:keepNext w:val="0"/>
        <w:keepLines w:val="0"/>
        <w:pageBreakBefore w:val="0"/>
        <w:widowControl w:val="0"/>
        <w:wordWrap/>
        <w:overflowPunct/>
        <w:topLinePunct w:val="0"/>
        <w:autoSpaceDE w:val="0"/>
        <w:autoSpaceDN w:val="0"/>
        <w:bidi w:val="0"/>
        <w:adjustRightInd w:val="0"/>
        <w:spacing w:beforeAutospacing="0" w:afterAutospacing="0" w:line="360" w:lineRule="auto"/>
        <w:rPr>
          <w:rFonts w:hint="eastAsia" w:asciiTheme="minorEastAsia" w:hAnsiTheme="minorEastAsia" w:eastAsiaTheme="minorEastAsia" w:cstheme="minorEastAsia"/>
          <w:color w:val="000000"/>
          <w:spacing w:val="0"/>
          <w:position w:val="0"/>
          <w:sz w:val="24"/>
          <w:szCs w:val="24"/>
          <w:lang w:val="en-US" w:eastAsia="zh-CN" w:bidi="ar-SA"/>
        </w:rPr>
      </w:pPr>
    </w:p>
    <w:p w14:paraId="4223F68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03AC7C44">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55A1A933">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22DFB5DF">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0820E6D0">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jc w:val="left"/>
        <w:textAlignment w:val="auto"/>
        <w:rPr>
          <w:rFonts w:hint="eastAsia" w:asciiTheme="minorEastAsia" w:hAnsiTheme="minorEastAsia" w:eastAsiaTheme="minorEastAsia" w:cstheme="minorEastAsia"/>
          <w:snapToGrid/>
          <w:color w:val="000000"/>
          <w:spacing w:val="0"/>
          <w:kern w:val="0"/>
          <w:position w:val="0"/>
          <w:sz w:val="24"/>
          <w:szCs w:val="24"/>
          <w:lang w:val="en-US" w:eastAsia="zh-CN" w:bidi="ar-SA"/>
        </w:rPr>
      </w:pPr>
    </w:p>
    <w:p w14:paraId="22DFCE50">
      <w:pPr>
        <w:pageBreakBefore w:val="0"/>
        <w:wordWrap/>
        <w:overflowPunct/>
        <w:topLinePunct w:val="0"/>
        <w:bidi w:val="0"/>
        <w:spacing w:beforeAutospacing="0" w:afterAutospacing="0"/>
        <w:rPr>
          <w:rFonts w:hint="eastAsia" w:asciiTheme="minorEastAsia" w:hAnsiTheme="minorEastAsia" w:eastAsiaTheme="minorEastAsia" w:cstheme="minorEastAsia"/>
          <w:snapToGrid w:val="0"/>
          <w:color w:val="000000"/>
          <w:spacing w:val="0"/>
          <w:kern w:val="0"/>
          <w:position w:val="0"/>
          <w:sz w:val="24"/>
          <w:szCs w:val="24"/>
          <w:lang w:val="en-US" w:eastAsia="zh-CN"/>
        </w:rPr>
      </w:pPr>
      <w:r>
        <w:rPr>
          <w:rFonts w:hint="eastAsia" w:asciiTheme="minorEastAsia" w:hAnsiTheme="minorEastAsia" w:eastAsiaTheme="minorEastAsia" w:cstheme="minorEastAsia"/>
          <w:snapToGrid w:val="0"/>
          <w:color w:val="000000"/>
          <w:spacing w:val="0"/>
          <w:kern w:val="0"/>
          <w:position w:val="0"/>
          <w:sz w:val="24"/>
          <w:szCs w:val="24"/>
          <w:lang w:val="en-US" w:eastAsia="zh-CN"/>
        </w:rPr>
        <w:br w:type="page"/>
      </w:r>
    </w:p>
    <w:p w14:paraId="4AA6FE84">
      <w:pPr>
        <w:pageBreakBefore w:val="0"/>
        <w:widowControl/>
        <w:kinsoku w:val="0"/>
        <w:wordWrap/>
        <w:overflowPunct/>
        <w:topLinePunct w:val="0"/>
        <w:autoSpaceDE w:val="0"/>
        <w:autoSpaceDN w:val="0"/>
        <w:bidi w:val="0"/>
        <w:adjustRightInd w:val="0"/>
        <w:snapToGrid w:val="0"/>
        <w:spacing w:beforeAutospacing="0" w:afterAutospacing="0" w:line="227" w:lineRule="auto"/>
        <w:ind w:left="137"/>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w:t>
      </w:r>
      <w:r>
        <w:rPr>
          <w:rFonts w:hint="eastAsia" w:asciiTheme="minorEastAsia" w:hAnsiTheme="minorEastAsia" w:eastAsiaTheme="minorEastAsia" w:cstheme="minorEastAsia"/>
          <w:b w:val="0"/>
          <w:bCs w:val="0"/>
          <w:snapToGrid w:val="0"/>
          <w:color w:val="000000"/>
          <w:spacing w:val="0"/>
          <w:kern w:val="0"/>
          <w:position w:val="0"/>
          <w:sz w:val="24"/>
          <w:szCs w:val="24"/>
        </w:rPr>
        <w:t>1</w:t>
      </w:r>
    </w:p>
    <w:p w14:paraId="3B0FD75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2"/>
        <w:rPr>
          <w:rFonts w:hint="eastAsia" w:asciiTheme="minorEastAsia" w:hAnsiTheme="minorEastAsia" w:eastAsiaTheme="minorEastAsia" w:cstheme="minorEastAsia"/>
          <w:b/>
          <w:snapToGrid/>
          <w:spacing w:val="0"/>
          <w:kern w:val="2"/>
          <w:position w:val="0"/>
          <w:sz w:val="36"/>
          <w:szCs w:val="36"/>
          <w:lang w:val="en-US" w:eastAsia="zh-CN" w:bidi="ar-SA"/>
        </w:rPr>
      </w:pPr>
      <w:bookmarkStart w:id="219" w:name="_Toc11887"/>
      <w:bookmarkStart w:id="220" w:name="_Toc4296"/>
      <w:bookmarkStart w:id="221" w:name="_Toc14061"/>
      <w:bookmarkStart w:id="222" w:name="_Toc18347"/>
      <w:bookmarkStart w:id="223" w:name="_Toc28160"/>
      <w:bookmarkStart w:id="224" w:name="_Toc31412"/>
      <w:bookmarkStart w:id="225" w:name="_Toc26908"/>
      <w:bookmarkStart w:id="226" w:name="_Toc20422"/>
      <w:bookmarkStart w:id="227" w:name="_Toc20379"/>
      <w:bookmarkStart w:id="228" w:name="_Toc29507"/>
      <w:bookmarkStart w:id="229" w:name="_Toc16356"/>
      <w:bookmarkStart w:id="230" w:name="_Toc24068"/>
      <w:r>
        <w:rPr>
          <w:rFonts w:hint="eastAsia" w:asciiTheme="minorEastAsia" w:hAnsiTheme="minorEastAsia" w:eastAsiaTheme="minorEastAsia" w:cstheme="minorEastAsia"/>
          <w:b/>
          <w:snapToGrid/>
          <w:spacing w:val="0"/>
          <w:kern w:val="2"/>
          <w:position w:val="0"/>
          <w:sz w:val="36"/>
          <w:szCs w:val="36"/>
          <w:lang w:val="en-US" w:eastAsia="zh-CN" w:bidi="ar-SA"/>
        </w:rPr>
        <w:t>法定代表人授权委托书</w:t>
      </w:r>
      <w:bookmarkEnd w:id="219"/>
      <w:bookmarkEnd w:id="220"/>
      <w:bookmarkEnd w:id="221"/>
      <w:bookmarkEnd w:id="222"/>
      <w:bookmarkEnd w:id="223"/>
      <w:bookmarkEnd w:id="224"/>
      <w:bookmarkEnd w:id="225"/>
      <w:bookmarkEnd w:id="226"/>
      <w:bookmarkEnd w:id="227"/>
      <w:bookmarkEnd w:id="228"/>
      <w:bookmarkEnd w:id="229"/>
      <w:bookmarkEnd w:id="230"/>
    </w:p>
    <w:p w14:paraId="7E35CF73">
      <w:pPr>
        <w:pageBreakBefore w:val="0"/>
        <w:widowControl/>
        <w:kinsoku w:val="0"/>
        <w:wordWrap/>
        <w:overflowPunct/>
        <w:topLinePunct w:val="0"/>
        <w:autoSpaceDE w:val="0"/>
        <w:autoSpaceDN w:val="0"/>
        <w:bidi w:val="0"/>
        <w:adjustRightInd w:val="0"/>
        <w:snapToGrid w:val="0"/>
        <w:spacing w:beforeAutospacing="0" w:afterAutospacing="0" w:line="360" w:lineRule="auto"/>
        <w:ind w:left="121" w:right="2" w:firstLine="526"/>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本人</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(姓名、职务)系</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(投标人名称)的法定代表人，现授权</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 xml:space="preserve"> (姓名、职务) 为我方代理人。代理人根据授权，以我方名义签署、澄清、说明、 补正、递交、撤回、修改</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(项目名称、招标编号) 投标文件、签订合同和处 理有关事宜，其法律后果由我方承担。</w:t>
      </w:r>
    </w:p>
    <w:p w14:paraId="4401D78E">
      <w:pPr>
        <w:pageBreakBefore w:val="0"/>
        <w:widowControl/>
        <w:kinsoku w:val="0"/>
        <w:wordWrap/>
        <w:overflowPunct/>
        <w:topLinePunct w:val="0"/>
        <w:autoSpaceDE w:val="0"/>
        <w:autoSpaceDN w:val="0"/>
        <w:bidi w:val="0"/>
        <w:adjustRightInd w:val="0"/>
        <w:snapToGrid w:val="0"/>
        <w:spacing w:beforeAutospacing="0" w:afterAutospacing="0" w:line="360" w:lineRule="auto"/>
        <w:ind w:left="12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委托期限：</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w:t>
      </w:r>
    </w:p>
    <w:p w14:paraId="7B6CD554">
      <w:pPr>
        <w:pageBreakBefore w:val="0"/>
        <w:widowControl/>
        <w:kinsoku w:val="0"/>
        <w:wordWrap/>
        <w:overflowPunct/>
        <w:topLinePunct w:val="0"/>
        <w:autoSpaceDE w:val="0"/>
        <w:autoSpaceDN w:val="0"/>
        <w:bidi w:val="0"/>
        <w:adjustRightInd w:val="0"/>
        <w:snapToGrid w:val="0"/>
        <w:spacing w:beforeAutospacing="0" w:afterAutospacing="0" w:line="360" w:lineRule="auto"/>
        <w:ind w:left="12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代理人无转委托权。</w:t>
      </w:r>
    </w:p>
    <w:p w14:paraId="29FF7562">
      <w:pPr>
        <w:pageBreakBefore w:val="0"/>
        <w:widowControl/>
        <w:kinsoku w:val="0"/>
        <w:wordWrap/>
        <w:overflowPunct/>
        <w:topLinePunct w:val="0"/>
        <w:autoSpaceDE w:val="0"/>
        <w:autoSpaceDN w:val="0"/>
        <w:bidi w:val="0"/>
        <w:adjustRightInd w:val="0"/>
        <w:snapToGrid w:val="0"/>
        <w:spacing w:beforeAutospacing="0" w:afterAutospacing="0" w:line="360" w:lineRule="auto"/>
        <w:ind w:left="12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本授权书于</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 xml:space="preserve"> 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月</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日签字生效，特此声明。</w:t>
      </w:r>
    </w:p>
    <w:p w14:paraId="68E6F0D1">
      <w:pPr>
        <w:pStyle w:val="7"/>
        <w:rPr>
          <w:rFonts w:hint="eastAsia" w:asciiTheme="minorEastAsia" w:hAnsiTheme="minorEastAsia" w:eastAsiaTheme="minorEastAsia" w:cstheme="minorEastAsia"/>
          <w:b w:val="0"/>
          <w:bCs w:val="0"/>
          <w:snapToGrid w:val="0"/>
          <w:color w:val="000000"/>
          <w:spacing w:val="0"/>
          <w:kern w:val="0"/>
          <w:position w:val="0"/>
          <w:sz w:val="24"/>
          <w:szCs w:val="24"/>
        </w:rPr>
      </w:pPr>
    </w:p>
    <w:p w14:paraId="01245426">
      <w:pPr>
        <w:rPr>
          <w:rFonts w:hint="eastAsia" w:asciiTheme="minorEastAsia" w:hAnsiTheme="minorEastAsia" w:eastAsiaTheme="minorEastAsia" w:cstheme="minorEastAsia"/>
          <w:b w:val="0"/>
          <w:bCs w:val="0"/>
          <w:snapToGrid w:val="0"/>
          <w:color w:val="000000"/>
          <w:spacing w:val="0"/>
          <w:kern w:val="0"/>
          <w:position w:val="0"/>
          <w:sz w:val="24"/>
          <w:szCs w:val="24"/>
        </w:rPr>
      </w:pPr>
    </w:p>
    <w:p w14:paraId="110A0C83">
      <w:pPr>
        <w:pStyle w:val="7"/>
        <w:rPr>
          <w:rFonts w:hint="eastAsia" w:asciiTheme="minorEastAsia" w:hAnsiTheme="minorEastAsia" w:eastAsiaTheme="minorEastAsia" w:cstheme="minorEastAsia"/>
        </w:rPr>
      </w:pPr>
    </w:p>
    <w:tbl>
      <w:tblPr>
        <w:tblStyle w:val="35"/>
        <w:tblW w:w="78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820"/>
      </w:tblGrid>
      <w:tr w14:paraId="2226C59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29" w:hRule="atLeast"/>
          <w:jc w:val="center"/>
        </w:trPr>
        <w:tc>
          <w:tcPr>
            <w:tcW w:w="7820" w:type="dxa"/>
            <w:vAlign w:val="center"/>
          </w:tcPr>
          <w:p w14:paraId="5A6B0F08">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委托代理人身份证正面、反面复印件</w:t>
            </w:r>
          </w:p>
        </w:tc>
      </w:tr>
    </w:tbl>
    <w:p w14:paraId="34DAE81D">
      <w:pPr>
        <w:pageBreakBefore w:val="0"/>
        <w:widowControl/>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p>
    <w:p w14:paraId="433033CD">
      <w:pPr>
        <w:pStyle w:val="7"/>
        <w:rPr>
          <w:rFonts w:hint="eastAsia" w:asciiTheme="minorEastAsia" w:hAnsiTheme="minorEastAsia" w:eastAsiaTheme="minorEastAsia" w:cstheme="minorEastAsia"/>
          <w:b w:val="0"/>
          <w:bCs w:val="0"/>
          <w:snapToGrid w:val="0"/>
          <w:color w:val="000000"/>
          <w:spacing w:val="0"/>
          <w:kern w:val="0"/>
          <w:position w:val="0"/>
          <w:sz w:val="24"/>
          <w:szCs w:val="24"/>
        </w:rPr>
      </w:pPr>
    </w:p>
    <w:p w14:paraId="4F206F42">
      <w:pPr>
        <w:pStyle w:val="7"/>
        <w:rPr>
          <w:rFonts w:hint="eastAsia" w:asciiTheme="minorEastAsia" w:hAnsiTheme="minorEastAsia" w:eastAsiaTheme="minorEastAsia" w:cstheme="minorEastAsia"/>
          <w:b w:val="0"/>
          <w:bCs w:val="0"/>
          <w:snapToGrid w:val="0"/>
          <w:color w:val="000000"/>
          <w:spacing w:val="0"/>
          <w:kern w:val="0"/>
          <w:position w:val="0"/>
          <w:sz w:val="24"/>
          <w:szCs w:val="24"/>
        </w:rPr>
      </w:pPr>
    </w:p>
    <w:p w14:paraId="287DB9CD">
      <w:pPr>
        <w:rPr>
          <w:rFonts w:hint="eastAsia" w:asciiTheme="minorEastAsia" w:hAnsiTheme="minorEastAsia" w:eastAsiaTheme="minorEastAsia" w:cstheme="minorEastAsia"/>
        </w:rPr>
      </w:pPr>
    </w:p>
    <w:p w14:paraId="2CACB006">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供应商</w:t>
      </w:r>
      <w:r>
        <w:rPr>
          <w:rFonts w:hint="eastAsia" w:asciiTheme="minorEastAsia" w:hAnsiTheme="minorEastAsia" w:eastAsiaTheme="minorEastAsia" w:cstheme="minorEastAsia"/>
          <w:b w:val="0"/>
          <w:bCs w:val="0"/>
          <w:snapToGrid w:val="0"/>
          <w:color w:val="000000"/>
          <w:spacing w:val="0"/>
          <w:kern w:val="0"/>
          <w:position w:val="0"/>
          <w:sz w:val="24"/>
          <w:szCs w:val="24"/>
        </w:rPr>
        <w:t>名称(盖公章)：</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p>
    <w:p w14:paraId="56C720CD">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法定代表人(签字</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或盖章</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p>
    <w:p w14:paraId="4E086DC7">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被</w:t>
      </w:r>
      <w:r>
        <w:rPr>
          <w:rFonts w:hint="eastAsia" w:asciiTheme="minorEastAsia" w:hAnsiTheme="minorEastAsia" w:eastAsiaTheme="minorEastAsia" w:cstheme="minorEastAsia"/>
          <w:b w:val="0"/>
          <w:bCs w:val="0"/>
          <w:snapToGrid w:val="0"/>
          <w:color w:val="000000"/>
          <w:spacing w:val="0"/>
          <w:kern w:val="0"/>
          <w:position w:val="0"/>
          <w:sz w:val="24"/>
          <w:szCs w:val="24"/>
        </w:rPr>
        <w:t>授权的代理人(签字</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或盖章</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50B141BB">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日</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期：</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月</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 xml:space="preserve"> 日</w:t>
      </w:r>
    </w:p>
    <w:p w14:paraId="6A5E49E4">
      <w:pPr>
        <w:pStyle w:val="7"/>
        <w:rPr>
          <w:rFonts w:hint="eastAsia" w:asciiTheme="minorEastAsia" w:hAnsiTheme="minorEastAsia" w:eastAsiaTheme="minorEastAsia" w:cstheme="minorEastAsia"/>
        </w:rPr>
      </w:pPr>
    </w:p>
    <w:p w14:paraId="265DC04C">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val="0"/>
          <w:bCs w:val="0"/>
          <w:spacing w:val="0"/>
          <w:position w:val="0"/>
          <w:sz w:val="24"/>
          <w:szCs w:val="24"/>
        </w:rPr>
        <w:sectPr>
          <w:pgSz w:w="11906" w:h="16839"/>
          <w:pgMar w:top="1440" w:right="1800" w:bottom="1440" w:left="1800" w:header="878" w:footer="996" w:gutter="0"/>
          <w:pgNumType w:fmt="decimal"/>
          <w:cols w:space="720" w:num="1"/>
          <w:rtlGutter w:val="0"/>
        </w:sectPr>
      </w:pPr>
    </w:p>
    <w:p w14:paraId="5FF06350">
      <w:pPr>
        <w:pageBreakBefore w:val="0"/>
        <w:widowControl w:val="0"/>
        <w:kinsoku/>
        <w:wordWrap/>
        <w:overflowPunct/>
        <w:topLinePunct w:val="0"/>
        <w:autoSpaceDE/>
        <w:autoSpaceDN/>
        <w:bidi w:val="0"/>
        <w:adjustRightInd/>
        <w:snapToGrid/>
        <w:spacing w:beforeAutospacing="0" w:afterAutospacing="0" w:line="360" w:lineRule="auto"/>
        <w:jc w:val="both"/>
        <w:textAlignment w:val="auto"/>
        <w:outlineLvl w:val="1"/>
        <w:rPr>
          <w:rFonts w:hint="eastAsia" w:asciiTheme="minorEastAsia" w:hAnsiTheme="minorEastAsia" w:eastAsiaTheme="minorEastAsia" w:cstheme="minorEastAsia"/>
          <w:b/>
          <w:snapToGrid/>
          <w:spacing w:val="0"/>
          <w:kern w:val="2"/>
          <w:position w:val="0"/>
          <w:sz w:val="28"/>
          <w:szCs w:val="28"/>
          <w:lang w:val="en-US" w:eastAsia="zh-CN" w:bidi="ar-SA"/>
        </w:rPr>
      </w:pPr>
      <w:bookmarkStart w:id="231" w:name="_Toc11312"/>
      <w:bookmarkStart w:id="232" w:name="_Toc24450"/>
      <w:bookmarkStart w:id="233" w:name="_Toc20675"/>
      <w:bookmarkStart w:id="234" w:name="_Toc317"/>
      <w:bookmarkStart w:id="235" w:name="_Toc5500"/>
      <w:bookmarkStart w:id="236" w:name="_Toc25422"/>
      <w:bookmarkStart w:id="237" w:name="_Toc7800"/>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5-1-1</w:t>
      </w:r>
      <w:bookmarkEnd w:id="231"/>
      <w:bookmarkEnd w:id="232"/>
      <w:bookmarkEnd w:id="233"/>
      <w:bookmarkEnd w:id="234"/>
      <w:bookmarkEnd w:id="235"/>
      <w:bookmarkEnd w:id="236"/>
      <w:bookmarkEnd w:id="237"/>
    </w:p>
    <w:p w14:paraId="35B2DF9E">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38" w:name="_Toc7211"/>
      <w:bookmarkStart w:id="239" w:name="_Toc30016"/>
      <w:bookmarkStart w:id="240" w:name="_Toc26206"/>
      <w:bookmarkStart w:id="241" w:name="_Toc28495"/>
      <w:bookmarkStart w:id="242" w:name="_Toc8160"/>
      <w:bookmarkStart w:id="243" w:name="_Toc17546"/>
      <w:bookmarkStart w:id="244" w:name="_Toc23752"/>
      <w:bookmarkStart w:id="245" w:name="_Toc9405"/>
      <w:bookmarkStart w:id="246" w:name="_Toc12540"/>
      <w:bookmarkStart w:id="247" w:name="_Toc12052"/>
      <w:bookmarkStart w:id="248" w:name="_Toc17068"/>
      <w:bookmarkStart w:id="249" w:name="_Toc4915"/>
      <w:bookmarkStart w:id="250" w:name="_Toc32402"/>
      <w:r>
        <w:rPr>
          <w:rFonts w:hint="eastAsia" w:asciiTheme="minorEastAsia" w:hAnsiTheme="minorEastAsia" w:eastAsiaTheme="minorEastAsia" w:cstheme="minorEastAsia"/>
          <w:b/>
          <w:snapToGrid/>
          <w:spacing w:val="0"/>
          <w:kern w:val="2"/>
          <w:position w:val="0"/>
          <w:sz w:val="32"/>
          <w:szCs w:val="32"/>
          <w:lang w:val="en-US" w:eastAsia="zh-CN" w:bidi="ar-SA"/>
        </w:rPr>
        <w:t>法定代表人证明书</w:t>
      </w:r>
      <w:bookmarkEnd w:id="238"/>
      <w:bookmarkEnd w:id="239"/>
      <w:bookmarkEnd w:id="240"/>
      <w:bookmarkEnd w:id="241"/>
      <w:bookmarkEnd w:id="242"/>
      <w:bookmarkEnd w:id="243"/>
      <w:bookmarkEnd w:id="244"/>
      <w:bookmarkEnd w:id="245"/>
      <w:bookmarkEnd w:id="246"/>
      <w:bookmarkEnd w:id="247"/>
      <w:bookmarkEnd w:id="248"/>
      <w:bookmarkEnd w:id="249"/>
      <w:bookmarkEnd w:id="250"/>
    </w:p>
    <w:p w14:paraId="6E9FE99F">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85"/>
          <w:kern w:val="0"/>
          <w:position w:val="0"/>
          <w:sz w:val="24"/>
          <w:szCs w:val="24"/>
          <w:fitText w:val="1540" w:id="2092596488"/>
        </w:rPr>
        <w:t>投标人名</w:t>
      </w:r>
      <w:r>
        <w:rPr>
          <w:rFonts w:hint="eastAsia" w:asciiTheme="minorEastAsia" w:hAnsiTheme="minorEastAsia" w:eastAsiaTheme="minorEastAsia" w:cstheme="minorEastAsia"/>
          <w:b w:val="0"/>
          <w:bCs w:val="0"/>
          <w:snapToGrid w:val="0"/>
          <w:color w:val="000000"/>
          <w:spacing w:val="0"/>
          <w:kern w:val="0"/>
          <w:position w:val="0"/>
          <w:sz w:val="24"/>
          <w:szCs w:val="24"/>
          <w:fitText w:val="1540" w:id="2092596488"/>
        </w:rPr>
        <w:t>称</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2D1D3965">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410"/>
          <w:kern w:val="0"/>
          <w:position w:val="0"/>
          <w:sz w:val="24"/>
          <w:szCs w:val="24"/>
          <w:fitText w:val="1540" w:id="1813280164"/>
        </w:rPr>
        <w:t>注册</w:t>
      </w:r>
      <w:r>
        <w:rPr>
          <w:rFonts w:hint="eastAsia" w:asciiTheme="minorEastAsia" w:hAnsiTheme="minorEastAsia" w:eastAsiaTheme="minorEastAsia" w:cstheme="minorEastAsia"/>
          <w:b w:val="0"/>
          <w:bCs w:val="0"/>
          <w:snapToGrid w:val="0"/>
          <w:color w:val="000000"/>
          <w:spacing w:val="0"/>
          <w:kern w:val="0"/>
          <w:position w:val="0"/>
          <w:sz w:val="24"/>
          <w:szCs w:val="24"/>
          <w:fitText w:val="1540" w:id="1813280164"/>
        </w:rPr>
        <w:t>号</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74801D32">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15092139"/>
        </w:rPr>
        <w:t>注册地</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15092139"/>
        </w:rPr>
        <w:t>址</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2E7CE647">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2094953248"/>
        </w:rPr>
        <w:t>成立时</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2094953248"/>
        </w:rPr>
        <w:t>间</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月</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日</w:t>
      </w:r>
    </w:p>
    <w:p w14:paraId="0E46230B">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1646003666"/>
        </w:rPr>
        <w:t>经营期</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1646003666"/>
        </w:rPr>
        <w:t>限</w:t>
      </w:r>
      <w:r>
        <w:rPr>
          <w:rFonts w:hint="eastAsia" w:asciiTheme="minorEastAsia" w:hAnsiTheme="minorEastAsia" w:eastAsiaTheme="minorEastAsia" w:cstheme="minorEastAsia"/>
          <w:b w:val="0"/>
          <w:bCs w:val="0"/>
          <w:snapToGrid w:val="0"/>
          <w:color w:val="000000"/>
          <w:spacing w:val="0"/>
          <w:kern w:val="0"/>
          <w:position w:val="0"/>
          <w:sz w:val="24"/>
          <w:szCs w:val="24"/>
        </w:rPr>
        <w:t>：</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61C3D5E8">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193"/>
          <w:kern w:val="0"/>
          <w:position w:val="0"/>
          <w:sz w:val="24"/>
          <w:szCs w:val="24"/>
          <w:fitText w:val="1540" w:id="796420800"/>
        </w:rPr>
        <w:t>经营范</w:t>
      </w:r>
      <w:r>
        <w:rPr>
          <w:rFonts w:hint="eastAsia" w:asciiTheme="minorEastAsia" w:hAnsiTheme="minorEastAsia" w:eastAsiaTheme="minorEastAsia" w:cstheme="minorEastAsia"/>
          <w:b w:val="0"/>
          <w:bCs w:val="0"/>
          <w:snapToGrid w:val="0"/>
          <w:color w:val="000000"/>
          <w:spacing w:val="1"/>
          <w:kern w:val="0"/>
          <w:position w:val="0"/>
          <w:sz w:val="24"/>
          <w:szCs w:val="24"/>
          <w:fitText w:val="1540" w:id="796420800"/>
        </w:rPr>
        <w:t>围</w:t>
      </w:r>
      <w:r>
        <w:rPr>
          <w:rFonts w:hint="eastAsia" w:asciiTheme="minorEastAsia" w:hAnsiTheme="minorEastAsia" w:eastAsiaTheme="minorEastAsia" w:cstheme="minorEastAsia"/>
          <w:b w:val="0"/>
          <w:bCs w:val="0"/>
          <w:snapToGrid w:val="0"/>
          <w:color w:val="000000"/>
          <w:spacing w:val="0"/>
          <w:kern w:val="0"/>
          <w:position w:val="0"/>
          <w:sz w:val="24"/>
          <w:szCs w:val="24"/>
        </w:rPr>
        <w:t>：主营：</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；兼营：</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2C4879C1">
      <w:pPr>
        <w:pageBreakBefore w:val="0"/>
        <w:widowControl/>
        <w:kinsoku w:val="0"/>
        <w:wordWrap/>
        <w:overflowPunct/>
        <w:topLinePunct w:val="0"/>
        <w:autoSpaceDE w:val="0"/>
        <w:autoSpaceDN w:val="0"/>
        <w:bidi w:val="0"/>
        <w:adjustRightInd w:val="0"/>
        <w:snapToGrid w:val="0"/>
        <w:spacing w:beforeAutospacing="0" w:afterAutospacing="0" w:line="480" w:lineRule="auto"/>
        <w:ind w:left="325"/>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姓名：</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性别：</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年龄：</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职务：</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系</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(投标人名称)的法定代表人。</w:t>
      </w:r>
    </w:p>
    <w:p w14:paraId="4D9CC2DA">
      <w:pPr>
        <w:pageBreakBefore w:val="0"/>
        <w:widowControl/>
        <w:kinsoku w:val="0"/>
        <w:wordWrap/>
        <w:overflowPunct/>
        <w:topLinePunct w:val="0"/>
        <w:autoSpaceDE w:val="0"/>
        <w:autoSpaceDN w:val="0"/>
        <w:bidi w:val="0"/>
        <w:adjustRightInd w:val="0"/>
        <w:snapToGrid w:val="0"/>
        <w:spacing w:beforeAutospacing="0" w:afterAutospacing="0" w:line="480" w:lineRule="auto"/>
        <w:ind w:left="32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特此证明。</w:t>
      </w:r>
    </w:p>
    <w:tbl>
      <w:tblPr>
        <w:tblStyle w:val="35"/>
        <w:tblW w:w="73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320"/>
      </w:tblGrid>
      <w:tr w14:paraId="42000AD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341" w:hRule="atLeast"/>
          <w:jc w:val="center"/>
        </w:trPr>
        <w:tc>
          <w:tcPr>
            <w:tcW w:w="7320" w:type="dxa"/>
            <w:vAlign w:val="center"/>
          </w:tcPr>
          <w:p w14:paraId="6747F622">
            <w:pPr>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法定代表人身份证正面、反面复印件</w:t>
            </w:r>
          </w:p>
        </w:tc>
      </w:tr>
    </w:tbl>
    <w:p w14:paraId="6E46C9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74448D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7B9307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0169B4C7">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287558D9">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43E26D77">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05F33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8"/>
          <w:szCs w:val="28"/>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 xml:space="preserve"> </w:t>
      </w:r>
    </w:p>
    <w:p w14:paraId="56B24675">
      <w:pPr>
        <w:pStyle w:val="7"/>
        <w:pageBreakBefore w:val="0"/>
        <w:wordWrap/>
        <w:overflowPunct/>
        <w:topLinePunct w:val="0"/>
        <w:bidi w:val="0"/>
        <w:spacing w:beforeAutospacing="0" w:after="0" w:afterAutospacing="0" w:line="360" w:lineRule="auto"/>
        <w:rPr>
          <w:rFonts w:hint="eastAsia" w:asciiTheme="minorEastAsia" w:hAnsiTheme="minorEastAsia" w:eastAsiaTheme="minorEastAsia" w:cstheme="minorEastAsia"/>
          <w:spacing w:val="0"/>
          <w:position w:val="0"/>
          <w:sz w:val="28"/>
          <w:szCs w:val="28"/>
        </w:rPr>
        <w:sectPr>
          <w:footerReference r:id="rId8" w:type="default"/>
          <w:pgSz w:w="11906" w:h="16839"/>
          <w:pgMar w:top="1440" w:right="1800" w:bottom="1440" w:left="1800" w:header="878" w:footer="996" w:gutter="0"/>
          <w:pgNumType w:fmt="decimal"/>
          <w:cols w:space="720" w:num="1"/>
          <w:rtlGutter w:val="0"/>
        </w:sectPr>
      </w:pPr>
    </w:p>
    <w:p w14:paraId="4D0FAD69">
      <w:pPr>
        <w:pageBreakBefore w:val="0"/>
        <w:widowControl/>
        <w:kinsoku w:val="0"/>
        <w:wordWrap/>
        <w:overflowPunct/>
        <w:topLinePunct w:val="0"/>
        <w:autoSpaceDE w:val="0"/>
        <w:autoSpaceDN w:val="0"/>
        <w:bidi w:val="0"/>
        <w:adjustRightInd w:val="0"/>
        <w:snapToGrid w:val="0"/>
        <w:spacing w:beforeAutospacing="0" w:afterAutospacing="0" w:line="227" w:lineRule="auto"/>
        <w:ind w:left="83"/>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5-2</w:t>
      </w:r>
    </w:p>
    <w:p w14:paraId="04F66902">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51" w:name="_Toc10254"/>
      <w:bookmarkStart w:id="252" w:name="_Toc27892"/>
      <w:bookmarkStart w:id="253" w:name="_Toc10694"/>
      <w:bookmarkStart w:id="254" w:name="_Toc27437"/>
      <w:bookmarkStart w:id="255" w:name="_Toc4770"/>
      <w:bookmarkStart w:id="256" w:name="_Toc12117"/>
      <w:bookmarkStart w:id="257" w:name="_Toc32096"/>
      <w:bookmarkStart w:id="258" w:name="_Toc18176"/>
      <w:bookmarkStart w:id="259" w:name="_Toc25007"/>
      <w:bookmarkStart w:id="260" w:name="_Toc11567"/>
      <w:bookmarkStart w:id="261" w:name="_Toc26823"/>
      <w:r>
        <w:rPr>
          <w:rFonts w:hint="eastAsia" w:asciiTheme="minorEastAsia" w:hAnsiTheme="minorEastAsia" w:eastAsiaTheme="minorEastAsia" w:cstheme="minorEastAsia"/>
          <w:b/>
          <w:snapToGrid/>
          <w:spacing w:val="0"/>
          <w:kern w:val="2"/>
          <w:position w:val="0"/>
          <w:sz w:val="32"/>
          <w:szCs w:val="32"/>
          <w:lang w:val="en-US" w:eastAsia="zh-CN" w:bidi="ar-SA"/>
        </w:rPr>
        <w:t>投标人基本情况</w:t>
      </w:r>
      <w:bookmarkEnd w:id="251"/>
      <w:bookmarkEnd w:id="252"/>
      <w:bookmarkEnd w:id="253"/>
      <w:bookmarkEnd w:id="254"/>
      <w:bookmarkEnd w:id="255"/>
      <w:bookmarkEnd w:id="256"/>
      <w:bookmarkEnd w:id="257"/>
      <w:bookmarkEnd w:id="258"/>
      <w:bookmarkEnd w:id="259"/>
      <w:bookmarkEnd w:id="260"/>
      <w:bookmarkEnd w:id="261"/>
    </w:p>
    <w:p w14:paraId="5AAAD2E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82"/>
        <w:jc w:val="left"/>
        <w:textAlignment w:val="baseline"/>
        <w:outlineLvl w:val="2"/>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1.名称及概况：</w:t>
      </w:r>
    </w:p>
    <w:p w14:paraId="5DE9B62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rPr>
        <w:t>(1)投标人名称：</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66A5DE7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firstLine="240" w:firstLineChars="10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rPr>
        <w:t>地址：</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5A5E00D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firstLine="240" w:firstLineChars="10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传真/电话号码：</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邮政编码：</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p>
    <w:p w14:paraId="3827548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(2)成立或注册日期：</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6F5AEC7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(3)注册号码：</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725132A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312"/>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(4)法定代表人姓名：</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380DDE3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69"/>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pPr>
      <w:r>
        <w:rPr>
          <w:rFonts w:hint="eastAsia" w:asciiTheme="minorEastAsia" w:hAnsiTheme="minorEastAsia" w:eastAsiaTheme="minorEastAsia" w:cstheme="minorEastAsia"/>
          <w:b w:val="0"/>
          <w:bCs w:val="0"/>
          <w:snapToGrid w:val="0"/>
          <w:color w:val="000000"/>
          <w:spacing w:val="0"/>
          <w:kern w:val="0"/>
          <w:position w:val="0"/>
          <w:sz w:val="24"/>
          <w:szCs w:val="24"/>
        </w:rPr>
        <w:t>2.经营范围：</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p>
    <w:p w14:paraId="0CFE3B0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69"/>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u w:val="none" w:color="auto"/>
          <w:lang w:val="en-US" w:eastAsia="zh-CN"/>
        </w:rPr>
        <w:t>3.</w:t>
      </w:r>
      <w:r>
        <w:rPr>
          <w:rFonts w:hint="eastAsia" w:asciiTheme="minorEastAsia" w:hAnsiTheme="minorEastAsia" w:eastAsiaTheme="minorEastAsia" w:cstheme="minorEastAsia"/>
          <w:b w:val="0"/>
          <w:bCs w:val="0"/>
          <w:snapToGrid w:val="0"/>
          <w:color w:val="000000"/>
          <w:spacing w:val="0"/>
          <w:kern w:val="0"/>
          <w:position w:val="0"/>
          <w:sz w:val="24"/>
          <w:szCs w:val="24"/>
        </w:rPr>
        <w:t>开立基本帐户银行的名称和地址：</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u w:val="single" w:color="auto"/>
          <w:lang w:val="en-US" w:eastAsia="zh-CN"/>
        </w:rPr>
        <w:t xml:space="preserve"> </w:t>
      </w:r>
      <w:r>
        <w:rPr>
          <w:rFonts w:hint="eastAsia" w:asciiTheme="minorEastAsia" w:hAnsiTheme="minorEastAsia" w:eastAsiaTheme="minorEastAsia" w:cstheme="minorEastAsia"/>
          <w:b w:val="0"/>
          <w:bCs w:val="0"/>
          <w:snapToGrid w:val="0"/>
          <w:color w:val="000000"/>
          <w:spacing w:val="0"/>
          <w:kern w:val="0"/>
          <w:position w:val="0"/>
          <w:sz w:val="24"/>
          <w:szCs w:val="24"/>
        </w:rPr>
        <w:t>(提供注册地人民银行开户许可证复印件)</w:t>
      </w:r>
    </w:p>
    <w:p w14:paraId="03FC916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69"/>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4.</w:t>
      </w:r>
      <w:r>
        <w:rPr>
          <w:rFonts w:hint="eastAsia" w:asciiTheme="minorEastAsia" w:hAnsiTheme="minorEastAsia" w:eastAsiaTheme="minorEastAsia" w:cstheme="minorEastAsia"/>
          <w:b w:val="0"/>
          <w:bCs w:val="0"/>
          <w:snapToGrid w:val="0"/>
          <w:color w:val="000000"/>
          <w:spacing w:val="0"/>
          <w:kern w:val="0"/>
          <w:position w:val="0"/>
          <w:sz w:val="24"/>
          <w:szCs w:val="24"/>
        </w:rPr>
        <w:t>提供营业执照副本、税务登记证副本、组织机构代码证副本(自然人为投标人时，提供自然人身份证明)等证明材料的复印件。</w:t>
      </w:r>
    </w:p>
    <w:p w14:paraId="5B6F676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left="70"/>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t>兹声明上述数据和资料是真实、正确的，我们同意遵照贵方要求出示有关证明文件。</w:t>
      </w:r>
    </w:p>
    <w:p w14:paraId="491D4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5FD671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64CA8A4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p>
    <w:p w14:paraId="097AEE3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4A7D1DB8">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6A405DD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4A53B3F2">
      <w:pPr>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spacing w:val="0"/>
          <w:position w:val="0"/>
          <w:sz w:val="24"/>
          <w:szCs w:val="24"/>
        </w:rPr>
      </w:pPr>
    </w:p>
    <w:p w14:paraId="694C6530">
      <w:pPr>
        <w:pStyle w:val="7"/>
        <w:rPr>
          <w:rFonts w:hint="eastAsia" w:asciiTheme="minorEastAsia" w:hAnsiTheme="minorEastAsia" w:eastAsiaTheme="minorEastAsia" w:cstheme="minorEastAsia"/>
        </w:rPr>
        <w:sectPr>
          <w:footerReference r:id="rId9" w:type="default"/>
          <w:pgSz w:w="11906" w:h="16839"/>
          <w:pgMar w:top="1440" w:right="1800" w:bottom="1440" w:left="1800" w:header="878" w:footer="996" w:gutter="0"/>
          <w:pgNumType w:fmt="decimal"/>
          <w:cols w:space="720" w:num="1"/>
          <w:rtlGutter w:val="0"/>
        </w:sectPr>
      </w:pPr>
    </w:p>
    <w:p w14:paraId="08AA8855">
      <w:pPr>
        <w:pageBreakBefore w:val="0"/>
        <w:widowControl/>
        <w:kinsoku w:val="0"/>
        <w:wordWrap/>
        <w:overflowPunct/>
        <w:topLinePunct w:val="0"/>
        <w:autoSpaceDE w:val="0"/>
        <w:autoSpaceDN w:val="0"/>
        <w:bidi w:val="0"/>
        <w:adjustRightInd w:val="0"/>
        <w:snapToGrid w:val="0"/>
        <w:spacing w:beforeAutospacing="0" w:afterAutospacing="0" w:line="227" w:lineRule="auto"/>
        <w:ind w:left="24"/>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bookmarkStart w:id="262" w:name="_Toc4612"/>
      <w:bookmarkStart w:id="263" w:name="_Toc30643"/>
      <w:bookmarkStart w:id="264" w:name="_Toc3791"/>
      <w:bookmarkStart w:id="265" w:name="_Toc6807"/>
      <w:bookmarkStart w:id="266" w:name="_Toc23324"/>
      <w:bookmarkStart w:id="267" w:name="_Toc16818"/>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5-3</w:t>
      </w:r>
      <w:bookmarkEnd w:id="262"/>
      <w:bookmarkEnd w:id="263"/>
      <w:bookmarkEnd w:id="264"/>
      <w:bookmarkEnd w:id="265"/>
      <w:bookmarkEnd w:id="266"/>
      <w:bookmarkEnd w:id="267"/>
    </w:p>
    <w:p w14:paraId="2AA13695">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268" w:name="_Toc8063"/>
    </w:p>
    <w:p w14:paraId="0199EB5B">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69" w:name="_Toc31485"/>
      <w:bookmarkStart w:id="270" w:name="_Toc11053"/>
      <w:bookmarkStart w:id="271" w:name="_Toc2783"/>
      <w:bookmarkStart w:id="272" w:name="_Toc18903"/>
      <w:bookmarkStart w:id="273" w:name="_Toc16102"/>
      <w:bookmarkStart w:id="274" w:name="_Toc20637"/>
      <w:bookmarkStart w:id="275" w:name="_Toc7681"/>
      <w:r>
        <w:rPr>
          <w:rFonts w:hint="eastAsia" w:asciiTheme="minorEastAsia" w:hAnsiTheme="minorEastAsia" w:eastAsiaTheme="minorEastAsia" w:cstheme="minorEastAsia"/>
          <w:b/>
          <w:snapToGrid/>
          <w:spacing w:val="0"/>
          <w:kern w:val="2"/>
          <w:position w:val="0"/>
          <w:sz w:val="32"/>
          <w:szCs w:val="32"/>
          <w:lang w:val="en-US" w:eastAsia="zh-CN" w:bidi="ar-SA"/>
        </w:rPr>
        <w:t>财务状况报告相关证明</w:t>
      </w:r>
      <w:bookmarkEnd w:id="268"/>
      <w:bookmarkEnd w:id="269"/>
      <w:bookmarkEnd w:id="270"/>
      <w:bookmarkEnd w:id="271"/>
      <w:bookmarkEnd w:id="272"/>
      <w:bookmarkEnd w:id="273"/>
      <w:bookmarkEnd w:id="274"/>
      <w:bookmarkEnd w:id="275"/>
    </w:p>
    <w:p w14:paraId="6757BF79">
      <w:pPr>
        <w:pStyle w:val="34"/>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供应商须提供上年度财务会计报表和银行资信证明或审计报告。</w:t>
      </w:r>
    </w:p>
    <w:p w14:paraId="683824DA">
      <w:pPr>
        <w:pageBreakBefore w:val="0"/>
        <w:wordWrap/>
        <w:overflowPunct/>
        <w:topLinePunct w:val="0"/>
        <w:bidi w:val="0"/>
        <w:spacing w:beforeAutospacing="0" w:afterAutospacing="0"/>
        <w:rPr>
          <w:rFonts w:hint="eastAsia" w:asciiTheme="minorEastAsia" w:hAnsiTheme="minorEastAsia" w:eastAsiaTheme="minorEastAsia" w:cstheme="minorEastAsia"/>
          <w:b w:val="0"/>
          <w:bCs w:val="0"/>
          <w:snapToGrid w:val="0"/>
          <w:color w:val="000000"/>
          <w:spacing w:val="0"/>
          <w:kern w:val="0"/>
          <w:position w:val="0"/>
          <w:sz w:val="24"/>
          <w:szCs w:val="24"/>
        </w:rPr>
      </w:pPr>
      <w:r>
        <w:rPr>
          <w:rFonts w:hint="eastAsia" w:asciiTheme="minorEastAsia" w:hAnsiTheme="minorEastAsia" w:eastAsiaTheme="minorEastAsia" w:cstheme="minorEastAsia"/>
          <w:b w:val="0"/>
          <w:bCs w:val="0"/>
          <w:snapToGrid w:val="0"/>
          <w:color w:val="000000"/>
          <w:spacing w:val="0"/>
          <w:kern w:val="0"/>
          <w:position w:val="0"/>
          <w:sz w:val="24"/>
          <w:szCs w:val="24"/>
        </w:rPr>
        <w:br w:type="page"/>
      </w:r>
    </w:p>
    <w:p w14:paraId="60981E5C">
      <w:pPr>
        <w:pageBreakBefore w:val="0"/>
        <w:widowControl/>
        <w:kinsoku w:val="0"/>
        <w:wordWrap/>
        <w:overflowPunct/>
        <w:topLinePunct w:val="0"/>
        <w:autoSpaceDE w:val="0"/>
        <w:autoSpaceDN w:val="0"/>
        <w:bidi w:val="0"/>
        <w:adjustRightInd w:val="0"/>
        <w:snapToGrid w:val="0"/>
        <w:spacing w:beforeAutospacing="0" w:afterAutospacing="0" w:line="227" w:lineRule="auto"/>
        <w:ind w:left="24"/>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bookmarkStart w:id="276" w:name="_Toc19612"/>
      <w:bookmarkStart w:id="277" w:name="_Toc16506"/>
      <w:bookmarkStart w:id="278" w:name="_Toc20511"/>
      <w:bookmarkStart w:id="279" w:name="_Toc3350"/>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5-4</w:t>
      </w:r>
      <w:bookmarkEnd w:id="276"/>
      <w:bookmarkEnd w:id="277"/>
      <w:bookmarkEnd w:id="278"/>
      <w:bookmarkEnd w:id="279"/>
    </w:p>
    <w:p w14:paraId="4AEDD576">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280" w:name="_Toc5398"/>
      <w:bookmarkStart w:id="281" w:name="_Toc18609"/>
      <w:bookmarkStart w:id="282" w:name="_Toc22837"/>
      <w:bookmarkStart w:id="283" w:name="_Toc11431"/>
    </w:p>
    <w:p w14:paraId="7426907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84" w:name="_Toc26877"/>
      <w:bookmarkStart w:id="285" w:name="_Toc3017"/>
      <w:bookmarkStart w:id="286" w:name="_Toc12310"/>
      <w:bookmarkStart w:id="287" w:name="_Toc14177"/>
      <w:bookmarkStart w:id="288" w:name="_Toc1131"/>
      <w:bookmarkStart w:id="289" w:name="_Toc15843"/>
      <w:bookmarkStart w:id="290" w:name="_Toc3399"/>
      <w:r>
        <w:rPr>
          <w:rFonts w:hint="eastAsia" w:asciiTheme="minorEastAsia" w:hAnsiTheme="minorEastAsia" w:eastAsiaTheme="minorEastAsia" w:cstheme="minorEastAsia"/>
          <w:b/>
          <w:snapToGrid/>
          <w:spacing w:val="0"/>
          <w:kern w:val="2"/>
          <w:position w:val="0"/>
          <w:sz w:val="32"/>
          <w:szCs w:val="32"/>
          <w:lang w:val="en-US" w:eastAsia="zh-CN" w:bidi="ar-SA"/>
        </w:rPr>
        <w:t>投标人依法纳税证明</w:t>
      </w:r>
      <w:bookmarkEnd w:id="280"/>
      <w:bookmarkEnd w:id="284"/>
      <w:bookmarkEnd w:id="285"/>
      <w:bookmarkEnd w:id="286"/>
      <w:bookmarkEnd w:id="287"/>
      <w:bookmarkEnd w:id="288"/>
      <w:bookmarkEnd w:id="289"/>
      <w:bookmarkEnd w:id="290"/>
    </w:p>
    <w:p w14:paraId="2C5F6B9B">
      <w:pPr>
        <w:pStyle w:val="34"/>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供应商须提供2023年1月1日起至今任意三个月依法纳税凭证，享受免税政策的企业须提供免税证明。</w:t>
      </w:r>
    </w:p>
    <w:p w14:paraId="5FC6E663">
      <w:pPr>
        <w:pageBreakBefore w:val="0"/>
        <w:widowControl/>
        <w:kinsoku w:val="0"/>
        <w:wordWrap/>
        <w:overflowPunct/>
        <w:topLinePunct w:val="0"/>
        <w:autoSpaceDE w:val="0"/>
        <w:autoSpaceDN w:val="0"/>
        <w:bidi w:val="0"/>
        <w:adjustRightInd w:val="0"/>
        <w:snapToGrid w:val="0"/>
        <w:spacing w:beforeAutospacing="0" w:afterAutospacing="0" w:line="227" w:lineRule="auto"/>
        <w:ind w:left="24"/>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pPr>
      <w:r>
        <w:rPr>
          <w:rFonts w:hint="eastAsia" w:asciiTheme="minorEastAsia" w:hAnsiTheme="minorEastAsia" w:eastAsiaTheme="minorEastAsia" w:cstheme="minorEastAsia"/>
          <w:b w:val="0"/>
          <w:bCs w:val="0"/>
          <w:snapToGrid w:val="0"/>
          <w:color w:val="000000"/>
          <w:spacing w:val="0"/>
          <w:kern w:val="0"/>
          <w:position w:val="0"/>
          <w:sz w:val="24"/>
          <w:szCs w:val="24"/>
          <w14:textOutline w14:w="5103" w14:cap="sq" w14:cmpd="sng">
            <w14:solidFill>
              <w14:srgbClr w14:val="000000"/>
            </w14:solidFill>
            <w14:prstDash w14:val="solid"/>
            <w14:bevel/>
          </w14:textOutline>
        </w:rPr>
        <w:br w:type="page"/>
      </w:r>
      <w:bookmarkStart w:id="291" w:name="_Toc25309"/>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5-5</w:t>
      </w:r>
      <w:bookmarkEnd w:id="291"/>
    </w:p>
    <w:p w14:paraId="7BA23D36">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292" w:name="_Toc32755"/>
    </w:p>
    <w:p w14:paraId="523A4698">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293" w:name="_Toc4655"/>
      <w:bookmarkStart w:id="294" w:name="_Toc646"/>
      <w:bookmarkStart w:id="295" w:name="_Toc14356"/>
      <w:bookmarkStart w:id="296" w:name="_Toc7231"/>
      <w:bookmarkStart w:id="297" w:name="_Toc10143"/>
      <w:bookmarkStart w:id="298" w:name="_Toc1786"/>
      <w:bookmarkStart w:id="299" w:name="_Toc11586"/>
      <w:r>
        <w:rPr>
          <w:rFonts w:hint="eastAsia" w:asciiTheme="minorEastAsia" w:hAnsiTheme="minorEastAsia" w:eastAsiaTheme="minorEastAsia" w:cstheme="minorEastAsia"/>
          <w:b/>
          <w:snapToGrid/>
          <w:spacing w:val="0"/>
          <w:kern w:val="2"/>
          <w:position w:val="0"/>
          <w:sz w:val="32"/>
          <w:szCs w:val="32"/>
          <w:lang w:val="en-US" w:eastAsia="zh-CN" w:bidi="ar-SA"/>
        </w:rPr>
        <w:t>投标人依法缴纳社保证明</w:t>
      </w:r>
      <w:bookmarkEnd w:id="292"/>
      <w:bookmarkEnd w:id="293"/>
      <w:bookmarkEnd w:id="294"/>
      <w:bookmarkEnd w:id="295"/>
      <w:bookmarkEnd w:id="296"/>
      <w:bookmarkEnd w:id="297"/>
      <w:bookmarkEnd w:id="298"/>
      <w:bookmarkEnd w:id="299"/>
    </w:p>
    <w:p w14:paraId="022310B1">
      <w:pPr>
        <w:pStyle w:val="34"/>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供应商须提供2023年1月1日起至今任意三个月依法缴纳社会保险凭证。</w:t>
      </w:r>
    </w:p>
    <w:p w14:paraId="12A051C1">
      <w:pPr>
        <w:pageBreakBefore w:val="0"/>
        <w:wordWrap/>
        <w:overflowPunct/>
        <w:topLinePunct w:val="0"/>
        <w:bidi w:val="0"/>
        <w:spacing w:beforeAutospacing="0" w:afterAutospacing="0"/>
        <w:rPr>
          <w:rFonts w:hint="eastAsia" w:asciiTheme="minorEastAsia" w:hAnsiTheme="minorEastAsia" w:eastAsiaTheme="minorEastAsia" w:cstheme="minorEastAsia"/>
          <w:b w:val="0"/>
          <w:bCs w:val="0"/>
          <w:snapToGrid w:val="0"/>
          <w:color w:val="000000"/>
          <w:spacing w:val="0"/>
          <w:kern w:val="0"/>
          <w:position w:val="0"/>
          <w:sz w:val="24"/>
          <w:szCs w:val="24"/>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napToGrid w:val="0"/>
          <w:color w:val="000000"/>
          <w:spacing w:val="0"/>
          <w:kern w:val="0"/>
          <w:position w:val="0"/>
          <w:sz w:val="24"/>
          <w:szCs w:val="24"/>
          <w14:textOutline w14:w="5103" w14:cap="sq" w14:cmpd="sng">
            <w14:solidFill>
              <w14:srgbClr w14:val="000000"/>
            </w14:solidFill>
            <w14:prstDash w14:val="solid"/>
            <w14:bevel/>
          </w14:textOutline>
        </w:rPr>
        <w:br w:type="page"/>
      </w:r>
    </w:p>
    <w:p w14:paraId="319D2EBF">
      <w:pPr>
        <w:pStyle w:val="7"/>
        <w:pageBreakBefore w:val="0"/>
        <w:wordWrap/>
        <w:overflowPunct/>
        <w:topLinePunct w:val="0"/>
        <w:bidi w:val="0"/>
        <w:spacing w:beforeAutospacing="0" w:after="0" w:afterAutospacing="0"/>
        <w:rPr>
          <w:rFonts w:hint="eastAsia" w:asciiTheme="minorEastAsia" w:hAnsiTheme="minorEastAsia" w:eastAsiaTheme="minorEastAsia" w:cstheme="minorEastAsia"/>
          <w:spacing w:val="0"/>
          <w:position w:val="0"/>
          <w:lang w:val="en-US"/>
        </w:rPr>
      </w:pPr>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5-6</w:t>
      </w:r>
    </w:p>
    <w:p w14:paraId="39D55DBD">
      <w:pPr>
        <w:pageBreakBefore w:val="0"/>
        <w:widowControl/>
        <w:kinsoku w:val="0"/>
        <w:wordWrap/>
        <w:overflowPunct/>
        <w:topLinePunct w:val="0"/>
        <w:autoSpaceDE w:val="0"/>
        <w:autoSpaceDN w:val="0"/>
        <w:bidi w:val="0"/>
        <w:adjustRightInd w:val="0"/>
        <w:snapToGrid w:val="0"/>
        <w:spacing w:beforeAutospacing="0" w:afterAutospacing="0" w:line="480" w:lineRule="auto"/>
        <w:jc w:val="left"/>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300" w:name="_Toc16416"/>
    </w:p>
    <w:p w14:paraId="063ABB08">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01" w:name="_Toc27909"/>
      <w:bookmarkStart w:id="302" w:name="_Toc29574"/>
      <w:bookmarkStart w:id="303" w:name="_Toc28177"/>
      <w:bookmarkStart w:id="304" w:name="_Toc19044"/>
      <w:bookmarkStart w:id="305" w:name="_Toc4285"/>
      <w:bookmarkStart w:id="306" w:name="_Toc1559"/>
      <w:bookmarkStart w:id="307" w:name="_Toc3677"/>
      <w:r>
        <w:rPr>
          <w:rFonts w:hint="eastAsia" w:asciiTheme="minorEastAsia" w:hAnsiTheme="minorEastAsia" w:eastAsiaTheme="minorEastAsia" w:cstheme="minorEastAsia"/>
          <w:b/>
          <w:snapToGrid/>
          <w:spacing w:val="0"/>
          <w:kern w:val="2"/>
          <w:position w:val="0"/>
          <w:sz w:val="32"/>
          <w:szCs w:val="32"/>
          <w:lang w:val="en-US" w:eastAsia="zh-CN" w:bidi="ar-SA"/>
        </w:rPr>
        <w:t>特定资格证明材料</w:t>
      </w:r>
      <w:bookmarkEnd w:id="281"/>
      <w:bookmarkEnd w:id="282"/>
      <w:bookmarkEnd w:id="283"/>
      <w:bookmarkEnd w:id="300"/>
      <w:bookmarkEnd w:id="301"/>
      <w:bookmarkEnd w:id="302"/>
      <w:bookmarkEnd w:id="303"/>
      <w:bookmarkEnd w:id="304"/>
      <w:bookmarkEnd w:id="305"/>
      <w:bookmarkEnd w:id="306"/>
      <w:bookmarkEnd w:id="307"/>
    </w:p>
    <w:p w14:paraId="24FE3CF1">
      <w:pPr>
        <w:pStyle w:val="34"/>
        <w:pageBreakBefore w:val="0"/>
        <w:wordWrap/>
        <w:overflowPunct/>
        <w:topLinePunct w:val="0"/>
        <w:bidi w:val="0"/>
        <w:spacing w:beforeAutospacing="0" w:afterAutospacing="0" w:line="490" w:lineRule="exact"/>
        <w:rPr>
          <w:rFonts w:hint="eastAsia" w:asciiTheme="minorEastAsia" w:hAnsiTheme="minorEastAsia" w:eastAsiaTheme="minorEastAsia" w:cstheme="minorEastAsia"/>
          <w:b w:val="0"/>
          <w:bCs w:val="0"/>
          <w:spacing w:val="0"/>
          <w:position w:val="0"/>
          <w:sz w:val="28"/>
          <w:szCs w:val="28"/>
        </w:rPr>
      </w:pPr>
    </w:p>
    <w:p w14:paraId="73E29C46">
      <w:pPr>
        <w:pStyle w:val="34"/>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备注：提供“投标须知”规定的特定资格（包括投标人从事投标货物的生产、销售或经营、安装、集成等）证明材料的复印件（盖公章）</w:t>
      </w:r>
    </w:p>
    <w:p w14:paraId="67E49B20">
      <w:pPr>
        <w:pageBreakBefore w:val="0"/>
        <w:widowControl/>
        <w:kinsoku w:val="0"/>
        <w:wordWrap/>
        <w:overflowPunct/>
        <w:topLinePunct w:val="0"/>
        <w:autoSpaceDE w:val="0"/>
        <w:autoSpaceDN w:val="0"/>
        <w:bidi w:val="0"/>
        <w:adjustRightInd w:val="0"/>
        <w:snapToGrid w:val="0"/>
        <w:spacing w:beforeAutospacing="0" w:afterAutospacing="0" w:line="458" w:lineRule="auto"/>
        <w:ind w:left="10" w:right="113" w:firstLine="944"/>
        <w:jc w:val="left"/>
        <w:textAlignment w:val="baseline"/>
        <w:rPr>
          <w:rFonts w:hint="eastAsia" w:asciiTheme="minorEastAsia" w:hAnsiTheme="minorEastAsia" w:eastAsiaTheme="minorEastAsia" w:cstheme="minorEastAsia"/>
          <w:b w:val="0"/>
          <w:bCs w:val="0"/>
          <w:snapToGrid w:val="0"/>
          <w:color w:val="000000"/>
          <w:spacing w:val="0"/>
          <w:kern w:val="0"/>
          <w:position w:val="0"/>
          <w:sz w:val="24"/>
          <w:szCs w:val="24"/>
        </w:rPr>
      </w:pPr>
    </w:p>
    <w:p w14:paraId="2F4D35A0">
      <w:pPr>
        <w:pStyle w:val="7"/>
        <w:pageBreakBefore w:val="0"/>
        <w:wordWrap/>
        <w:overflowPunct/>
        <w:topLinePunct w:val="0"/>
        <w:bidi w:val="0"/>
        <w:spacing w:beforeAutospacing="0" w:after="0" w:afterAutospacing="0"/>
        <w:rPr>
          <w:rFonts w:hint="eastAsia" w:asciiTheme="minorEastAsia" w:hAnsiTheme="minorEastAsia" w:eastAsiaTheme="minorEastAsia" w:cstheme="minorEastAsia"/>
          <w:spacing w:val="0"/>
          <w:position w:val="0"/>
          <w:lang w:val="en-US"/>
        </w:rPr>
      </w:pPr>
      <w:r>
        <w:rPr>
          <w:rFonts w:hint="eastAsia" w:asciiTheme="minorEastAsia" w:hAnsiTheme="minorEastAsia" w:eastAsiaTheme="minorEastAsia" w:cstheme="minorEastAsia"/>
          <w:b w:val="0"/>
          <w:bCs w:val="0"/>
          <w:snapToGrid w:val="0"/>
          <w:color w:val="000000"/>
          <w:spacing w:val="0"/>
          <w:kern w:val="0"/>
          <w:position w:val="0"/>
          <w:sz w:val="24"/>
          <w:szCs w:val="24"/>
        </w:rPr>
        <w:br w:type="page"/>
      </w:r>
      <w:bookmarkStart w:id="308" w:name="_bookmark23"/>
      <w:bookmarkEnd w:id="308"/>
      <w:r>
        <w:rPr>
          <w:rFonts w:hint="eastAsia" w:asciiTheme="minorEastAsia" w:hAnsiTheme="minorEastAsia" w:eastAsiaTheme="minorEastAsia" w:cstheme="minorEastAsia"/>
          <w:b w:val="0"/>
          <w:bCs w:val="0"/>
          <w:snapToGrid w:val="0"/>
          <w:color w:val="000000"/>
          <w:spacing w:val="0"/>
          <w:kern w:val="0"/>
          <w:position w:val="0"/>
          <w:sz w:val="24"/>
          <w:szCs w:val="24"/>
        </w:rPr>
        <w:t>附件</w:t>
      </w: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rPr>
        <w:t>5-7</w:t>
      </w:r>
    </w:p>
    <w:p w14:paraId="0B15708B">
      <w:pPr>
        <w:pageBreakBefore w:val="0"/>
        <w:widowControl/>
        <w:kinsoku w:val="0"/>
        <w:wordWrap/>
        <w:overflowPunct/>
        <w:topLinePunct w:val="0"/>
        <w:autoSpaceDE w:val="0"/>
        <w:autoSpaceDN w:val="0"/>
        <w:bidi w:val="0"/>
        <w:adjustRightInd w:val="0"/>
        <w:snapToGrid w:val="0"/>
        <w:spacing w:beforeAutospacing="0" w:afterAutospacing="0" w:line="480" w:lineRule="auto"/>
        <w:jc w:val="center"/>
        <w:textAlignment w:val="baseline"/>
        <w:outlineLvl w:val="9"/>
        <w:rPr>
          <w:rFonts w:hint="eastAsia" w:asciiTheme="minorEastAsia" w:hAnsiTheme="minorEastAsia" w:eastAsiaTheme="minorEastAsia" w:cstheme="minorEastAsia"/>
          <w:b w:val="0"/>
          <w:bCs w:val="0"/>
          <w:snapToGrid w:val="0"/>
          <w:color w:val="000000"/>
          <w:spacing w:val="0"/>
          <w:kern w:val="0"/>
          <w:position w:val="0"/>
          <w:sz w:val="32"/>
          <w:szCs w:val="32"/>
          <w:lang w:eastAsia="zh-CN"/>
          <w14:textOutline w14:w="5103" w14:cap="sq" w14:cmpd="sng">
            <w14:solidFill>
              <w14:srgbClr w14:val="000000"/>
            </w14:solidFill>
            <w14:prstDash w14:val="solid"/>
            <w14:bevel/>
          </w14:textOutline>
        </w:rPr>
      </w:pPr>
      <w:bookmarkStart w:id="309" w:name="_Toc31036"/>
    </w:p>
    <w:p w14:paraId="65B7C418">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10" w:name="_Toc7281"/>
      <w:bookmarkStart w:id="311" w:name="_Toc27257"/>
      <w:bookmarkStart w:id="312" w:name="_Toc18843"/>
      <w:bookmarkStart w:id="313" w:name="_Toc15313"/>
      <w:bookmarkStart w:id="314" w:name="_Toc19226"/>
      <w:bookmarkStart w:id="315" w:name="_Toc21607"/>
      <w:bookmarkStart w:id="316" w:name="_Toc3394"/>
      <w:r>
        <w:rPr>
          <w:rFonts w:hint="eastAsia" w:asciiTheme="minorEastAsia" w:hAnsiTheme="minorEastAsia" w:eastAsiaTheme="minorEastAsia" w:cstheme="minorEastAsia"/>
          <w:b/>
          <w:snapToGrid/>
          <w:spacing w:val="0"/>
          <w:kern w:val="2"/>
          <w:position w:val="0"/>
          <w:sz w:val="32"/>
          <w:szCs w:val="32"/>
          <w:lang w:val="en-US" w:eastAsia="zh-CN" w:bidi="ar-SA"/>
        </w:rPr>
        <w:t>投标人认为需要提供的相关证明文件</w:t>
      </w:r>
      <w:bookmarkEnd w:id="309"/>
      <w:bookmarkEnd w:id="310"/>
      <w:bookmarkEnd w:id="311"/>
      <w:bookmarkEnd w:id="312"/>
      <w:bookmarkEnd w:id="313"/>
      <w:bookmarkEnd w:id="314"/>
      <w:bookmarkEnd w:id="315"/>
      <w:bookmarkEnd w:id="316"/>
    </w:p>
    <w:p w14:paraId="1B103DB4">
      <w:pPr>
        <w:pStyle w:val="34"/>
        <w:pageBreakBefore w:val="0"/>
        <w:wordWrap/>
        <w:overflowPunct/>
        <w:topLinePunct w:val="0"/>
        <w:bidi w:val="0"/>
        <w:spacing w:beforeAutospacing="0" w:afterAutospacing="0" w:line="480" w:lineRule="auto"/>
        <w:ind w:firstLine="480" w:firstLineChars="200"/>
        <w:outlineLvl w:val="2"/>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1、投标人须提供非联合体声明函（格式自拟）；</w:t>
      </w:r>
    </w:p>
    <w:p w14:paraId="16AD0B1E">
      <w:pPr>
        <w:pStyle w:val="34"/>
        <w:pageBreakBefore w:val="0"/>
        <w:wordWrap/>
        <w:overflowPunct/>
        <w:topLinePunct w:val="0"/>
        <w:bidi w:val="0"/>
        <w:spacing w:beforeAutospacing="0" w:afterAutospacing="0" w:line="480" w:lineRule="auto"/>
        <w:ind w:firstLine="480" w:firstLineChars="200"/>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2、投标人须提供符合《中华人民共和国政府采购法》第二十二条规定的承诺书（格式自拟）；</w:t>
      </w:r>
    </w:p>
    <w:p w14:paraId="0FA5ED9B">
      <w:pPr>
        <w:pStyle w:val="34"/>
        <w:pageBreakBefore w:val="0"/>
        <w:wordWrap/>
        <w:overflowPunct/>
        <w:topLinePunct w:val="0"/>
        <w:bidi w:val="0"/>
        <w:spacing w:beforeAutospacing="0" w:afterAutospacing="0" w:line="480" w:lineRule="auto"/>
        <w:ind w:firstLine="480" w:firstLineChars="200"/>
        <w:outlineLvl w:val="2"/>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0"/>
          <w:kern w:val="0"/>
          <w:position w:val="0"/>
          <w:sz w:val="24"/>
          <w:szCs w:val="24"/>
          <w:lang w:val="en-US" w:eastAsia="zh-CN" w:bidi="ar-SA"/>
        </w:rPr>
        <w:t>3、投标人认为需要提供的其他相关证明文件；</w:t>
      </w:r>
    </w:p>
    <w:p w14:paraId="0D2F668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left"/>
        <w:textAlignment w:val="baseline"/>
        <w:rPr>
          <w:rFonts w:hint="eastAsia" w:asciiTheme="minorEastAsia" w:hAnsiTheme="minorEastAsia" w:eastAsiaTheme="minorEastAsia" w:cstheme="minorEastAsia"/>
          <w:b/>
          <w:snapToGrid/>
          <w:color w:val="000000"/>
          <w:spacing w:val="0"/>
          <w:kern w:val="2"/>
          <w:position w:val="0"/>
          <w:sz w:val="24"/>
          <w:szCs w:val="24"/>
          <w:lang w:val="en-US" w:eastAsia="zh-CN" w:bidi="ar-SA"/>
        </w:rPr>
      </w:pPr>
      <w:r>
        <w:rPr>
          <w:rFonts w:hint="eastAsia" w:asciiTheme="minorEastAsia" w:hAnsiTheme="minorEastAsia" w:eastAsiaTheme="minorEastAsia" w:cstheme="minorEastAsia"/>
          <w:b/>
          <w:snapToGrid/>
          <w:color w:val="000000"/>
          <w:spacing w:val="0"/>
          <w:kern w:val="2"/>
          <w:position w:val="0"/>
          <w:sz w:val="24"/>
          <w:szCs w:val="24"/>
          <w:lang w:val="en-US" w:eastAsia="zh-CN" w:bidi="ar-SA"/>
        </w:rPr>
        <w:br w:type="page"/>
      </w:r>
    </w:p>
    <w:p w14:paraId="20E1955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2"/>
          <w:position w:val="0"/>
          <w:sz w:val="44"/>
          <w:szCs w:val="44"/>
          <w:lang w:val="en-US" w:eastAsia="zh-CN" w:bidi="ar-SA"/>
        </w:rPr>
      </w:pPr>
      <w:bookmarkStart w:id="317" w:name="_Toc31357"/>
      <w:bookmarkStart w:id="318" w:name="_Toc26344"/>
      <w:r>
        <w:rPr>
          <w:rFonts w:hint="eastAsia" w:asciiTheme="minorEastAsia" w:hAnsiTheme="minorEastAsia" w:eastAsiaTheme="minorEastAsia" w:cstheme="minorEastAsia"/>
          <w:b/>
          <w:snapToGrid/>
          <w:spacing w:val="0"/>
          <w:kern w:val="2"/>
          <w:position w:val="0"/>
          <w:sz w:val="44"/>
          <w:szCs w:val="44"/>
          <w:lang w:val="en-US" w:eastAsia="zh-CN" w:bidi="ar-SA"/>
        </w:rPr>
        <w:t>六、商务响应说明书</w:t>
      </w:r>
      <w:bookmarkEnd w:id="218"/>
      <w:bookmarkEnd w:id="317"/>
      <w:bookmarkEnd w:id="318"/>
    </w:p>
    <w:p w14:paraId="04CABF00">
      <w:pPr>
        <w:pStyle w:val="34"/>
        <w:pageBreakBefore w:val="0"/>
        <w:wordWrap/>
        <w:overflowPunct/>
        <w:topLinePunct w:val="0"/>
        <w:bidi w:val="0"/>
        <w:spacing w:beforeAutospacing="0" w:afterAutospacing="0" w:line="360" w:lineRule="auto"/>
        <w:jc w:val="center"/>
        <w:rPr>
          <w:rFonts w:hint="eastAsia" w:asciiTheme="minorEastAsia" w:hAnsiTheme="minorEastAsia" w:eastAsiaTheme="minorEastAsia" w:cstheme="minorEastAsia"/>
          <w:spacing w:val="0"/>
          <w:position w:val="0"/>
          <w:sz w:val="24"/>
          <w:szCs w:val="24"/>
        </w:rPr>
      </w:pPr>
    </w:p>
    <w:p w14:paraId="1D231922">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项目名称：</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076C3AA9">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u w:val="single"/>
        </w:rPr>
      </w:pPr>
      <w:r>
        <w:rPr>
          <w:rFonts w:hint="eastAsia" w:asciiTheme="minorEastAsia" w:hAnsiTheme="minorEastAsia" w:eastAsiaTheme="minorEastAsia" w:cstheme="minorEastAsia"/>
          <w:color w:val="auto"/>
          <w:spacing w:val="0"/>
          <w:position w:val="0"/>
          <w:sz w:val="24"/>
          <w:szCs w:val="24"/>
        </w:rPr>
        <w:t>招标编号：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4A06100E">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投标包号：</w:t>
      </w:r>
      <w:r>
        <w:rPr>
          <w:rFonts w:hint="eastAsia" w:asciiTheme="minorEastAsia" w:hAnsiTheme="minorEastAsia" w:eastAsiaTheme="minorEastAsia" w:cstheme="minorEastAsia"/>
          <w:color w:val="auto"/>
          <w:spacing w:val="0"/>
          <w:position w:val="0"/>
          <w:sz w:val="24"/>
          <w:szCs w:val="24"/>
          <w:u w:val="single"/>
        </w:rPr>
        <w:t xml:space="preserve">                            </w:t>
      </w:r>
      <w:r>
        <w:rPr>
          <w:rFonts w:hint="eastAsia" w:asciiTheme="minorEastAsia" w:hAnsiTheme="minorEastAsia" w:eastAsiaTheme="minorEastAsia" w:cstheme="minorEastAsia"/>
          <w:color w:val="auto"/>
          <w:spacing w:val="0"/>
          <w:position w:val="0"/>
          <w:sz w:val="24"/>
          <w:szCs w:val="24"/>
          <w:u w:val="single"/>
          <w:lang w:val="en-US" w:eastAsia="zh-CN"/>
        </w:rPr>
        <w:t xml:space="preserve">                       </w:t>
      </w:r>
      <w:r>
        <w:rPr>
          <w:rFonts w:hint="eastAsia" w:asciiTheme="minorEastAsia" w:hAnsiTheme="minorEastAsia" w:eastAsiaTheme="minorEastAsia" w:cstheme="minorEastAsia"/>
          <w:color w:val="auto"/>
          <w:spacing w:val="0"/>
          <w:position w:val="0"/>
          <w:sz w:val="24"/>
          <w:szCs w:val="24"/>
          <w:u w:val="single"/>
        </w:rPr>
        <w:t xml:space="preserve">     </w:t>
      </w:r>
    </w:p>
    <w:p w14:paraId="76B7816A">
      <w:pPr>
        <w:pStyle w:val="34"/>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color w:val="000000"/>
          <w:spacing w:val="0"/>
          <w:position w:val="0"/>
          <w:sz w:val="24"/>
          <w:szCs w:val="24"/>
        </w:rPr>
      </w:pPr>
    </w:p>
    <w:p w14:paraId="733DC30F">
      <w:pPr>
        <w:pStyle w:val="34"/>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color w:val="000000"/>
          <w:spacing w:val="0"/>
          <w:position w:val="0"/>
          <w:sz w:val="24"/>
          <w:szCs w:val="24"/>
        </w:rPr>
      </w:pPr>
      <w:r>
        <w:rPr>
          <w:rFonts w:hint="eastAsia" w:asciiTheme="minorEastAsia" w:hAnsiTheme="minorEastAsia" w:eastAsiaTheme="minorEastAsia" w:cstheme="minorEastAsia"/>
          <w:color w:val="000000"/>
          <w:spacing w:val="0"/>
          <w:position w:val="0"/>
          <w:sz w:val="24"/>
          <w:szCs w:val="24"/>
        </w:rPr>
        <w:t xml:space="preserve">按照竞争性磋商文件的商务要求编制商务响应说明书，格式不限。 </w:t>
      </w:r>
    </w:p>
    <w:p w14:paraId="59DAC819">
      <w:pPr>
        <w:pStyle w:val="34"/>
        <w:pageBreakBefore w:val="0"/>
        <w:wordWrap/>
        <w:overflowPunct/>
        <w:topLinePunct w:val="0"/>
        <w:bidi w:val="0"/>
        <w:spacing w:beforeAutospacing="0" w:afterAutospacing="0" w:line="480" w:lineRule="auto"/>
        <w:rPr>
          <w:rFonts w:hint="eastAsia" w:asciiTheme="minorEastAsia" w:hAnsiTheme="minorEastAsia" w:eastAsiaTheme="minorEastAsia" w:cstheme="minorEastAsia"/>
          <w:color w:val="auto"/>
          <w:spacing w:val="0"/>
          <w:position w:val="0"/>
          <w:sz w:val="24"/>
          <w:szCs w:val="24"/>
        </w:rPr>
      </w:pPr>
      <w:r>
        <w:rPr>
          <w:rFonts w:hint="eastAsia" w:asciiTheme="minorEastAsia" w:hAnsiTheme="minorEastAsia" w:eastAsiaTheme="minorEastAsia" w:cstheme="minorEastAsia"/>
          <w:color w:val="auto"/>
          <w:spacing w:val="0"/>
          <w:position w:val="0"/>
          <w:sz w:val="24"/>
          <w:szCs w:val="24"/>
        </w:rPr>
        <w:t>但内容至少应包括如下：</w:t>
      </w:r>
    </w:p>
    <w:p w14:paraId="6EDB42CC">
      <w:pPr>
        <w:pStyle w:val="34"/>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1.投标报价所包含的全部供货内容；</w:t>
      </w:r>
    </w:p>
    <w:p w14:paraId="14819F83">
      <w:pPr>
        <w:pStyle w:val="34"/>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2.投标报价所包含的全部服务内容；</w:t>
      </w:r>
    </w:p>
    <w:p w14:paraId="08862791">
      <w:pPr>
        <w:pStyle w:val="34"/>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3.服务地点及服务方式；</w:t>
      </w:r>
    </w:p>
    <w:p w14:paraId="1494F21D">
      <w:pPr>
        <w:pStyle w:val="34"/>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5.付款条件和付款方式；</w:t>
      </w:r>
    </w:p>
    <w:p w14:paraId="000EB4B3">
      <w:pPr>
        <w:pStyle w:val="34"/>
        <w:keepNext w:val="0"/>
        <w:keepLines w:val="0"/>
        <w:pageBreakBefore w:val="0"/>
        <w:widowControl w:val="0"/>
        <w:kinsoku/>
        <w:wordWrap/>
        <w:overflowPunct/>
        <w:topLinePunct w:val="0"/>
        <w:autoSpaceDE w:val="0"/>
        <w:autoSpaceDN w:val="0"/>
        <w:bidi w:val="0"/>
        <w:adjustRightInd w:val="0"/>
        <w:snapToGrid/>
        <w:spacing w:beforeAutospacing="0" w:afterAutospacing="0" w:line="480" w:lineRule="auto"/>
        <w:ind w:firstLine="480" w:firstLineChars="200"/>
        <w:textAlignment w:val="auto"/>
        <w:rPr>
          <w:rFonts w:hint="eastAsia" w:asciiTheme="minorEastAsia" w:hAnsiTheme="minorEastAsia" w:eastAsiaTheme="minorEastAsia" w:cstheme="minorEastAsia"/>
          <w:color w:val="auto"/>
          <w:spacing w:val="0"/>
          <w:position w:val="0"/>
          <w:sz w:val="24"/>
          <w:szCs w:val="24"/>
          <w:lang w:val="en-US" w:eastAsia="zh-CN"/>
        </w:rPr>
      </w:pPr>
      <w:r>
        <w:rPr>
          <w:rFonts w:hint="eastAsia" w:asciiTheme="minorEastAsia" w:hAnsiTheme="minorEastAsia" w:eastAsiaTheme="minorEastAsia" w:cstheme="minorEastAsia"/>
          <w:color w:val="auto"/>
          <w:spacing w:val="0"/>
          <w:position w:val="0"/>
          <w:sz w:val="24"/>
          <w:szCs w:val="24"/>
          <w:lang w:val="en-US" w:eastAsia="zh-CN"/>
        </w:rPr>
        <w:t>6.验收依据及验收方式；</w:t>
      </w:r>
    </w:p>
    <w:p w14:paraId="6E1B8C44">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62F74F66">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49433649">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00210D26">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64FEB730">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bookmarkStart w:id="319" w:name="_Toc1882"/>
    </w:p>
    <w:p w14:paraId="0B341C4C">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7461765E">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57F23E7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5EB89864">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7A98EA94">
      <w:pPr>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b/>
          <w:snapToGrid/>
          <w:spacing w:val="0"/>
          <w:kern w:val="2"/>
          <w:position w:val="0"/>
          <w:sz w:val="24"/>
          <w:szCs w:val="24"/>
          <w:lang w:val="en-US" w:eastAsia="zh-CN" w:bidi="ar-SA"/>
        </w:rPr>
      </w:pPr>
      <w:r>
        <w:rPr>
          <w:rFonts w:hint="eastAsia" w:asciiTheme="minorEastAsia" w:hAnsiTheme="minorEastAsia" w:eastAsiaTheme="minorEastAsia" w:cstheme="minorEastAsia"/>
          <w:b/>
          <w:snapToGrid/>
          <w:spacing w:val="0"/>
          <w:kern w:val="2"/>
          <w:position w:val="0"/>
          <w:sz w:val="24"/>
          <w:szCs w:val="24"/>
          <w:lang w:val="en-US" w:eastAsia="zh-CN" w:bidi="ar-SA"/>
        </w:rPr>
        <w:br w:type="page"/>
      </w:r>
    </w:p>
    <w:p w14:paraId="02EDE2AE">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2"/>
          <w:position w:val="0"/>
          <w:sz w:val="36"/>
          <w:szCs w:val="36"/>
          <w:lang w:val="en-US" w:eastAsia="zh-CN" w:bidi="ar-SA"/>
        </w:rPr>
      </w:pPr>
      <w:bookmarkStart w:id="320" w:name="_Toc24137"/>
      <w:bookmarkStart w:id="321" w:name="_Toc31108"/>
      <w:r>
        <w:rPr>
          <w:rFonts w:hint="eastAsia" w:asciiTheme="minorEastAsia" w:hAnsiTheme="minorEastAsia" w:eastAsiaTheme="minorEastAsia" w:cstheme="minorEastAsia"/>
          <w:b/>
          <w:snapToGrid/>
          <w:spacing w:val="0"/>
          <w:kern w:val="2"/>
          <w:position w:val="0"/>
          <w:sz w:val="36"/>
          <w:szCs w:val="36"/>
          <w:lang w:val="en-US" w:eastAsia="zh-CN" w:bidi="ar-SA"/>
        </w:rPr>
        <w:t>七、投标方案说明书</w:t>
      </w:r>
      <w:bookmarkEnd w:id="319"/>
      <w:bookmarkEnd w:id="320"/>
      <w:bookmarkEnd w:id="321"/>
    </w:p>
    <w:p w14:paraId="1A93980D">
      <w:pPr>
        <w:pStyle w:val="34"/>
        <w:pageBreakBefore w:val="0"/>
        <w:wordWrap/>
        <w:overflowPunct/>
        <w:topLinePunct w:val="0"/>
        <w:bidi w:val="0"/>
        <w:spacing w:beforeAutospacing="0" w:afterAutospacing="0" w:line="360" w:lineRule="auto"/>
        <w:jc w:val="center"/>
        <w:rPr>
          <w:rFonts w:hint="eastAsia" w:asciiTheme="minorEastAsia" w:hAnsiTheme="minorEastAsia" w:eastAsiaTheme="minorEastAsia" w:cstheme="minorEastAsia"/>
          <w:spacing w:val="0"/>
          <w:position w:val="0"/>
          <w:sz w:val="22"/>
          <w:szCs w:val="22"/>
        </w:rPr>
      </w:pPr>
    </w:p>
    <w:p w14:paraId="6E48F1EC">
      <w:pPr>
        <w:widowControl/>
        <w:kinsoku w:val="0"/>
        <w:autoSpaceDE w:val="0"/>
        <w:autoSpaceDN w:val="0"/>
        <w:adjustRightInd w:val="0"/>
        <w:snapToGrid w:val="0"/>
        <w:spacing w:before="220" w:line="360" w:lineRule="auto"/>
        <w:ind w:left="69" w:firstLine="488" w:firstLineChars="200"/>
        <w:jc w:val="left"/>
        <w:textAlignment w:val="baseline"/>
        <w:rPr>
          <w:rFonts w:ascii="宋体" w:hAnsi="宋体" w:eastAsia="宋体" w:cs="宋体"/>
          <w:snapToGrid w:val="0"/>
          <w:color w:val="000000"/>
          <w:spacing w:val="2"/>
          <w:kern w:val="0"/>
          <w:sz w:val="24"/>
          <w:szCs w:val="24"/>
        </w:rPr>
      </w:pPr>
      <w:bookmarkStart w:id="322" w:name="_Toc1377"/>
      <w:bookmarkStart w:id="323" w:name="_Toc4849"/>
      <w:bookmarkStart w:id="324" w:name="_Toc8197"/>
      <w:r>
        <w:rPr>
          <w:rFonts w:ascii="宋体" w:hAnsi="宋体" w:eastAsia="宋体" w:cs="宋体"/>
          <w:snapToGrid w:val="0"/>
          <w:color w:val="000000"/>
          <w:spacing w:val="2"/>
          <w:kern w:val="0"/>
          <w:sz w:val="24"/>
          <w:szCs w:val="24"/>
        </w:rPr>
        <w:t>按照</w:t>
      </w:r>
      <w:r>
        <w:rPr>
          <w:rFonts w:hint="eastAsia" w:asciiTheme="minorEastAsia" w:hAnsiTheme="minorEastAsia" w:eastAsiaTheme="minorEastAsia" w:cstheme="minorEastAsia"/>
          <w:color w:val="000000"/>
          <w:spacing w:val="0"/>
          <w:position w:val="0"/>
          <w:sz w:val="24"/>
          <w:szCs w:val="24"/>
        </w:rPr>
        <w:t>竞争性磋商文件</w:t>
      </w:r>
      <w:r>
        <w:rPr>
          <w:rFonts w:ascii="宋体" w:hAnsi="宋体" w:eastAsia="宋体" w:cs="宋体"/>
          <w:snapToGrid w:val="0"/>
          <w:color w:val="000000"/>
          <w:spacing w:val="2"/>
          <w:kern w:val="0"/>
          <w:sz w:val="24"/>
          <w:szCs w:val="24"/>
        </w:rPr>
        <w:t>的要求编制的投标方案说明书，内容包括货物和/或服务的详细说明、技术规格响应表、货物配置说明、供货一览表、彩色样本、使用说明书，质量保证和售后服务承诺等。至少应包括如下：</w:t>
      </w:r>
    </w:p>
    <w:p w14:paraId="34014FE7">
      <w:pPr>
        <w:widowControl/>
        <w:kinsoku w:val="0"/>
        <w:autoSpaceDE w:val="0"/>
        <w:autoSpaceDN w:val="0"/>
        <w:adjustRightInd w:val="0"/>
        <w:snapToGrid w:val="0"/>
        <w:spacing w:before="220" w:line="360" w:lineRule="auto"/>
        <w:jc w:val="left"/>
        <w:textAlignment w:val="baseline"/>
        <w:outlineLvl w:val="2"/>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1）技术说明书</w:t>
      </w:r>
    </w:p>
    <w:p w14:paraId="6333E69D">
      <w:pPr>
        <w:widowControl/>
        <w:kinsoku w:val="0"/>
        <w:autoSpaceDE w:val="0"/>
        <w:autoSpaceDN w:val="0"/>
        <w:adjustRightInd w:val="0"/>
        <w:snapToGrid w:val="0"/>
        <w:spacing w:before="220" w:line="360" w:lineRule="auto"/>
        <w:ind w:left="69" w:firstLine="488" w:firstLineChars="200"/>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1.1所投货物的商标、型号、技术规格、详细的供货配置清单；</w:t>
      </w:r>
    </w:p>
    <w:p w14:paraId="041C3C23">
      <w:pPr>
        <w:widowControl/>
        <w:kinsoku w:val="0"/>
        <w:autoSpaceDE w:val="0"/>
        <w:autoSpaceDN w:val="0"/>
        <w:adjustRightInd w:val="0"/>
        <w:snapToGrid w:val="0"/>
        <w:spacing w:before="220" w:line="360" w:lineRule="auto"/>
        <w:ind w:left="69" w:firstLine="488" w:firstLineChars="200"/>
        <w:jc w:val="left"/>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1.2填写技术规格响应表，并提供支持文件。</w:t>
      </w:r>
    </w:p>
    <w:p w14:paraId="2DBC5537">
      <w:pPr>
        <w:widowControl/>
        <w:kinsoku w:val="0"/>
        <w:autoSpaceDE w:val="0"/>
        <w:autoSpaceDN w:val="0"/>
        <w:adjustRightInd w:val="0"/>
        <w:snapToGrid w:val="0"/>
        <w:spacing w:before="220" w:line="360" w:lineRule="auto"/>
        <w:ind w:left="69"/>
        <w:jc w:val="left"/>
        <w:textAlignment w:val="baseline"/>
        <w:outlineLvl w:val="2"/>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2）供货一览表。</w:t>
      </w:r>
    </w:p>
    <w:p w14:paraId="084CDB79">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3）货物的质量标准、检测标准、是否符合国家规范及相关认证等。</w:t>
      </w:r>
    </w:p>
    <w:p w14:paraId="4FBCE101">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4）货物的彩色样本、使用说明书。供货范围和服务内容的详细说明。</w:t>
      </w:r>
    </w:p>
    <w:p w14:paraId="2A42B1C8">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5）技术规格优于或偏离技术要求的指标（如果有的话）。</w:t>
      </w:r>
    </w:p>
    <w:p w14:paraId="395ED714">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6）制造商及原产地。</w:t>
      </w:r>
    </w:p>
    <w:p w14:paraId="5B100FC2">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7）履约措施及承诺。</w:t>
      </w:r>
    </w:p>
    <w:p w14:paraId="7407BC9D">
      <w:pPr>
        <w:widowControl/>
        <w:kinsoku w:val="0"/>
        <w:autoSpaceDE w:val="0"/>
        <w:autoSpaceDN w:val="0"/>
        <w:adjustRightInd w:val="0"/>
        <w:snapToGrid w:val="0"/>
        <w:spacing w:before="220" w:line="360" w:lineRule="auto"/>
        <w:ind w:left="69"/>
        <w:jc w:val="left"/>
        <w:textAlignment w:val="baseline"/>
        <w:rPr>
          <w:rFonts w:ascii="宋体" w:hAnsi="宋体" w:eastAsia="宋体" w:cs="宋体"/>
          <w:snapToGrid w:val="0"/>
          <w:color w:val="000000"/>
          <w:spacing w:val="2"/>
          <w:kern w:val="0"/>
          <w:sz w:val="24"/>
          <w:szCs w:val="24"/>
        </w:rPr>
      </w:pPr>
      <w:r>
        <w:rPr>
          <w:rFonts w:hint="eastAsia" w:ascii="宋体" w:hAnsi="宋体" w:eastAsia="宋体" w:cs="宋体"/>
          <w:snapToGrid w:val="0"/>
          <w:color w:val="000000"/>
          <w:spacing w:val="2"/>
          <w:kern w:val="0"/>
          <w:sz w:val="24"/>
          <w:szCs w:val="24"/>
          <w:lang w:eastAsia="zh-CN"/>
        </w:rPr>
        <w:t>（</w:t>
      </w:r>
      <w:r>
        <w:rPr>
          <w:rFonts w:ascii="宋体" w:hAnsi="宋体" w:eastAsia="宋体" w:cs="宋体"/>
          <w:snapToGrid w:val="0"/>
          <w:color w:val="000000"/>
          <w:spacing w:val="2"/>
          <w:kern w:val="0"/>
          <w:sz w:val="24"/>
          <w:szCs w:val="24"/>
        </w:rPr>
        <w:t>8）质量保证措施、培训方案、售后服务的内容及承诺。</w:t>
      </w:r>
    </w:p>
    <w:p w14:paraId="43AAC4A2">
      <w:pPr>
        <w:rPr>
          <w:rFonts w:ascii="宋体" w:hAnsi="宋体" w:eastAsia="宋体" w:cs="宋体"/>
          <w:snapToGrid w:val="0"/>
          <w:color w:val="000000"/>
          <w:spacing w:val="-14"/>
          <w:kern w:val="0"/>
          <w:sz w:val="28"/>
          <w:szCs w:val="28"/>
          <w14:textOutline w14:w="5103" w14:cap="sq" w14:cmpd="sng">
            <w14:solidFill>
              <w14:srgbClr w14:val="000000"/>
            </w14:solidFill>
            <w14:prstDash w14:val="solid"/>
            <w14:bevel/>
          </w14:textOutline>
        </w:rPr>
      </w:pPr>
      <w:r>
        <w:rPr>
          <w:rFonts w:ascii="宋体" w:hAnsi="宋体" w:eastAsia="宋体" w:cs="宋体"/>
          <w:snapToGrid w:val="0"/>
          <w:color w:val="000000"/>
          <w:spacing w:val="-14"/>
          <w:kern w:val="0"/>
          <w:sz w:val="28"/>
          <w:szCs w:val="28"/>
          <w14:textOutline w14:w="5103" w14:cap="sq" w14:cmpd="sng">
            <w14:solidFill>
              <w14:srgbClr w14:val="000000"/>
            </w14:solidFill>
            <w14:prstDash w14:val="solid"/>
            <w14:bevel/>
          </w14:textOutline>
        </w:rPr>
        <w:br w:type="page"/>
      </w:r>
    </w:p>
    <w:p w14:paraId="24D0C32A">
      <w:pPr>
        <w:widowControl/>
        <w:kinsoku w:val="0"/>
        <w:autoSpaceDE w:val="0"/>
        <w:autoSpaceDN w:val="0"/>
        <w:adjustRightInd w:val="0"/>
        <w:snapToGrid w:val="0"/>
        <w:spacing w:before="65" w:line="360" w:lineRule="auto"/>
        <w:ind w:left="24"/>
        <w:jc w:val="left"/>
        <w:textAlignment w:val="baseline"/>
        <w:outlineLvl w:val="1"/>
        <w:rPr>
          <w:rFonts w:hint="default" w:ascii="宋体" w:hAnsi="宋体" w:eastAsia="宋体" w:cs="宋体"/>
          <w:snapToGrid w:val="0"/>
          <w:color w:val="000000"/>
          <w:kern w:val="0"/>
          <w:sz w:val="24"/>
          <w:szCs w:val="24"/>
          <w:lang w:val="en-US" w:eastAsia="zh-CN"/>
        </w:rPr>
      </w:pPr>
      <w:bookmarkStart w:id="325" w:name="_Toc11598"/>
      <w:bookmarkStart w:id="326" w:name="_Toc21848"/>
      <w:r>
        <w:rPr>
          <w:rFonts w:hint="eastAsia" w:ascii="宋体" w:hAnsi="宋体" w:eastAsia="宋体" w:cs="宋体"/>
          <w:snapToGrid w:val="0"/>
          <w:color w:val="000000"/>
          <w:kern w:val="0"/>
          <w:sz w:val="24"/>
          <w:szCs w:val="24"/>
          <w:lang w:val="en-US" w:eastAsia="zh-CN"/>
        </w:rPr>
        <w:t>附件7-1</w:t>
      </w:r>
      <w:bookmarkEnd w:id="325"/>
      <w:bookmarkEnd w:id="326"/>
    </w:p>
    <w:p w14:paraId="4FEC3CC6">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27" w:name="_Toc23047"/>
      <w:bookmarkStart w:id="328" w:name="_Toc25336"/>
      <w:r>
        <w:rPr>
          <w:rFonts w:hint="eastAsia" w:asciiTheme="minorEastAsia" w:hAnsiTheme="minorEastAsia" w:eastAsiaTheme="minorEastAsia" w:cstheme="minorEastAsia"/>
          <w:b/>
          <w:snapToGrid/>
          <w:spacing w:val="0"/>
          <w:kern w:val="2"/>
          <w:position w:val="0"/>
          <w:sz w:val="32"/>
          <w:szCs w:val="32"/>
          <w:lang w:val="en-US" w:eastAsia="zh-CN" w:bidi="ar-SA"/>
        </w:rPr>
        <w:t>技术规格响应表</w:t>
      </w:r>
      <w:bookmarkEnd w:id="322"/>
      <w:bookmarkEnd w:id="323"/>
      <w:bookmarkEnd w:id="327"/>
      <w:bookmarkEnd w:id="328"/>
    </w:p>
    <w:p w14:paraId="77E530EB">
      <w:pPr>
        <w:widowControl/>
        <w:kinsoku w:val="0"/>
        <w:autoSpaceDE w:val="0"/>
        <w:autoSpaceDN w:val="0"/>
        <w:adjustRightInd w:val="0"/>
        <w:snapToGrid w:val="0"/>
        <w:spacing w:line="331" w:lineRule="auto"/>
        <w:jc w:val="left"/>
        <w:textAlignment w:val="baseline"/>
        <w:rPr>
          <w:rFonts w:ascii="Arial" w:hAnsi="Arial" w:eastAsia="Arial" w:cs="Arial"/>
          <w:snapToGrid w:val="0"/>
          <w:color w:val="000000"/>
          <w:kern w:val="0"/>
          <w:sz w:val="21"/>
          <w:szCs w:val="21"/>
        </w:rPr>
      </w:pPr>
    </w:p>
    <w:p w14:paraId="4B92660B">
      <w:pPr>
        <w:widowControl/>
        <w:kinsoku w:val="0"/>
        <w:autoSpaceDE w:val="0"/>
        <w:autoSpaceDN w:val="0"/>
        <w:adjustRightInd w:val="0"/>
        <w:snapToGrid w:val="0"/>
        <w:spacing w:line="332" w:lineRule="auto"/>
        <w:jc w:val="left"/>
        <w:textAlignment w:val="baseline"/>
        <w:rPr>
          <w:rFonts w:ascii="Arial" w:hAnsi="Arial" w:eastAsia="Arial" w:cs="Arial"/>
          <w:snapToGrid w:val="0"/>
          <w:color w:val="000000"/>
          <w:kern w:val="0"/>
          <w:sz w:val="21"/>
          <w:szCs w:val="21"/>
        </w:rPr>
      </w:pPr>
    </w:p>
    <w:p w14:paraId="7E295780">
      <w:pPr>
        <w:widowControl/>
        <w:kinsoku w:val="0"/>
        <w:autoSpaceDE w:val="0"/>
        <w:autoSpaceDN w:val="0"/>
        <w:adjustRightInd w:val="0"/>
        <w:snapToGrid w:val="0"/>
        <w:spacing w:before="65" w:line="228" w:lineRule="auto"/>
        <w:ind w:left="124"/>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项</w:t>
      </w:r>
      <w:r>
        <w:rPr>
          <w:rFonts w:ascii="宋体" w:hAnsi="宋体" w:eastAsia="宋体" w:cs="宋体"/>
          <w:snapToGrid w:val="0"/>
          <w:color w:val="000000"/>
          <w:spacing w:val="5"/>
          <w:kern w:val="0"/>
          <w:sz w:val="24"/>
          <w:szCs w:val="24"/>
        </w:rPr>
        <w:t>目名称：</w:t>
      </w:r>
      <w:r>
        <w:rPr>
          <w:rFonts w:ascii="宋体" w:hAnsi="宋体" w:eastAsia="宋体" w:cs="宋体"/>
          <w:snapToGrid w:val="0"/>
          <w:color w:val="000000"/>
          <w:kern w:val="0"/>
          <w:sz w:val="24"/>
          <w:szCs w:val="24"/>
          <w:u w:val="single" w:color="auto"/>
        </w:rPr>
        <w:t xml:space="preserve">                                           </w:t>
      </w:r>
    </w:p>
    <w:p w14:paraId="135AC872">
      <w:pPr>
        <w:widowControl/>
        <w:kinsoku w:val="0"/>
        <w:autoSpaceDE w:val="0"/>
        <w:autoSpaceDN w:val="0"/>
        <w:adjustRightInd w:val="0"/>
        <w:snapToGrid w:val="0"/>
        <w:spacing w:before="246" w:line="228" w:lineRule="auto"/>
        <w:ind w:left="123"/>
        <w:jc w:val="left"/>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5"/>
          <w:kern w:val="0"/>
          <w:sz w:val="24"/>
          <w:szCs w:val="24"/>
          <w:lang w:val="en-US" w:eastAsia="zh-CN"/>
        </w:rPr>
        <w:t>招标编号</w:t>
      </w:r>
      <w:r>
        <w:rPr>
          <w:rFonts w:ascii="宋体" w:hAnsi="宋体" w:eastAsia="宋体" w:cs="宋体"/>
          <w:snapToGrid w:val="0"/>
          <w:color w:val="000000"/>
          <w:spacing w:val="5"/>
          <w:kern w:val="0"/>
          <w:sz w:val="24"/>
          <w:szCs w:val="24"/>
        </w:rPr>
        <w:t>：</w:t>
      </w:r>
      <w:r>
        <w:rPr>
          <w:rFonts w:ascii="宋体" w:hAnsi="宋体" w:eastAsia="宋体" w:cs="宋体"/>
          <w:snapToGrid w:val="0"/>
          <w:color w:val="000000"/>
          <w:kern w:val="0"/>
          <w:sz w:val="24"/>
          <w:szCs w:val="24"/>
          <w:u w:val="single" w:color="auto"/>
        </w:rPr>
        <w:t xml:space="preserve">                                           </w:t>
      </w:r>
    </w:p>
    <w:p w14:paraId="5329BA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4"/>
          <w:szCs w:val="24"/>
        </w:rPr>
      </w:pPr>
    </w:p>
    <w:p w14:paraId="6E5644DA">
      <w:pPr>
        <w:widowControl/>
        <w:kinsoku w:val="0"/>
        <w:autoSpaceDE w:val="0"/>
        <w:autoSpaceDN w:val="0"/>
        <w:adjustRightInd w:val="0"/>
        <w:snapToGrid w:val="0"/>
        <w:spacing w:line="100" w:lineRule="exact"/>
        <w:jc w:val="left"/>
        <w:textAlignment w:val="baseline"/>
        <w:rPr>
          <w:rFonts w:ascii="Arial" w:hAnsi="Arial" w:eastAsia="Arial" w:cs="Arial"/>
          <w:snapToGrid w:val="0"/>
          <w:color w:val="000000"/>
          <w:kern w:val="0"/>
          <w:sz w:val="24"/>
          <w:szCs w:val="24"/>
        </w:rPr>
      </w:pPr>
    </w:p>
    <w:tbl>
      <w:tblPr>
        <w:tblStyle w:val="35"/>
        <w:tblW w:w="83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3195"/>
        <w:gridCol w:w="2460"/>
        <w:gridCol w:w="1200"/>
        <w:gridCol w:w="780"/>
      </w:tblGrid>
      <w:tr w14:paraId="7D4A3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686" w:type="dxa"/>
            <w:vAlign w:val="center"/>
          </w:tcPr>
          <w:p w14:paraId="3872F519">
            <w:pPr>
              <w:widowControl/>
              <w:kinsoku w:val="0"/>
              <w:autoSpaceDE w:val="0"/>
              <w:autoSpaceDN w:val="0"/>
              <w:adjustRightInd w:val="0"/>
              <w:snapToGrid w:val="0"/>
              <w:spacing w:before="294" w:line="229"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序号</w:t>
            </w:r>
          </w:p>
        </w:tc>
        <w:tc>
          <w:tcPr>
            <w:tcW w:w="3195" w:type="dxa"/>
            <w:vAlign w:val="center"/>
          </w:tcPr>
          <w:p w14:paraId="04AB0989">
            <w:pPr>
              <w:widowControl/>
              <w:kinsoku w:val="0"/>
              <w:autoSpaceDE w:val="0"/>
              <w:autoSpaceDN w:val="0"/>
              <w:adjustRightInd w:val="0"/>
              <w:snapToGrid w:val="0"/>
              <w:spacing w:before="294" w:line="228"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1"/>
                <w:kern w:val="0"/>
                <w:sz w:val="24"/>
                <w:szCs w:val="24"/>
              </w:rPr>
              <w:t>☆</w:t>
            </w:r>
            <w:r>
              <w:rPr>
                <w:rFonts w:ascii="宋体" w:hAnsi="宋体" w:eastAsia="宋体" w:cs="宋体"/>
                <w:snapToGrid w:val="0"/>
                <w:color w:val="000000"/>
                <w:spacing w:val="8"/>
                <w:kern w:val="0"/>
                <w:sz w:val="24"/>
                <w:szCs w:val="24"/>
              </w:rPr>
              <w:t>1</w:t>
            </w:r>
            <w:r>
              <w:rPr>
                <w:rFonts w:hint="eastAsia" w:ascii="宋体" w:hAnsi="宋体" w:eastAsia="宋体" w:cs="宋体"/>
                <w:snapToGrid w:val="0"/>
                <w:color w:val="000000"/>
                <w:spacing w:val="8"/>
                <w:kern w:val="0"/>
                <w:sz w:val="24"/>
                <w:szCs w:val="24"/>
                <w:lang w:val="en-US" w:eastAsia="zh-CN"/>
              </w:rPr>
              <w:t>竞争性磋商</w:t>
            </w:r>
            <w:r>
              <w:rPr>
                <w:rFonts w:ascii="宋体" w:hAnsi="宋体" w:eastAsia="宋体" w:cs="宋体"/>
                <w:snapToGrid w:val="0"/>
                <w:color w:val="000000"/>
                <w:spacing w:val="8"/>
                <w:kern w:val="0"/>
                <w:sz w:val="24"/>
                <w:szCs w:val="24"/>
              </w:rPr>
              <w:t>文件技术要求</w:t>
            </w:r>
          </w:p>
        </w:tc>
        <w:tc>
          <w:tcPr>
            <w:tcW w:w="2460" w:type="dxa"/>
            <w:vAlign w:val="center"/>
          </w:tcPr>
          <w:p w14:paraId="5374466F">
            <w:pPr>
              <w:widowControl/>
              <w:kinsoku w:val="0"/>
              <w:autoSpaceDE w:val="0"/>
              <w:autoSpaceDN w:val="0"/>
              <w:adjustRightInd w:val="0"/>
              <w:snapToGrid w:val="0"/>
              <w:spacing w:before="301" w:line="227" w:lineRule="auto"/>
              <w:ind w:left="114"/>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w:t>
            </w:r>
            <w:r>
              <w:rPr>
                <w:rFonts w:ascii="宋体" w:hAnsi="宋体" w:eastAsia="宋体" w:cs="宋体"/>
                <w:snapToGrid w:val="0"/>
                <w:color w:val="000000"/>
                <w:spacing w:val="4"/>
                <w:kern w:val="0"/>
                <w:sz w:val="24"/>
                <w:szCs w:val="24"/>
              </w:rPr>
              <w:t>2</w:t>
            </w:r>
            <w:r>
              <w:rPr>
                <w:rFonts w:ascii="宋体" w:hAnsi="宋体" w:eastAsia="宋体" w:cs="宋体"/>
                <w:snapToGrid w:val="0"/>
                <w:color w:val="000000"/>
                <w:spacing w:val="3"/>
                <w:kern w:val="0"/>
                <w:sz w:val="24"/>
                <w:szCs w:val="24"/>
              </w:rPr>
              <w:t>投标货物实际参数</w:t>
            </w:r>
          </w:p>
        </w:tc>
        <w:tc>
          <w:tcPr>
            <w:tcW w:w="1200" w:type="dxa"/>
            <w:vAlign w:val="center"/>
          </w:tcPr>
          <w:p w14:paraId="317D96E1">
            <w:pPr>
              <w:widowControl/>
              <w:kinsoku w:val="0"/>
              <w:autoSpaceDE w:val="0"/>
              <w:autoSpaceDN w:val="0"/>
              <w:adjustRightInd w:val="0"/>
              <w:snapToGrid w:val="0"/>
              <w:spacing w:before="294" w:line="228"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响</w:t>
            </w:r>
            <w:r>
              <w:rPr>
                <w:rFonts w:ascii="宋体" w:hAnsi="宋体" w:eastAsia="宋体" w:cs="宋体"/>
                <w:snapToGrid w:val="0"/>
                <w:color w:val="000000"/>
                <w:spacing w:val="4"/>
                <w:kern w:val="0"/>
                <w:sz w:val="24"/>
                <w:szCs w:val="24"/>
              </w:rPr>
              <w:t>应/偏离</w:t>
            </w:r>
          </w:p>
        </w:tc>
        <w:tc>
          <w:tcPr>
            <w:tcW w:w="780" w:type="dxa"/>
            <w:vAlign w:val="center"/>
          </w:tcPr>
          <w:p w14:paraId="019FFE8D">
            <w:pPr>
              <w:widowControl/>
              <w:kinsoku w:val="0"/>
              <w:autoSpaceDE w:val="0"/>
              <w:autoSpaceDN w:val="0"/>
              <w:adjustRightInd w:val="0"/>
              <w:snapToGrid w:val="0"/>
              <w:spacing w:before="294" w:line="229"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备</w:t>
            </w:r>
            <w:r>
              <w:rPr>
                <w:rFonts w:ascii="宋体" w:hAnsi="宋体" w:eastAsia="宋体" w:cs="宋体"/>
                <w:snapToGrid w:val="0"/>
                <w:color w:val="000000"/>
                <w:spacing w:val="3"/>
                <w:kern w:val="0"/>
                <w:sz w:val="24"/>
                <w:szCs w:val="24"/>
              </w:rPr>
              <w:t>注</w:t>
            </w:r>
          </w:p>
        </w:tc>
      </w:tr>
      <w:tr w14:paraId="28C4A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686" w:type="dxa"/>
            <w:vAlign w:val="center"/>
          </w:tcPr>
          <w:p w14:paraId="617D1C9D">
            <w:pPr>
              <w:widowControl/>
              <w:kinsoku w:val="0"/>
              <w:autoSpaceDE w:val="0"/>
              <w:autoSpaceDN w:val="0"/>
              <w:adjustRightInd w:val="0"/>
              <w:snapToGrid w:val="0"/>
              <w:spacing w:before="270" w:line="193"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1</w:t>
            </w:r>
          </w:p>
        </w:tc>
        <w:tc>
          <w:tcPr>
            <w:tcW w:w="3195" w:type="dxa"/>
            <w:vAlign w:val="center"/>
          </w:tcPr>
          <w:p w14:paraId="5630175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1207A16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6E88342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277AD9C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6F479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686" w:type="dxa"/>
            <w:vAlign w:val="center"/>
          </w:tcPr>
          <w:p w14:paraId="6DDE77C3">
            <w:pPr>
              <w:widowControl/>
              <w:kinsoku w:val="0"/>
              <w:autoSpaceDE w:val="0"/>
              <w:autoSpaceDN w:val="0"/>
              <w:adjustRightInd w:val="0"/>
              <w:snapToGrid w:val="0"/>
              <w:spacing w:before="283" w:line="192"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2</w:t>
            </w:r>
          </w:p>
        </w:tc>
        <w:tc>
          <w:tcPr>
            <w:tcW w:w="3195" w:type="dxa"/>
            <w:vAlign w:val="center"/>
          </w:tcPr>
          <w:p w14:paraId="5CA4690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2C9C216B">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77D52BF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5C264CA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45B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686" w:type="dxa"/>
            <w:vAlign w:val="center"/>
          </w:tcPr>
          <w:p w14:paraId="0E498BAE">
            <w:pPr>
              <w:widowControl/>
              <w:kinsoku w:val="0"/>
              <w:autoSpaceDE w:val="0"/>
              <w:autoSpaceDN w:val="0"/>
              <w:adjustRightInd w:val="0"/>
              <w:snapToGrid w:val="0"/>
              <w:spacing w:before="275" w:line="190"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3</w:t>
            </w:r>
          </w:p>
        </w:tc>
        <w:tc>
          <w:tcPr>
            <w:tcW w:w="3195" w:type="dxa"/>
            <w:vAlign w:val="center"/>
          </w:tcPr>
          <w:p w14:paraId="1D2BC59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293E188A">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21CE670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3CB05DA3">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6F5CA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86" w:type="dxa"/>
            <w:vAlign w:val="center"/>
          </w:tcPr>
          <w:p w14:paraId="71B72648">
            <w:pPr>
              <w:widowControl/>
              <w:kinsoku w:val="0"/>
              <w:autoSpaceDE w:val="0"/>
              <w:autoSpaceDN w:val="0"/>
              <w:adjustRightInd w:val="0"/>
              <w:snapToGrid w:val="0"/>
              <w:spacing w:before="281" w:line="192"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4</w:t>
            </w:r>
          </w:p>
        </w:tc>
        <w:tc>
          <w:tcPr>
            <w:tcW w:w="3195" w:type="dxa"/>
            <w:vAlign w:val="center"/>
          </w:tcPr>
          <w:p w14:paraId="18BB46CC">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1E24FD8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7BE9A3A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252C152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7453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686" w:type="dxa"/>
            <w:vAlign w:val="center"/>
          </w:tcPr>
          <w:p w14:paraId="579AAD78">
            <w:pPr>
              <w:widowControl/>
              <w:kinsoku w:val="0"/>
              <w:autoSpaceDE w:val="0"/>
              <w:autoSpaceDN w:val="0"/>
              <w:adjustRightInd w:val="0"/>
              <w:snapToGrid w:val="0"/>
              <w:spacing w:before="283" w:line="189" w:lineRule="auto"/>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sz w:val="24"/>
                <w:szCs w:val="24"/>
              </w:rPr>
              <w:t>5</w:t>
            </w:r>
          </w:p>
        </w:tc>
        <w:tc>
          <w:tcPr>
            <w:tcW w:w="3195" w:type="dxa"/>
            <w:vAlign w:val="center"/>
          </w:tcPr>
          <w:p w14:paraId="2BE72DD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7D00B711">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721E6BF4">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31270145">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r w14:paraId="77247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86" w:type="dxa"/>
            <w:vAlign w:val="center"/>
          </w:tcPr>
          <w:p w14:paraId="665A157C">
            <w:pPr>
              <w:widowControl/>
              <w:kinsoku w:val="0"/>
              <w:autoSpaceDE w:val="0"/>
              <w:autoSpaceDN w:val="0"/>
              <w:adjustRightInd w:val="0"/>
              <w:snapToGrid w:val="0"/>
              <w:spacing w:before="250" w:line="324" w:lineRule="exact"/>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kern w:val="0"/>
                <w:position w:val="2"/>
                <w:sz w:val="24"/>
                <w:szCs w:val="24"/>
              </w:rPr>
              <w:t>…</w:t>
            </w:r>
          </w:p>
        </w:tc>
        <w:tc>
          <w:tcPr>
            <w:tcW w:w="3195" w:type="dxa"/>
            <w:vAlign w:val="center"/>
          </w:tcPr>
          <w:p w14:paraId="578375C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2460" w:type="dxa"/>
            <w:vAlign w:val="center"/>
          </w:tcPr>
          <w:p w14:paraId="4BA03A7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1200" w:type="dxa"/>
            <w:vAlign w:val="center"/>
          </w:tcPr>
          <w:p w14:paraId="18179C32">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c>
          <w:tcPr>
            <w:tcW w:w="780" w:type="dxa"/>
            <w:vAlign w:val="center"/>
          </w:tcPr>
          <w:p w14:paraId="0926310E">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4"/>
                <w:szCs w:val="24"/>
              </w:rPr>
            </w:pPr>
          </w:p>
        </w:tc>
      </w:tr>
    </w:tbl>
    <w:p w14:paraId="2032AAB5">
      <w:pPr>
        <w:widowControl/>
        <w:kinsoku w:val="0"/>
        <w:autoSpaceDE w:val="0"/>
        <w:autoSpaceDN w:val="0"/>
        <w:adjustRightInd w:val="0"/>
        <w:snapToGrid w:val="0"/>
        <w:spacing w:before="211" w:line="360" w:lineRule="auto"/>
        <w:ind w:left="121"/>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 xml:space="preserve">注: </w:t>
      </w:r>
      <w:r>
        <w:rPr>
          <w:rFonts w:ascii="宋体" w:hAnsi="宋体" w:eastAsia="宋体" w:cs="宋体"/>
          <w:snapToGrid w:val="0"/>
          <w:color w:val="000000"/>
          <w:spacing w:val="9"/>
          <w:kern w:val="0"/>
          <w:sz w:val="24"/>
          <w:szCs w:val="24"/>
        </w:rPr>
        <w:t>1</w:t>
      </w:r>
      <w:r>
        <w:rPr>
          <w:rFonts w:ascii="宋体" w:hAnsi="宋体" w:eastAsia="宋体" w:cs="宋体"/>
          <w:snapToGrid w:val="0"/>
          <w:color w:val="000000"/>
          <w:spacing w:val="8"/>
          <w:kern w:val="0"/>
          <w:sz w:val="24"/>
          <w:szCs w:val="24"/>
        </w:rPr>
        <w:t>. ☆1指招标文件中的技术规格(参数)，投标人应按照招标文件中的内容逐条抄写。</w:t>
      </w:r>
    </w:p>
    <w:p w14:paraId="00211C25">
      <w:pPr>
        <w:widowControl/>
        <w:kinsoku w:val="0"/>
        <w:autoSpaceDE w:val="0"/>
        <w:autoSpaceDN w:val="0"/>
        <w:adjustRightInd w:val="0"/>
        <w:snapToGrid w:val="0"/>
        <w:spacing w:before="242" w:line="360" w:lineRule="auto"/>
        <w:ind w:left="138" w:right="2" w:firstLine="405"/>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2.</w:t>
      </w:r>
      <w:r>
        <w:rPr>
          <w:rFonts w:ascii="宋体" w:hAnsi="宋体" w:eastAsia="宋体" w:cs="宋体"/>
          <w:snapToGrid w:val="0"/>
          <w:color w:val="000000"/>
          <w:spacing w:val="12"/>
          <w:kern w:val="0"/>
          <w:sz w:val="24"/>
          <w:szCs w:val="24"/>
        </w:rPr>
        <w:t xml:space="preserve"> </w:t>
      </w:r>
      <w:r>
        <w:rPr>
          <w:rFonts w:ascii="宋体" w:hAnsi="宋体" w:eastAsia="宋体" w:cs="宋体"/>
          <w:snapToGrid w:val="0"/>
          <w:color w:val="000000"/>
          <w:spacing w:val="8"/>
          <w:kern w:val="0"/>
          <w:sz w:val="24"/>
          <w:szCs w:val="24"/>
        </w:rPr>
        <w:t>☆2指投标人拟提供的投标货物的功能及技术规格(参数)，投标人应逐条如实填写并提供相应</w:t>
      </w:r>
      <w:r>
        <w:rPr>
          <w:rFonts w:ascii="宋体" w:hAnsi="宋体" w:eastAsia="宋体" w:cs="宋体"/>
          <w:snapToGrid w:val="0"/>
          <w:color w:val="000000"/>
          <w:kern w:val="0"/>
          <w:sz w:val="24"/>
          <w:szCs w:val="24"/>
        </w:rPr>
        <w:t xml:space="preserve"> </w:t>
      </w:r>
      <w:r>
        <w:rPr>
          <w:rFonts w:ascii="宋体" w:hAnsi="宋体" w:eastAsia="宋体" w:cs="宋体"/>
          <w:snapToGrid w:val="0"/>
          <w:color w:val="000000"/>
          <w:spacing w:val="4"/>
          <w:kern w:val="0"/>
          <w:sz w:val="24"/>
          <w:szCs w:val="24"/>
        </w:rPr>
        <w:t>的支持文件</w:t>
      </w:r>
      <w:r>
        <w:rPr>
          <w:rFonts w:ascii="宋体" w:hAnsi="宋体" w:eastAsia="宋体" w:cs="宋体"/>
          <w:snapToGrid w:val="0"/>
          <w:color w:val="000000"/>
          <w:spacing w:val="3"/>
          <w:kern w:val="0"/>
          <w:sz w:val="24"/>
          <w:szCs w:val="24"/>
        </w:rPr>
        <w:t>。</w:t>
      </w:r>
    </w:p>
    <w:p w14:paraId="6AC26A6C">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4414E796">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402BA1E8">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332785D3">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2507CC1D">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0F1B3007">
      <w:pPr>
        <w:spacing w:line="360" w:lineRule="auto"/>
        <w:rPr>
          <w:sz w:val="24"/>
          <w:szCs w:val="24"/>
        </w:rPr>
      </w:pPr>
    </w:p>
    <w:p w14:paraId="646A9822">
      <w:pPr>
        <w:spacing w:line="360" w:lineRule="auto"/>
        <w:rPr>
          <w:sz w:val="24"/>
          <w:szCs w:val="24"/>
        </w:rPr>
        <w:sectPr>
          <w:headerReference r:id="rId10" w:type="default"/>
          <w:footerReference r:id="rId11" w:type="default"/>
          <w:pgSz w:w="11906" w:h="16839"/>
          <w:pgMar w:top="1440" w:right="1800" w:bottom="1440" w:left="1800" w:header="878" w:footer="996" w:gutter="0"/>
          <w:pgNumType w:fmt="decimal"/>
          <w:cols w:space="720" w:num="1"/>
        </w:sectPr>
      </w:pPr>
    </w:p>
    <w:p w14:paraId="5E437C37">
      <w:pPr>
        <w:widowControl/>
        <w:kinsoku w:val="0"/>
        <w:autoSpaceDE w:val="0"/>
        <w:autoSpaceDN w:val="0"/>
        <w:adjustRightInd w:val="0"/>
        <w:snapToGrid w:val="0"/>
        <w:spacing w:before="65" w:line="360" w:lineRule="auto"/>
        <w:ind w:left="24"/>
        <w:jc w:val="left"/>
        <w:textAlignment w:val="baseline"/>
        <w:rPr>
          <w:rFonts w:hint="default" w:ascii="宋体" w:hAnsi="宋体" w:eastAsia="宋体" w:cs="宋体"/>
          <w:snapToGrid w:val="0"/>
          <w:color w:val="000000"/>
          <w:kern w:val="0"/>
          <w:sz w:val="24"/>
          <w:szCs w:val="24"/>
          <w:lang w:val="en-US" w:eastAsia="zh-CN"/>
        </w:rPr>
      </w:pPr>
      <w:r>
        <w:rPr>
          <w:rFonts w:ascii="宋体" w:hAnsi="宋体" w:eastAsia="宋体" w:cs="宋体"/>
          <w:snapToGrid w:val="0"/>
          <w:color w:val="000000"/>
          <w:kern w:val="0"/>
          <w:sz w:val="24"/>
          <w:szCs w:val="24"/>
        </w:rPr>
        <w:t>附件</w:t>
      </w:r>
      <w:r>
        <w:rPr>
          <w:rFonts w:hint="eastAsia" w:ascii="宋体" w:hAnsi="宋体" w:eastAsia="宋体" w:cs="宋体"/>
          <w:snapToGrid w:val="0"/>
          <w:color w:val="000000"/>
          <w:kern w:val="0"/>
          <w:sz w:val="24"/>
          <w:szCs w:val="24"/>
          <w:lang w:val="en-US" w:eastAsia="zh-CN"/>
        </w:rPr>
        <w:t>7-2</w:t>
      </w:r>
    </w:p>
    <w:p w14:paraId="052FFE82">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b/>
          <w:snapToGrid/>
          <w:spacing w:val="0"/>
          <w:kern w:val="2"/>
          <w:position w:val="0"/>
          <w:sz w:val="32"/>
          <w:szCs w:val="32"/>
          <w:lang w:val="en-US" w:eastAsia="zh-CN" w:bidi="ar-SA"/>
        </w:rPr>
      </w:pPr>
      <w:bookmarkStart w:id="329" w:name="_Toc5055"/>
      <w:bookmarkStart w:id="330" w:name="_Toc8281"/>
      <w:bookmarkStart w:id="331" w:name="_Toc18967"/>
      <w:r>
        <w:rPr>
          <w:rFonts w:hint="eastAsia" w:asciiTheme="minorEastAsia" w:hAnsiTheme="minorEastAsia" w:eastAsiaTheme="minorEastAsia" w:cstheme="minorEastAsia"/>
          <w:b/>
          <w:snapToGrid/>
          <w:spacing w:val="0"/>
          <w:kern w:val="2"/>
          <w:position w:val="0"/>
          <w:sz w:val="32"/>
          <w:szCs w:val="32"/>
          <w:lang w:val="en-US" w:eastAsia="zh-CN" w:bidi="ar-SA"/>
        </w:rPr>
        <w:t>供货一览表</w:t>
      </w:r>
      <w:bookmarkEnd w:id="329"/>
      <w:bookmarkEnd w:id="330"/>
      <w:bookmarkEnd w:id="331"/>
    </w:p>
    <w:p w14:paraId="2B79B5F2">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6310E8A7">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2765C89C">
      <w:pPr>
        <w:widowControl/>
        <w:kinsoku w:val="0"/>
        <w:autoSpaceDE w:val="0"/>
        <w:autoSpaceDN w:val="0"/>
        <w:adjustRightInd w:val="0"/>
        <w:snapToGrid w:val="0"/>
        <w:spacing w:before="65" w:line="360" w:lineRule="auto"/>
        <w:ind w:left="431"/>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项</w:t>
      </w:r>
      <w:r>
        <w:rPr>
          <w:rFonts w:ascii="宋体" w:hAnsi="宋体" w:eastAsia="宋体" w:cs="宋体"/>
          <w:snapToGrid w:val="0"/>
          <w:color w:val="000000"/>
          <w:spacing w:val="5"/>
          <w:kern w:val="0"/>
          <w:sz w:val="24"/>
          <w:szCs w:val="24"/>
        </w:rPr>
        <w:t>目名称：</w:t>
      </w:r>
      <w:r>
        <w:rPr>
          <w:rFonts w:ascii="宋体" w:hAnsi="宋体" w:eastAsia="宋体" w:cs="宋体"/>
          <w:snapToGrid w:val="0"/>
          <w:color w:val="000000"/>
          <w:kern w:val="0"/>
          <w:sz w:val="24"/>
          <w:szCs w:val="24"/>
          <w:u w:val="single" w:color="auto"/>
        </w:rPr>
        <w:t xml:space="preserve">                                           </w:t>
      </w:r>
    </w:p>
    <w:p w14:paraId="04E29AC1">
      <w:pPr>
        <w:widowControl/>
        <w:kinsoku w:val="0"/>
        <w:autoSpaceDE w:val="0"/>
        <w:autoSpaceDN w:val="0"/>
        <w:adjustRightInd w:val="0"/>
        <w:snapToGrid w:val="0"/>
        <w:spacing w:before="241" w:line="360" w:lineRule="auto"/>
        <w:ind w:left="429"/>
        <w:jc w:val="left"/>
        <w:textAlignment w:val="baseline"/>
        <w:rPr>
          <w:rFonts w:ascii="Arial" w:hAnsi="Arial" w:eastAsia="Arial" w:cs="Arial"/>
          <w:snapToGrid w:val="0"/>
          <w:color w:val="000000"/>
          <w:kern w:val="0"/>
          <w:sz w:val="24"/>
          <w:szCs w:val="24"/>
        </w:rPr>
      </w:pPr>
      <w:r>
        <w:rPr>
          <w:rFonts w:ascii="宋体" w:hAnsi="宋体" w:eastAsia="宋体" w:cs="宋体"/>
          <w:snapToGrid w:val="0"/>
          <w:color w:val="000000"/>
          <w:spacing w:val="8"/>
          <w:kern w:val="0"/>
          <w:sz w:val="24"/>
          <w:szCs w:val="24"/>
        </w:rPr>
        <w:t>招</w:t>
      </w:r>
      <w:r>
        <w:rPr>
          <w:rFonts w:ascii="宋体" w:hAnsi="宋体" w:eastAsia="宋体" w:cs="宋体"/>
          <w:snapToGrid w:val="0"/>
          <w:color w:val="000000"/>
          <w:spacing w:val="5"/>
          <w:kern w:val="0"/>
          <w:sz w:val="24"/>
          <w:szCs w:val="24"/>
        </w:rPr>
        <w:t>标编号：</w:t>
      </w:r>
      <w:r>
        <w:rPr>
          <w:rFonts w:ascii="宋体" w:hAnsi="宋体" w:eastAsia="宋体" w:cs="宋体"/>
          <w:snapToGrid w:val="0"/>
          <w:color w:val="000000"/>
          <w:kern w:val="0"/>
          <w:sz w:val="24"/>
          <w:szCs w:val="24"/>
          <w:u w:val="single" w:color="auto"/>
        </w:rPr>
        <w:t xml:space="preserve">                                           </w:t>
      </w:r>
    </w:p>
    <w:p w14:paraId="68113907">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tbl>
      <w:tblPr>
        <w:tblStyle w:val="35"/>
        <w:tblW w:w="8059" w:type="dxa"/>
        <w:tblInd w:w="2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2778"/>
        <w:gridCol w:w="1797"/>
        <w:gridCol w:w="1797"/>
        <w:gridCol w:w="871"/>
      </w:tblGrid>
      <w:tr w14:paraId="1CAD6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16" w:type="dxa"/>
            <w:vAlign w:val="center"/>
          </w:tcPr>
          <w:p w14:paraId="6576549D">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5"/>
                <w:kern w:val="0"/>
                <w:sz w:val="24"/>
                <w:szCs w:val="24"/>
              </w:rPr>
              <w:t>序号</w:t>
            </w:r>
          </w:p>
        </w:tc>
        <w:tc>
          <w:tcPr>
            <w:tcW w:w="2778" w:type="dxa"/>
            <w:vAlign w:val="center"/>
          </w:tcPr>
          <w:p w14:paraId="67D04AA8">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6"/>
                <w:kern w:val="0"/>
                <w:sz w:val="24"/>
                <w:szCs w:val="24"/>
                <w:lang w:val="en-US" w:eastAsia="zh-CN"/>
              </w:rPr>
              <w:t>服务</w:t>
            </w:r>
            <w:r>
              <w:rPr>
                <w:rFonts w:ascii="宋体" w:hAnsi="宋体" w:eastAsia="宋体" w:cs="宋体"/>
                <w:snapToGrid w:val="0"/>
                <w:color w:val="000000"/>
                <w:spacing w:val="6"/>
                <w:kern w:val="0"/>
                <w:sz w:val="24"/>
                <w:szCs w:val="24"/>
              </w:rPr>
              <w:t>名称</w:t>
            </w:r>
          </w:p>
        </w:tc>
        <w:tc>
          <w:tcPr>
            <w:tcW w:w="1797" w:type="dxa"/>
            <w:vAlign w:val="center"/>
          </w:tcPr>
          <w:p w14:paraId="52762228">
            <w:pPr>
              <w:widowControl/>
              <w:kinsoku w:val="0"/>
              <w:autoSpaceDE w:val="0"/>
              <w:autoSpaceDN w:val="0"/>
              <w:adjustRightInd w:val="0"/>
              <w:snapToGrid w:val="0"/>
              <w:spacing w:before="266"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数</w:t>
            </w:r>
            <w:r>
              <w:rPr>
                <w:rFonts w:ascii="宋体" w:hAnsi="宋体" w:eastAsia="宋体" w:cs="宋体"/>
                <w:snapToGrid w:val="0"/>
                <w:color w:val="000000"/>
                <w:spacing w:val="3"/>
                <w:kern w:val="0"/>
                <w:sz w:val="24"/>
                <w:szCs w:val="24"/>
              </w:rPr>
              <w:t>量</w:t>
            </w:r>
          </w:p>
        </w:tc>
        <w:tc>
          <w:tcPr>
            <w:tcW w:w="1797" w:type="dxa"/>
            <w:vAlign w:val="center"/>
          </w:tcPr>
          <w:p w14:paraId="57D2E3BF">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ascii="宋体" w:hAnsi="宋体" w:eastAsia="宋体" w:cs="宋体"/>
                <w:snapToGrid w:val="0"/>
                <w:color w:val="000000"/>
                <w:kern w:val="0"/>
                <w:sz w:val="24"/>
                <w:szCs w:val="24"/>
              </w:rPr>
            </w:pPr>
            <w:r>
              <w:rPr>
                <w:rFonts w:hint="eastAsia" w:ascii="宋体" w:hAnsi="宋体" w:eastAsia="宋体" w:cs="宋体"/>
                <w:snapToGrid w:val="0"/>
                <w:color w:val="000000"/>
                <w:spacing w:val="7"/>
                <w:kern w:val="0"/>
                <w:sz w:val="24"/>
                <w:szCs w:val="24"/>
                <w:lang w:val="en-US" w:eastAsia="zh-CN"/>
              </w:rPr>
              <w:t>服务</w:t>
            </w:r>
            <w:r>
              <w:rPr>
                <w:rFonts w:ascii="宋体" w:hAnsi="宋体" w:eastAsia="宋体" w:cs="宋体"/>
                <w:snapToGrid w:val="0"/>
                <w:color w:val="000000"/>
                <w:spacing w:val="6"/>
                <w:kern w:val="0"/>
                <w:sz w:val="24"/>
                <w:szCs w:val="24"/>
              </w:rPr>
              <w:t>地点</w:t>
            </w:r>
          </w:p>
        </w:tc>
        <w:tc>
          <w:tcPr>
            <w:tcW w:w="871" w:type="dxa"/>
            <w:vAlign w:val="center"/>
          </w:tcPr>
          <w:p w14:paraId="57260206">
            <w:pPr>
              <w:widowControl/>
              <w:kinsoku w:val="0"/>
              <w:autoSpaceDE w:val="0"/>
              <w:autoSpaceDN w:val="0"/>
              <w:adjustRightInd w:val="0"/>
              <w:snapToGrid w:val="0"/>
              <w:spacing w:before="267" w:line="360" w:lineRule="auto"/>
              <w:ind w:left="0" w:leftChars="0" w:right="0" w:rightChars="0" w:firstLine="0" w:firstLineChars="0"/>
              <w:jc w:val="center"/>
              <w:textAlignment w:val="baseline"/>
              <w:rPr>
                <w:rFonts w:hint="eastAsia" w:ascii="宋体" w:hAnsi="宋体" w:eastAsia="宋体" w:cs="宋体"/>
                <w:snapToGrid w:val="0"/>
                <w:color w:val="000000"/>
                <w:spacing w:val="7"/>
                <w:kern w:val="0"/>
                <w:sz w:val="24"/>
                <w:szCs w:val="24"/>
                <w:lang w:val="en-US" w:eastAsia="zh-CN"/>
              </w:rPr>
            </w:pPr>
            <w:r>
              <w:rPr>
                <w:rFonts w:hint="eastAsia" w:ascii="宋体" w:hAnsi="宋体" w:eastAsia="宋体" w:cs="宋体"/>
                <w:snapToGrid w:val="0"/>
                <w:color w:val="000000"/>
                <w:spacing w:val="7"/>
                <w:kern w:val="0"/>
                <w:sz w:val="24"/>
                <w:szCs w:val="24"/>
                <w:lang w:val="en-US" w:eastAsia="zh-CN"/>
              </w:rPr>
              <w:t>备注</w:t>
            </w:r>
          </w:p>
        </w:tc>
      </w:tr>
      <w:tr w14:paraId="3E60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16" w:type="dxa"/>
            <w:vAlign w:val="center"/>
          </w:tcPr>
          <w:p w14:paraId="4A4D4A61">
            <w:pPr>
              <w:widowControl/>
              <w:kinsoku w:val="0"/>
              <w:autoSpaceDE w:val="0"/>
              <w:autoSpaceDN w:val="0"/>
              <w:adjustRightInd w:val="0"/>
              <w:snapToGrid w:val="0"/>
              <w:spacing w:before="270" w:line="193"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1</w:t>
            </w:r>
          </w:p>
        </w:tc>
        <w:tc>
          <w:tcPr>
            <w:tcW w:w="2778" w:type="dxa"/>
            <w:vAlign w:val="center"/>
          </w:tcPr>
          <w:p w14:paraId="013C0346">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7F609994">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1B9571F2">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7FAF81F8">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4580F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16" w:type="dxa"/>
            <w:vAlign w:val="center"/>
          </w:tcPr>
          <w:p w14:paraId="5C2C6298">
            <w:pPr>
              <w:widowControl/>
              <w:kinsoku w:val="0"/>
              <w:autoSpaceDE w:val="0"/>
              <w:autoSpaceDN w:val="0"/>
              <w:adjustRightInd w:val="0"/>
              <w:snapToGrid w:val="0"/>
              <w:spacing w:before="283" w:line="192"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2</w:t>
            </w:r>
          </w:p>
        </w:tc>
        <w:tc>
          <w:tcPr>
            <w:tcW w:w="2778" w:type="dxa"/>
            <w:vAlign w:val="center"/>
          </w:tcPr>
          <w:p w14:paraId="49D08764">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5E0B4E3E">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28A99778">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1656CD1D">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21DC0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816" w:type="dxa"/>
            <w:vAlign w:val="center"/>
          </w:tcPr>
          <w:p w14:paraId="414C6959">
            <w:pPr>
              <w:widowControl/>
              <w:kinsoku w:val="0"/>
              <w:autoSpaceDE w:val="0"/>
              <w:autoSpaceDN w:val="0"/>
              <w:adjustRightInd w:val="0"/>
              <w:snapToGrid w:val="0"/>
              <w:spacing w:before="275" w:line="190"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3</w:t>
            </w:r>
          </w:p>
        </w:tc>
        <w:tc>
          <w:tcPr>
            <w:tcW w:w="2778" w:type="dxa"/>
            <w:vAlign w:val="center"/>
          </w:tcPr>
          <w:p w14:paraId="25A15D67">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68A51849">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57103208">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734CDFC7">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072AE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6" w:type="dxa"/>
            <w:vAlign w:val="center"/>
          </w:tcPr>
          <w:p w14:paraId="77F5C602">
            <w:pPr>
              <w:widowControl/>
              <w:kinsoku w:val="0"/>
              <w:autoSpaceDE w:val="0"/>
              <w:autoSpaceDN w:val="0"/>
              <w:adjustRightInd w:val="0"/>
              <w:snapToGrid w:val="0"/>
              <w:spacing w:before="281" w:line="192"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4</w:t>
            </w:r>
          </w:p>
        </w:tc>
        <w:tc>
          <w:tcPr>
            <w:tcW w:w="2778" w:type="dxa"/>
            <w:vAlign w:val="center"/>
          </w:tcPr>
          <w:p w14:paraId="615BCDA1">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125CB596">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43EA7692">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0B194636">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07650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6" w:type="dxa"/>
            <w:vAlign w:val="center"/>
          </w:tcPr>
          <w:p w14:paraId="2530AB9B">
            <w:pPr>
              <w:widowControl/>
              <w:kinsoku w:val="0"/>
              <w:autoSpaceDE w:val="0"/>
              <w:autoSpaceDN w:val="0"/>
              <w:adjustRightInd w:val="0"/>
              <w:snapToGrid w:val="0"/>
              <w:spacing w:before="283" w:line="189" w:lineRule="auto"/>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sz w:val="24"/>
                <w:szCs w:val="24"/>
              </w:rPr>
              <w:t>5</w:t>
            </w:r>
          </w:p>
        </w:tc>
        <w:tc>
          <w:tcPr>
            <w:tcW w:w="2778" w:type="dxa"/>
            <w:vAlign w:val="center"/>
          </w:tcPr>
          <w:p w14:paraId="3AE03A0E">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0D798A03">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4A0D790A">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056DEED1">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r w14:paraId="4FA45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6" w:type="dxa"/>
            <w:vAlign w:val="center"/>
          </w:tcPr>
          <w:p w14:paraId="1729D5A7">
            <w:pPr>
              <w:widowControl/>
              <w:kinsoku w:val="0"/>
              <w:autoSpaceDE w:val="0"/>
              <w:autoSpaceDN w:val="0"/>
              <w:adjustRightInd w:val="0"/>
              <w:snapToGrid w:val="0"/>
              <w:spacing w:before="250" w:line="324" w:lineRule="exact"/>
              <w:jc w:val="center"/>
              <w:textAlignment w:val="baseline"/>
              <w:rPr>
                <w:rFonts w:ascii="Arial" w:hAnsi="Arial" w:eastAsia="Arial" w:cs="Arial"/>
                <w:snapToGrid w:val="0"/>
                <w:color w:val="000000"/>
                <w:kern w:val="0"/>
                <w:sz w:val="24"/>
                <w:szCs w:val="24"/>
              </w:rPr>
            </w:pPr>
            <w:r>
              <w:rPr>
                <w:rFonts w:ascii="宋体" w:hAnsi="宋体" w:eastAsia="宋体" w:cs="宋体"/>
                <w:snapToGrid w:val="0"/>
                <w:color w:val="000000"/>
                <w:kern w:val="0"/>
                <w:position w:val="2"/>
                <w:sz w:val="24"/>
                <w:szCs w:val="24"/>
              </w:rPr>
              <w:t>…</w:t>
            </w:r>
          </w:p>
        </w:tc>
        <w:tc>
          <w:tcPr>
            <w:tcW w:w="2778" w:type="dxa"/>
            <w:vAlign w:val="center"/>
          </w:tcPr>
          <w:p w14:paraId="4F46F6C8">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72D6A2E4">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1797" w:type="dxa"/>
            <w:vAlign w:val="center"/>
          </w:tcPr>
          <w:p w14:paraId="7D05D00B">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c>
          <w:tcPr>
            <w:tcW w:w="871" w:type="dxa"/>
            <w:vAlign w:val="center"/>
          </w:tcPr>
          <w:p w14:paraId="43135C17">
            <w:pPr>
              <w:widowControl/>
              <w:kinsoku w:val="0"/>
              <w:autoSpaceDE w:val="0"/>
              <w:autoSpaceDN w:val="0"/>
              <w:adjustRightInd w:val="0"/>
              <w:snapToGrid w:val="0"/>
              <w:spacing w:line="360" w:lineRule="auto"/>
              <w:ind w:left="0" w:leftChars="0" w:right="0" w:rightChars="0" w:firstLine="0" w:firstLineChars="0"/>
              <w:jc w:val="center"/>
              <w:textAlignment w:val="baseline"/>
              <w:rPr>
                <w:rFonts w:ascii="Arial" w:hAnsi="Arial" w:eastAsia="Arial" w:cs="Arial"/>
                <w:snapToGrid w:val="0"/>
                <w:color w:val="000000"/>
                <w:kern w:val="0"/>
                <w:sz w:val="24"/>
                <w:szCs w:val="24"/>
              </w:rPr>
            </w:pPr>
          </w:p>
        </w:tc>
      </w:tr>
    </w:tbl>
    <w:p w14:paraId="709BD575">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055FD20E">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308EBD6D">
      <w:pPr>
        <w:widowControl/>
        <w:kinsoku w:val="0"/>
        <w:autoSpaceDE w:val="0"/>
        <w:autoSpaceDN w:val="0"/>
        <w:adjustRightInd w:val="0"/>
        <w:snapToGrid w:val="0"/>
        <w:spacing w:line="360" w:lineRule="auto"/>
        <w:jc w:val="left"/>
        <w:textAlignment w:val="baseline"/>
        <w:rPr>
          <w:rFonts w:ascii="Arial" w:hAnsi="Arial" w:eastAsia="Arial" w:cs="Arial"/>
          <w:snapToGrid w:val="0"/>
          <w:color w:val="000000"/>
          <w:kern w:val="0"/>
          <w:sz w:val="24"/>
          <w:szCs w:val="24"/>
        </w:rPr>
      </w:pPr>
    </w:p>
    <w:p w14:paraId="65304785">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01F50A39">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8"/>
          <w:szCs w:val="28"/>
        </w:rPr>
      </w:pPr>
    </w:p>
    <w:p w14:paraId="2F636995">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供应商名称(盖公章)：</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3680F8D1">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法定代表人或其授权的代理人</w:t>
      </w:r>
      <w:r>
        <w:rPr>
          <w:rFonts w:hint="eastAsia" w:asciiTheme="minorEastAsia" w:hAnsiTheme="minorEastAsia" w:eastAsiaTheme="minorEastAsia" w:cstheme="minorEastAsia"/>
          <w:snapToGrid/>
          <w:color w:val="auto"/>
          <w:spacing w:val="0"/>
          <w:kern w:val="2"/>
          <w:position w:val="0"/>
          <w:sz w:val="24"/>
          <w:szCs w:val="24"/>
          <w:lang w:val="en-US" w:eastAsia="zh-CN" w:bidi="ar-SA"/>
        </w:rPr>
        <w:t>(签字或盖章)</w:t>
      </w:r>
      <w:r>
        <w:rPr>
          <w:rFonts w:hint="eastAsia" w:asciiTheme="minorEastAsia" w:hAnsiTheme="minorEastAsia" w:eastAsiaTheme="minorEastAsia" w:cstheme="minorEastAsia"/>
          <w:snapToGrid/>
          <w:spacing w:val="0"/>
          <w:kern w:val="2"/>
          <w:position w:val="0"/>
          <w:sz w:val="24"/>
          <w:szCs w:val="24"/>
          <w:lang w:val="en-US" w:eastAsia="zh-CN" w:bidi="ar-SA"/>
        </w:rPr>
        <w:t>：</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p>
    <w:p w14:paraId="5AEE58F5">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360" w:firstLineChars="150"/>
        <w:jc w:val="both"/>
        <w:textAlignment w:val="auto"/>
        <w:rPr>
          <w:rFonts w:hint="eastAsia" w:asciiTheme="minorEastAsia" w:hAnsiTheme="minorEastAsia" w:eastAsiaTheme="minorEastAsia" w:cstheme="minorEastAsia"/>
          <w:snapToGrid/>
          <w:spacing w:val="0"/>
          <w:kern w:val="2"/>
          <w:position w:val="0"/>
          <w:sz w:val="24"/>
          <w:szCs w:val="24"/>
          <w:lang w:val="en-US" w:eastAsia="zh-CN" w:bidi="ar-SA"/>
        </w:rPr>
      </w:pPr>
      <w:r>
        <w:rPr>
          <w:rFonts w:hint="eastAsia" w:asciiTheme="minorEastAsia" w:hAnsiTheme="minorEastAsia" w:eastAsiaTheme="minorEastAsia" w:cstheme="minorEastAsia"/>
          <w:snapToGrid/>
          <w:spacing w:val="0"/>
          <w:kern w:val="2"/>
          <w:position w:val="0"/>
          <w:sz w:val="24"/>
          <w:szCs w:val="24"/>
          <w:lang w:val="en-US" w:eastAsia="zh-CN" w:bidi="ar-SA"/>
        </w:rPr>
        <w:t>日期：</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年</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月</w:t>
      </w:r>
      <w:r>
        <w:rPr>
          <w:rFonts w:hint="eastAsia" w:asciiTheme="minorEastAsia" w:hAnsiTheme="minorEastAsia" w:eastAsiaTheme="minorEastAsia" w:cstheme="minorEastAsia"/>
          <w:snapToGrid/>
          <w:spacing w:val="0"/>
          <w:kern w:val="2"/>
          <w:position w:val="0"/>
          <w:sz w:val="24"/>
          <w:szCs w:val="24"/>
          <w:u w:val="single"/>
          <w:lang w:val="en-US" w:eastAsia="zh-CN" w:bidi="ar-SA"/>
        </w:rPr>
        <w:t xml:space="preserve">          </w:t>
      </w:r>
      <w:r>
        <w:rPr>
          <w:rFonts w:hint="eastAsia" w:asciiTheme="minorEastAsia" w:hAnsiTheme="minorEastAsia" w:eastAsiaTheme="minorEastAsia" w:cstheme="minorEastAsia"/>
          <w:snapToGrid/>
          <w:spacing w:val="0"/>
          <w:kern w:val="2"/>
          <w:position w:val="0"/>
          <w:sz w:val="24"/>
          <w:szCs w:val="24"/>
          <w:lang w:val="en-US" w:eastAsia="zh-CN" w:bidi="ar-SA"/>
        </w:rPr>
        <w:t>日</w:t>
      </w:r>
    </w:p>
    <w:p w14:paraId="48B5A806">
      <w:pPr>
        <w:widowControl/>
        <w:kinsoku w:val="0"/>
        <w:autoSpaceDE w:val="0"/>
        <w:autoSpaceDN w:val="0"/>
        <w:adjustRightInd w:val="0"/>
        <w:snapToGrid w:val="0"/>
        <w:jc w:val="left"/>
        <w:textAlignment w:val="baseline"/>
        <w:rPr>
          <w:rFonts w:ascii="Arial" w:hAnsi="Arial" w:eastAsia="Arial" w:cs="Arial"/>
          <w:snapToGrid w:val="0"/>
          <w:color w:val="000000"/>
          <w:kern w:val="0"/>
          <w:sz w:val="24"/>
          <w:szCs w:val="24"/>
        </w:rPr>
      </w:pPr>
      <w:r>
        <w:rPr>
          <w:rFonts w:ascii="Arial" w:hAnsi="Arial" w:eastAsia="Arial" w:cs="Arial"/>
          <w:snapToGrid w:val="0"/>
          <w:color w:val="000000"/>
          <w:kern w:val="0"/>
          <w:sz w:val="24"/>
          <w:szCs w:val="24"/>
        </w:rPr>
        <w:br w:type="page"/>
      </w:r>
    </w:p>
    <w:p w14:paraId="69039B45">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hint="eastAsia" w:asciiTheme="minorEastAsia" w:hAnsiTheme="minorEastAsia" w:eastAsiaTheme="minorEastAsia" w:cstheme="minorEastAsia"/>
          <w:snapToGrid/>
          <w:spacing w:val="0"/>
          <w:kern w:val="0"/>
          <w:position w:val="0"/>
          <w:sz w:val="36"/>
          <w:szCs w:val="36"/>
          <w:lang w:val="en-US" w:eastAsia="zh-CN" w:bidi="ar-SA"/>
        </w:rPr>
      </w:pPr>
      <w:bookmarkStart w:id="332" w:name="_Toc19706"/>
      <w:bookmarkStart w:id="333" w:name="_Toc3197"/>
      <w:r>
        <w:rPr>
          <w:rFonts w:hint="eastAsia" w:asciiTheme="minorEastAsia" w:hAnsiTheme="minorEastAsia" w:eastAsiaTheme="minorEastAsia" w:cstheme="minorEastAsia"/>
          <w:b/>
          <w:snapToGrid/>
          <w:spacing w:val="0"/>
          <w:kern w:val="2"/>
          <w:position w:val="0"/>
          <w:sz w:val="36"/>
          <w:szCs w:val="36"/>
          <w:lang w:val="en-US" w:eastAsia="zh-CN" w:bidi="ar-SA"/>
        </w:rPr>
        <w:t>八、投标人认为有必须提供的其他资料</w:t>
      </w:r>
      <w:bookmarkEnd w:id="324"/>
      <w:bookmarkEnd w:id="332"/>
      <w:bookmarkEnd w:id="333"/>
    </w:p>
    <w:p w14:paraId="7235E5AF">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0C4ED584">
      <w:pPr>
        <w:pStyle w:val="34"/>
        <w:pageBreakBefore w:val="0"/>
        <w:wordWrap/>
        <w:overflowPunct/>
        <w:topLinePunct w:val="0"/>
        <w:bidi w:val="0"/>
        <w:spacing w:beforeAutospacing="0" w:afterAutospacing="0" w:line="360" w:lineRule="auto"/>
        <w:jc w:val="center"/>
        <w:outlineLvl w:val="0"/>
        <w:rPr>
          <w:rFonts w:hint="eastAsia" w:asciiTheme="minorEastAsia" w:hAnsiTheme="minorEastAsia" w:eastAsiaTheme="minorEastAsia" w:cstheme="minorEastAsia"/>
          <w:color w:val="auto"/>
          <w:spacing w:val="0"/>
          <w:position w:val="0"/>
          <w:sz w:val="28"/>
          <w:szCs w:val="28"/>
        </w:rPr>
      </w:pPr>
      <w:bookmarkStart w:id="334" w:name="_Toc13898"/>
      <w:bookmarkStart w:id="335" w:name="_Toc9918"/>
      <w:bookmarkStart w:id="336" w:name="_Toc28092"/>
      <w:bookmarkStart w:id="337" w:name="_Toc5162"/>
      <w:bookmarkStart w:id="338" w:name="_Toc7613"/>
      <w:bookmarkStart w:id="339" w:name="_Toc10819"/>
      <w:bookmarkStart w:id="340" w:name="_Toc32009"/>
      <w:bookmarkStart w:id="341" w:name="_Toc12248"/>
      <w:bookmarkStart w:id="342" w:name="_Toc30880"/>
      <w:bookmarkStart w:id="343" w:name="_Toc6643"/>
      <w:bookmarkStart w:id="344" w:name="_Toc25277"/>
      <w:bookmarkStart w:id="345" w:name="_Toc23173"/>
      <w:bookmarkStart w:id="346" w:name="_Toc22103"/>
      <w:bookmarkStart w:id="347" w:name="_Toc30673"/>
      <w:bookmarkStart w:id="348" w:name="_Toc29087"/>
      <w:bookmarkStart w:id="349" w:name="_Toc17906"/>
      <w:bookmarkStart w:id="350" w:name="_Toc13671"/>
      <w:bookmarkStart w:id="351" w:name="_Toc25982"/>
      <w:r>
        <w:rPr>
          <w:rFonts w:hint="eastAsia" w:asciiTheme="minorEastAsia" w:hAnsiTheme="minorEastAsia" w:eastAsiaTheme="minorEastAsia" w:cstheme="minorEastAsia"/>
          <w:color w:val="auto"/>
          <w:spacing w:val="0"/>
          <w:position w:val="0"/>
          <w:sz w:val="28"/>
          <w:szCs w:val="28"/>
        </w:rPr>
        <w:t>（格式自定）</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F2756E8">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4"/>
          <w:szCs w:val="24"/>
        </w:rPr>
      </w:pPr>
    </w:p>
    <w:p w14:paraId="213ED63B">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315B4B5B">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391F8068">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58D33689">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3D8BD8FC">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7C1A0E6B">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70482A65">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3C936340">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color w:val="auto"/>
          <w:spacing w:val="0"/>
          <w:position w:val="0"/>
          <w:sz w:val="21"/>
          <w:szCs w:val="21"/>
        </w:rPr>
      </w:pPr>
    </w:p>
    <w:p w14:paraId="51C8E61F">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37612275">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37886EE1">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56368B96">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39274A60">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1AE8F31B">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6E7099F4">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3FB7FB07">
      <w:pPr>
        <w:pStyle w:val="34"/>
        <w:pageBreakBefore w:val="0"/>
        <w:wordWrap/>
        <w:overflowPunct/>
        <w:topLinePunct w:val="0"/>
        <w:bidi w:val="0"/>
        <w:spacing w:beforeAutospacing="0" w:afterAutospacing="0" w:line="360" w:lineRule="auto"/>
        <w:rPr>
          <w:rFonts w:hint="eastAsia" w:asciiTheme="minorEastAsia" w:hAnsiTheme="minorEastAsia" w:eastAsiaTheme="minorEastAsia" w:cstheme="minorEastAsia"/>
          <w:spacing w:val="0"/>
          <w:position w:val="0"/>
          <w:sz w:val="21"/>
          <w:szCs w:val="21"/>
        </w:rPr>
      </w:pPr>
    </w:p>
    <w:p w14:paraId="4AF2BB8D">
      <w:pPr>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Theme="minorEastAsia" w:hAnsiTheme="minorEastAsia" w:eastAsiaTheme="minorEastAsia" w:cstheme="minorEastAsia"/>
          <w:snapToGrid/>
          <w:spacing w:val="0"/>
          <w:kern w:val="2"/>
          <w:position w:val="0"/>
          <w:szCs w:val="21"/>
          <w:lang w:val="en-US" w:eastAsia="zh-CN" w:bidi="ar-SA"/>
        </w:rPr>
      </w:pPr>
    </w:p>
    <w:p w14:paraId="3CC3979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spacing w:val="0"/>
          <w:position w:val="0"/>
          <w:sz w:val="21"/>
          <w:szCs w:val="21"/>
        </w:rPr>
      </w:pPr>
    </w:p>
    <w:sectPr>
      <w:footerReference r:id="rId12" w:type="default"/>
      <w:pgSz w:w="11905" w:h="16839"/>
      <w:pgMar w:top="1440" w:right="1800" w:bottom="1440" w:left="1800" w:header="85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04C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7C03D">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F7C03D">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DC89B">
    <w:pPr>
      <w:widowControl/>
      <w:kinsoku w:val="0"/>
      <w:autoSpaceDE w:val="0"/>
      <w:autoSpaceDN w:val="0"/>
      <w:adjustRightInd w:val="0"/>
      <w:snapToGrid w:val="0"/>
      <w:spacing w:line="196" w:lineRule="auto"/>
      <w:ind w:left="4524"/>
      <w:jc w:val="left"/>
      <w:textAlignment w:val="baseline"/>
      <w:rPr>
        <w:rFonts w:ascii="Times New Roman" w:hAnsi="Times New Roman" w:eastAsia="Times New Roman" w:cs="Times New Roman"/>
        <w:snapToGrid w:val="0"/>
        <w:color w:val="000000"/>
        <w:kern w:val="0"/>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E91FC">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E5E91FC">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AC399">
    <w:pPr>
      <w:widowControl/>
      <w:kinsoku w:val="0"/>
      <w:autoSpaceDE w:val="0"/>
      <w:autoSpaceDN w:val="0"/>
      <w:adjustRightInd w:val="0"/>
      <w:snapToGrid w:val="0"/>
      <w:spacing w:line="196" w:lineRule="auto"/>
      <w:ind w:left="4578"/>
      <w:jc w:val="left"/>
      <w:textAlignment w:val="baseline"/>
      <w:rPr>
        <w:rFonts w:ascii="Times New Roman" w:hAnsi="Times New Roman" w:eastAsia="Times New Roman" w:cs="Times New Roman"/>
        <w:snapToGrid w:val="0"/>
        <w:color w:val="000000"/>
        <w:kern w:val="0"/>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6C6B4">
                          <w:pPr>
                            <w:pStyle w:val="1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E6C6B4">
                    <w:pPr>
                      <w:pStyle w:val="1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A8A2">
    <w:pPr>
      <w:widowControl/>
      <w:kinsoku w:val="0"/>
      <w:autoSpaceDE w:val="0"/>
      <w:autoSpaceDN w:val="0"/>
      <w:adjustRightInd w:val="0"/>
      <w:snapToGrid w:val="0"/>
      <w:spacing w:line="196" w:lineRule="auto"/>
      <w:ind w:left="4632"/>
      <w:jc w:val="left"/>
      <w:textAlignment w:val="baseline"/>
      <w:rPr>
        <w:rFonts w:ascii="Times New Roman" w:hAnsi="Times New Roman" w:eastAsia="Times New Roman" w:cs="Times New Roman"/>
        <w:snapToGrid w:val="0"/>
        <w:color w:val="000000"/>
        <w:kern w:val="0"/>
        <w:sz w:val="17"/>
        <w:szCs w:val="17"/>
      </w:rPr>
    </w:pPr>
    <w:r>
      <w:rPr>
        <w:rFonts w:ascii="Arial" w:hAnsi="Arial" w:eastAsia="Arial" w:cs="Arial"/>
        <w:snapToGrid w:val="0"/>
        <w:color w:val="000000"/>
        <w:kern w:val="0"/>
        <w:sz w:val="17"/>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FB63C">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zh-CN" w:bidi="ar-SA"/>
                            </w:rPr>
                            <w:fldChar w:fldCharType="begin"/>
                          </w:r>
                          <w:r>
                            <w:rPr>
                              <w:rFonts w:ascii="Arial" w:hAnsi="Arial" w:eastAsia="Arial" w:cs="Arial"/>
                              <w:snapToGrid w:val="0"/>
                              <w:color w:val="000000"/>
                              <w:sz w:val="18"/>
                              <w:szCs w:val="21"/>
                              <w:lang w:val="en-US" w:eastAsia="zh-CN" w:bidi="ar-SA"/>
                            </w:rPr>
                            <w:instrText xml:space="preserve"> PAGE  \* MERGEFORMAT </w:instrText>
                          </w:r>
                          <w:r>
                            <w:rPr>
                              <w:rFonts w:ascii="Arial" w:hAnsi="Arial" w:eastAsia="Arial" w:cs="Arial"/>
                              <w:snapToGrid w:val="0"/>
                              <w:color w:val="000000"/>
                              <w:sz w:val="18"/>
                              <w:szCs w:val="21"/>
                              <w:lang w:val="en-US" w:eastAsia="zh-CN" w:bidi="ar-SA"/>
                            </w:rPr>
                            <w:fldChar w:fldCharType="separate"/>
                          </w:r>
                          <w:r>
                            <w:rPr>
                              <w:rFonts w:ascii="Arial" w:hAnsi="Arial" w:eastAsia="Arial" w:cs="Arial"/>
                              <w:snapToGrid w:val="0"/>
                              <w:color w:val="000000"/>
                              <w:sz w:val="18"/>
                              <w:szCs w:val="21"/>
                              <w:lang w:val="en-US" w:eastAsia="zh-CN" w:bidi="ar-SA"/>
                            </w:rPr>
                            <w:t>57</w:t>
                          </w:r>
                          <w:r>
                            <w:rPr>
                              <w:rFonts w:ascii="Arial" w:hAnsi="Arial" w:eastAsia="Arial" w:cs="Arial"/>
                              <w:snapToGrid w:val="0"/>
                              <w:color w:val="000000"/>
                              <w:sz w:val="18"/>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1DDFB63C">
                    <w:pPr>
                      <w:tabs>
                        <w:tab w:val="center" w:pos="4153"/>
                        <w:tab w:val="right" w:pos="8306"/>
                      </w:tabs>
                      <w:kinsoku w:val="0"/>
                      <w:autoSpaceDE w:val="0"/>
                      <w:autoSpaceDN w:val="0"/>
                      <w:adjustRightInd w:val="0"/>
                      <w:snapToGrid w:val="0"/>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zh-CN" w:bidi="ar-SA"/>
                      </w:rPr>
                      <w:fldChar w:fldCharType="begin"/>
                    </w:r>
                    <w:r>
                      <w:rPr>
                        <w:rFonts w:ascii="Arial" w:hAnsi="Arial" w:eastAsia="Arial" w:cs="Arial"/>
                        <w:snapToGrid w:val="0"/>
                        <w:color w:val="000000"/>
                        <w:sz w:val="18"/>
                        <w:szCs w:val="21"/>
                        <w:lang w:val="en-US" w:eastAsia="zh-CN" w:bidi="ar-SA"/>
                      </w:rPr>
                      <w:instrText xml:space="preserve"> PAGE  \* MERGEFORMAT </w:instrText>
                    </w:r>
                    <w:r>
                      <w:rPr>
                        <w:rFonts w:ascii="Arial" w:hAnsi="Arial" w:eastAsia="Arial" w:cs="Arial"/>
                        <w:snapToGrid w:val="0"/>
                        <w:color w:val="000000"/>
                        <w:sz w:val="18"/>
                        <w:szCs w:val="21"/>
                        <w:lang w:val="en-US" w:eastAsia="zh-CN" w:bidi="ar-SA"/>
                      </w:rPr>
                      <w:fldChar w:fldCharType="separate"/>
                    </w:r>
                    <w:r>
                      <w:rPr>
                        <w:rFonts w:ascii="Arial" w:hAnsi="Arial" w:eastAsia="Arial" w:cs="Arial"/>
                        <w:snapToGrid w:val="0"/>
                        <w:color w:val="000000"/>
                        <w:sz w:val="18"/>
                        <w:szCs w:val="21"/>
                        <w:lang w:val="en-US" w:eastAsia="zh-CN" w:bidi="ar-SA"/>
                      </w:rPr>
                      <w:t>57</w:t>
                    </w:r>
                    <w:r>
                      <w:rPr>
                        <w:rFonts w:ascii="Arial" w:hAnsi="Arial" w:eastAsia="Arial" w:cs="Arial"/>
                        <w:snapToGrid w:val="0"/>
                        <w:color w:val="000000"/>
                        <w:sz w:val="18"/>
                        <w:szCs w:val="21"/>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2DAE5">
    <w:pPr>
      <w:spacing w:line="188" w:lineRule="auto"/>
      <w:ind w:left="35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79CBB">
                          <w:pPr>
                            <w:pStyle w:val="1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179CBB">
                    <w:pPr>
                      <w:pStyle w:val="1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336EE">
    <w:pPr>
      <w:pBdr>
        <w:top w:val="none" w:color="auto" w:sz="0" w:space="1"/>
        <w:left w:val="none" w:color="auto" w:sz="0" w:space="4"/>
        <w:bottom w:val="dashDotStroked" w:color="auto" w:sz="24" w:space="1"/>
        <w:right w:val="none" w:color="auto" w:sz="0" w:space="4"/>
      </w:pBdr>
      <w:tabs>
        <w:tab w:val="left" w:pos="7057"/>
        <w:tab w:val="right" w:pos="8306"/>
      </w:tabs>
      <w:kinsoku w:val="0"/>
      <w:autoSpaceDE w:val="0"/>
      <w:autoSpaceDN w:val="0"/>
      <w:adjustRightInd w:val="0"/>
      <w:snapToGrid w:val="0"/>
      <w:jc w:val="left"/>
      <w:textAlignment w:val="baseline"/>
    </w:pPr>
    <w:r>
      <w:rPr>
        <w:rFonts w:hint="eastAsia" w:ascii="楷体" w:hAnsi="楷体" w:eastAsia="楷体" w:cs="楷体"/>
        <w:b/>
        <w:bCs/>
        <w:snapToGrid w:val="0"/>
        <w:color w:val="auto"/>
        <w:spacing w:val="6"/>
        <w:sz w:val="32"/>
        <w:szCs w:val="32"/>
        <w:lang w:val="en-US" w:eastAsia="zh-CN" w:bidi="ar-SA"/>
      </w:rPr>
      <w:t>甘肃正荣项目咨询有限公司管理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B0FBC">
    <w:pPr>
      <w:pBdr>
        <w:top w:val="none" w:color="auto" w:sz="0" w:space="1"/>
        <w:left w:val="none" w:color="auto" w:sz="0" w:space="4"/>
        <w:bottom w:val="none" w:color="auto" w:sz="0" w:space="1"/>
        <w:right w:val="none" w:color="auto" w:sz="0" w:space="4"/>
      </w:pBdr>
      <w:tabs>
        <w:tab w:val="left" w:pos="7057"/>
        <w:tab w:val="right" w:pos="8306"/>
      </w:tabs>
      <w:kinsoku w:val="0"/>
      <w:autoSpaceDE w:val="0"/>
      <w:autoSpaceDN w:val="0"/>
      <w:adjustRightInd w:val="0"/>
      <w:snapToGrid w:val="0"/>
      <w:jc w:val="left"/>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A272">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jc w:val="both"/>
      <w:textAlignment w:val="baseline"/>
      <w:rPr>
        <w:rFonts w:ascii="Arial" w:hAnsi="Arial" w:eastAsia="Arial" w:cs="Arial"/>
        <w:snapToGrid w:val="0"/>
        <w:color w:val="000000"/>
        <w:sz w:val="18"/>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EDC1C"/>
    <w:multiLevelType w:val="singleLevel"/>
    <w:tmpl w:val="9BBEDC1C"/>
    <w:lvl w:ilvl="0" w:tentative="0">
      <w:start w:val="1"/>
      <w:numFmt w:val="decimal"/>
      <w:suff w:val="nothing"/>
      <w:lvlText w:val="（%1）"/>
      <w:lvlJc w:val="left"/>
    </w:lvl>
  </w:abstractNum>
  <w:abstractNum w:abstractNumId="1">
    <w:nsid w:val="C0B49081"/>
    <w:multiLevelType w:val="singleLevel"/>
    <w:tmpl w:val="C0B49081"/>
    <w:lvl w:ilvl="0" w:tentative="0">
      <w:start w:val="1"/>
      <w:numFmt w:val="chineseCounting"/>
      <w:suff w:val="nothing"/>
      <w:lvlText w:val="%1、"/>
      <w:lvlJc w:val="left"/>
      <w:rPr>
        <w:rFonts w:hint="eastAsia"/>
      </w:rPr>
    </w:lvl>
  </w:abstractNum>
  <w:abstractNum w:abstractNumId="2">
    <w:nsid w:val="CE79F5F5"/>
    <w:multiLevelType w:val="singleLevel"/>
    <w:tmpl w:val="CE79F5F5"/>
    <w:lvl w:ilvl="0" w:tentative="0">
      <w:start w:val="1"/>
      <w:numFmt w:val="chineseCounting"/>
      <w:suff w:val="space"/>
      <w:lvlText w:val="第%1章"/>
      <w:lvlJc w:val="left"/>
      <w:rPr>
        <w:rFonts w:hint="eastAsia"/>
      </w:rPr>
    </w:lvl>
  </w:abstractNum>
  <w:abstractNum w:abstractNumId="3">
    <w:nsid w:val="D271FC67"/>
    <w:multiLevelType w:val="singleLevel"/>
    <w:tmpl w:val="D271FC67"/>
    <w:lvl w:ilvl="0" w:tentative="0">
      <w:start w:val="2"/>
      <w:numFmt w:val="decimal"/>
      <w:suff w:val="nothing"/>
      <w:lvlText w:val="%1、"/>
      <w:lvlJc w:val="left"/>
    </w:lvl>
  </w:abstractNum>
  <w:abstractNum w:abstractNumId="4">
    <w:nsid w:val="DFDF459E"/>
    <w:multiLevelType w:val="singleLevel"/>
    <w:tmpl w:val="DFDF459E"/>
    <w:lvl w:ilvl="0" w:tentative="0">
      <w:start w:val="1"/>
      <w:numFmt w:val="decimal"/>
      <w:suff w:val="nothing"/>
      <w:lvlText w:val="（%1）"/>
      <w:lvlJc w:val="left"/>
      <w:rPr>
        <w:rFonts w:hint="default"/>
        <w:b w:val="0"/>
        <w:bCs w:val="0"/>
        <w:sz w:val="24"/>
        <w:szCs w:val="24"/>
      </w:rPr>
    </w:lvl>
  </w:abstractNum>
  <w:abstractNum w:abstractNumId="5">
    <w:nsid w:val="E8617EBC"/>
    <w:multiLevelType w:val="singleLevel"/>
    <w:tmpl w:val="E8617EBC"/>
    <w:lvl w:ilvl="0" w:tentative="0">
      <w:start w:val="1"/>
      <w:numFmt w:val="decimal"/>
      <w:suff w:val="nothing"/>
      <w:lvlText w:val="（%1）"/>
      <w:lvlJc w:val="left"/>
    </w:lvl>
  </w:abstractNum>
  <w:abstractNum w:abstractNumId="6">
    <w:nsid w:val="EB94D105"/>
    <w:multiLevelType w:val="singleLevel"/>
    <w:tmpl w:val="EB94D105"/>
    <w:lvl w:ilvl="0" w:tentative="0">
      <w:start w:val="1"/>
      <w:numFmt w:val="decimal"/>
      <w:lvlText w:val="%1."/>
      <w:lvlJc w:val="left"/>
      <w:pPr>
        <w:tabs>
          <w:tab w:val="left" w:pos="312"/>
        </w:tabs>
      </w:pPr>
    </w:lvl>
  </w:abstractNum>
  <w:abstractNum w:abstractNumId="7">
    <w:nsid w:val="18ECE732"/>
    <w:multiLevelType w:val="singleLevel"/>
    <w:tmpl w:val="18ECE732"/>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5"/>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Y2FlNzY0MzljNjdhZmI3MmU4YWY1YzU4MTUyNTA5OWEifQ=="/>
    <w:docVar w:name="KSO_WPS_MARK_KEY" w:val="fba8cd2d-85f8-4a83-baed-5557bbfe3469"/>
  </w:docVars>
  <w:rsids>
    <w:rsidRoot w:val="00000000"/>
    <w:rsid w:val="00041843"/>
    <w:rsid w:val="00135135"/>
    <w:rsid w:val="001D4206"/>
    <w:rsid w:val="0046375D"/>
    <w:rsid w:val="004874D5"/>
    <w:rsid w:val="00536B98"/>
    <w:rsid w:val="006B133E"/>
    <w:rsid w:val="008953F8"/>
    <w:rsid w:val="00972B04"/>
    <w:rsid w:val="00A52A27"/>
    <w:rsid w:val="00A641FB"/>
    <w:rsid w:val="00BE32F3"/>
    <w:rsid w:val="00C20FDE"/>
    <w:rsid w:val="00CB1EB4"/>
    <w:rsid w:val="00D91EDB"/>
    <w:rsid w:val="00F46D15"/>
    <w:rsid w:val="00F72CA9"/>
    <w:rsid w:val="00FA00A3"/>
    <w:rsid w:val="01066A48"/>
    <w:rsid w:val="01192C1F"/>
    <w:rsid w:val="01196BB4"/>
    <w:rsid w:val="01255120"/>
    <w:rsid w:val="0147153B"/>
    <w:rsid w:val="015B703A"/>
    <w:rsid w:val="016A6FD7"/>
    <w:rsid w:val="01821808"/>
    <w:rsid w:val="01822573"/>
    <w:rsid w:val="018A7679"/>
    <w:rsid w:val="01B8715D"/>
    <w:rsid w:val="01CE57B8"/>
    <w:rsid w:val="01E10BDA"/>
    <w:rsid w:val="01EB45BC"/>
    <w:rsid w:val="01F255B3"/>
    <w:rsid w:val="02141325"/>
    <w:rsid w:val="023C2195"/>
    <w:rsid w:val="025D4D8E"/>
    <w:rsid w:val="025E74FD"/>
    <w:rsid w:val="02693733"/>
    <w:rsid w:val="02BF3353"/>
    <w:rsid w:val="02D15E82"/>
    <w:rsid w:val="02D54924"/>
    <w:rsid w:val="02E5725D"/>
    <w:rsid w:val="03065425"/>
    <w:rsid w:val="030E47C4"/>
    <w:rsid w:val="033A0C2B"/>
    <w:rsid w:val="033E4BBF"/>
    <w:rsid w:val="034F2928"/>
    <w:rsid w:val="03555A65"/>
    <w:rsid w:val="035C6DF3"/>
    <w:rsid w:val="038D1A6F"/>
    <w:rsid w:val="038D51FF"/>
    <w:rsid w:val="03AC7D7B"/>
    <w:rsid w:val="03B15391"/>
    <w:rsid w:val="03DD0DAE"/>
    <w:rsid w:val="03E33071"/>
    <w:rsid w:val="03E5503B"/>
    <w:rsid w:val="03F16DED"/>
    <w:rsid w:val="03FD05D6"/>
    <w:rsid w:val="04446205"/>
    <w:rsid w:val="04531FA4"/>
    <w:rsid w:val="04567CE7"/>
    <w:rsid w:val="04576BD3"/>
    <w:rsid w:val="045A1585"/>
    <w:rsid w:val="047168CE"/>
    <w:rsid w:val="04854128"/>
    <w:rsid w:val="049727D9"/>
    <w:rsid w:val="04975C38"/>
    <w:rsid w:val="049F51EA"/>
    <w:rsid w:val="04A04386"/>
    <w:rsid w:val="04A07C4B"/>
    <w:rsid w:val="04A10F62"/>
    <w:rsid w:val="04AB1DE0"/>
    <w:rsid w:val="04AD5972"/>
    <w:rsid w:val="04B36EE7"/>
    <w:rsid w:val="04BF588C"/>
    <w:rsid w:val="04DC01EC"/>
    <w:rsid w:val="04E672BC"/>
    <w:rsid w:val="05037796"/>
    <w:rsid w:val="051A6F66"/>
    <w:rsid w:val="051C6CBF"/>
    <w:rsid w:val="053A45A8"/>
    <w:rsid w:val="054162A1"/>
    <w:rsid w:val="05597A8E"/>
    <w:rsid w:val="058A7C48"/>
    <w:rsid w:val="058F525E"/>
    <w:rsid w:val="059E1945"/>
    <w:rsid w:val="05AF5900"/>
    <w:rsid w:val="05E97064"/>
    <w:rsid w:val="05EC0902"/>
    <w:rsid w:val="05FB28F4"/>
    <w:rsid w:val="060C2D53"/>
    <w:rsid w:val="061614DB"/>
    <w:rsid w:val="061E4834"/>
    <w:rsid w:val="06257970"/>
    <w:rsid w:val="063C3527"/>
    <w:rsid w:val="065110EC"/>
    <w:rsid w:val="06562220"/>
    <w:rsid w:val="065F7326"/>
    <w:rsid w:val="06624721"/>
    <w:rsid w:val="069D1BFD"/>
    <w:rsid w:val="06BC6527"/>
    <w:rsid w:val="06C13B3D"/>
    <w:rsid w:val="06CC5B3F"/>
    <w:rsid w:val="06DF0467"/>
    <w:rsid w:val="06E17D3B"/>
    <w:rsid w:val="06F53E3D"/>
    <w:rsid w:val="07017C0B"/>
    <w:rsid w:val="071311AA"/>
    <w:rsid w:val="07462294"/>
    <w:rsid w:val="074E3E7A"/>
    <w:rsid w:val="07723089"/>
    <w:rsid w:val="07943000"/>
    <w:rsid w:val="07A70F85"/>
    <w:rsid w:val="07BC60B3"/>
    <w:rsid w:val="07C338E5"/>
    <w:rsid w:val="07C75183"/>
    <w:rsid w:val="07D23B28"/>
    <w:rsid w:val="07EB560A"/>
    <w:rsid w:val="07EC4BEA"/>
    <w:rsid w:val="07ED2710"/>
    <w:rsid w:val="07F04D43"/>
    <w:rsid w:val="07F41CF0"/>
    <w:rsid w:val="07F55F19"/>
    <w:rsid w:val="080B2B96"/>
    <w:rsid w:val="08145EEF"/>
    <w:rsid w:val="08292CEE"/>
    <w:rsid w:val="08380544"/>
    <w:rsid w:val="08394D8A"/>
    <w:rsid w:val="083D3697"/>
    <w:rsid w:val="08420CAE"/>
    <w:rsid w:val="08536A17"/>
    <w:rsid w:val="086230FE"/>
    <w:rsid w:val="08670714"/>
    <w:rsid w:val="08802790"/>
    <w:rsid w:val="08AB07BE"/>
    <w:rsid w:val="08D65C03"/>
    <w:rsid w:val="08DF64FD"/>
    <w:rsid w:val="090E6DE2"/>
    <w:rsid w:val="093525C0"/>
    <w:rsid w:val="097E5D15"/>
    <w:rsid w:val="0992531D"/>
    <w:rsid w:val="09954E0D"/>
    <w:rsid w:val="09C83435"/>
    <w:rsid w:val="09CA2D09"/>
    <w:rsid w:val="09DA51A9"/>
    <w:rsid w:val="09E667C5"/>
    <w:rsid w:val="0A1C108A"/>
    <w:rsid w:val="0A206DCD"/>
    <w:rsid w:val="0A256191"/>
    <w:rsid w:val="0A287A2F"/>
    <w:rsid w:val="0A3D172D"/>
    <w:rsid w:val="0A6071C9"/>
    <w:rsid w:val="0A7D611C"/>
    <w:rsid w:val="0A894972"/>
    <w:rsid w:val="0A8A693C"/>
    <w:rsid w:val="0A8D13AC"/>
    <w:rsid w:val="0AA277E2"/>
    <w:rsid w:val="0AA6367D"/>
    <w:rsid w:val="0AEF054D"/>
    <w:rsid w:val="0AF22DED"/>
    <w:rsid w:val="0B066219"/>
    <w:rsid w:val="0B0E131B"/>
    <w:rsid w:val="0B156206"/>
    <w:rsid w:val="0B2C7149"/>
    <w:rsid w:val="0B3D575C"/>
    <w:rsid w:val="0B472137"/>
    <w:rsid w:val="0B493D92"/>
    <w:rsid w:val="0B4D3BF1"/>
    <w:rsid w:val="0B4E7969"/>
    <w:rsid w:val="0B5A00BC"/>
    <w:rsid w:val="0B61769D"/>
    <w:rsid w:val="0B6B4275"/>
    <w:rsid w:val="0B980BE5"/>
    <w:rsid w:val="0BB738DF"/>
    <w:rsid w:val="0BC910AF"/>
    <w:rsid w:val="0BCB720C"/>
    <w:rsid w:val="0BD065D0"/>
    <w:rsid w:val="0BD31C1D"/>
    <w:rsid w:val="0BDE2A9B"/>
    <w:rsid w:val="0BEF2EFA"/>
    <w:rsid w:val="0C1B382B"/>
    <w:rsid w:val="0C324B95"/>
    <w:rsid w:val="0C346B5F"/>
    <w:rsid w:val="0C355815"/>
    <w:rsid w:val="0C5E598A"/>
    <w:rsid w:val="0C637445"/>
    <w:rsid w:val="0C692CAD"/>
    <w:rsid w:val="0CCF0636"/>
    <w:rsid w:val="0CDB522D"/>
    <w:rsid w:val="0CFB767D"/>
    <w:rsid w:val="0D19235B"/>
    <w:rsid w:val="0D1F336B"/>
    <w:rsid w:val="0D3B3F1D"/>
    <w:rsid w:val="0D466B4A"/>
    <w:rsid w:val="0D5D70E8"/>
    <w:rsid w:val="0D662D48"/>
    <w:rsid w:val="0D7161F6"/>
    <w:rsid w:val="0D72774D"/>
    <w:rsid w:val="0D821B4C"/>
    <w:rsid w:val="0D9755F8"/>
    <w:rsid w:val="0DAF0B93"/>
    <w:rsid w:val="0E4D215A"/>
    <w:rsid w:val="0E52151F"/>
    <w:rsid w:val="0E721BC1"/>
    <w:rsid w:val="0E910299"/>
    <w:rsid w:val="0EAA4EB7"/>
    <w:rsid w:val="0EC95C85"/>
    <w:rsid w:val="0EE7435D"/>
    <w:rsid w:val="0EEE56EB"/>
    <w:rsid w:val="0EF54806"/>
    <w:rsid w:val="0EFD76DC"/>
    <w:rsid w:val="0F1A1821"/>
    <w:rsid w:val="0F4245C0"/>
    <w:rsid w:val="0F452E31"/>
    <w:rsid w:val="0F470958"/>
    <w:rsid w:val="0F5512C6"/>
    <w:rsid w:val="0F6C4862"/>
    <w:rsid w:val="0F7F6343"/>
    <w:rsid w:val="0F871C1B"/>
    <w:rsid w:val="0F8E6586"/>
    <w:rsid w:val="0F900551"/>
    <w:rsid w:val="0FA31390"/>
    <w:rsid w:val="0FB26719"/>
    <w:rsid w:val="0FB54787"/>
    <w:rsid w:val="0FE4089C"/>
    <w:rsid w:val="0FEB39D9"/>
    <w:rsid w:val="0FEE72AD"/>
    <w:rsid w:val="100A06B6"/>
    <w:rsid w:val="102130A2"/>
    <w:rsid w:val="103E7FAD"/>
    <w:rsid w:val="104F3F68"/>
    <w:rsid w:val="1054157E"/>
    <w:rsid w:val="105C2769"/>
    <w:rsid w:val="105E41AB"/>
    <w:rsid w:val="106043C7"/>
    <w:rsid w:val="10685029"/>
    <w:rsid w:val="1088747A"/>
    <w:rsid w:val="10944070"/>
    <w:rsid w:val="109C74DE"/>
    <w:rsid w:val="10A047C3"/>
    <w:rsid w:val="10AB1F4F"/>
    <w:rsid w:val="10E36DA6"/>
    <w:rsid w:val="10EC17B7"/>
    <w:rsid w:val="10F22B45"/>
    <w:rsid w:val="10FB5E9E"/>
    <w:rsid w:val="111451B1"/>
    <w:rsid w:val="111E4FAD"/>
    <w:rsid w:val="1125116C"/>
    <w:rsid w:val="112A6783"/>
    <w:rsid w:val="113D64B6"/>
    <w:rsid w:val="11490DC3"/>
    <w:rsid w:val="114C04A7"/>
    <w:rsid w:val="115068AF"/>
    <w:rsid w:val="1182036D"/>
    <w:rsid w:val="118F65E6"/>
    <w:rsid w:val="119500A0"/>
    <w:rsid w:val="11A16A45"/>
    <w:rsid w:val="11BB1688"/>
    <w:rsid w:val="11BB562D"/>
    <w:rsid w:val="11C00447"/>
    <w:rsid w:val="11CB5870"/>
    <w:rsid w:val="11CE5360"/>
    <w:rsid w:val="11E24A0B"/>
    <w:rsid w:val="11EB7CC0"/>
    <w:rsid w:val="120D5E88"/>
    <w:rsid w:val="1232663F"/>
    <w:rsid w:val="124A03ED"/>
    <w:rsid w:val="125F245C"/>
    <w:rsid w:val="12617F82"/>
    <w:rsid w:val="127C300E"/>
    <w:rsid w:val="127E6D86"/>
    <w:rsid w:val="12891287"/>
    <w:rsid w:val="128D521B"/>
    <w:rsid w:val="12AA36D7"/>
    <w:rsid w:val="12B46304"/>
    <w:rsid w:val="12B96010"/>
    <w:rsid w:val="12C50511"/>
    <w:rsid w:val="12FB2185"/>
    <w:rsid w:val="13082AF4"/>
    <w:rsid w:val="130A686C"/>
    <w:rsid w:val="130F5C30"/>
    <w:rsid w:val="13166FBF"/>
    <w:rsid w:val="132E7034"/>
    <w:rsid w:val="13541895"/>
    <w:rsid w:val="135B36C0"/>
    <w:rsid w:val="1384582A"/>
    <w:rsid w:val="138A175B"/>
    <w:rsid w:val="138A3509"/>
    <w:rsid w:val="1399374C"/>
    <w:rsid w:val="13A46379"/>
    <w:rsid w:val="13A75E69"/>
    <w:rsid w:val="13B6715C"/>
    <w:rsid w:val="13C46A1B"/>
    <w:rsid w:val="13CE5AEB"/>
    <w:rsid w:val="13F15336"/>
    <w:rsid w:val="13F54834"/>
    <w:rsid w:val="14060DE1"/>
    <w:rsid w:val="1424570B"/>
    <w:rsid w:val="144E4536"/>
    <w:rsid w:val="14515DD5"/>
    <w:rsid w:val="147C10A3"/>
    <w:rsid w:val="147F2942"/>
    <w:rsid w:val="148461AA"/>
    <w:rsid w:val="14860174"/>
    <w:rsid w:val="14861CDF"/>
    <w:rsid w:val="14C8078D"/>
    <w:rsid w:val="14CB202B"/>
    <w:rsid w:val="14D26E56"/>
    <w:rsid w:val="14D26F15"/>
    <w:rsid w:val="14EA2145"/>
    <w:rsid w:val="14EF3F6B"/>
    <w:rsid w:val="15391282"/>
    <w:rsid w:val="153C5486"/>
    <w:rsid w:val="15410CDB"/>
    <w:rsid w:val="154871D8"/>
    <w:rsid w:val="154F0566"/>
    <w:rsid w:val="155D0ED5"/>
    <w:rsid w:val="156758B0"/>
    <w:rsid w:val="156814F3"/>
    <w:rsid w:val="15703044"/>
    <w:rsid w:val="1578002F"/>
    <w:rsid w:val="15791A87"/>
    <w:rsid w:val="159348F7"/>
    <w:rsid w:val="1594241D"/>
    <w:rsid w:val="15AA1B8D"/>
    <w:rsid w:val="161A0B74"/>
    <w:rsid w:val="16210154"/>
    <w:rsid w:val="16414353"/>
    <w:rsid w:val="164B44B0"/>
    <w:rsid w:val="1651030E"/>
    <w:rsid w:val="167765A8"/>
    <w:rsid w:val="16C83656"/>
    <w:rsid w:val="16C94348"/>
    <w:rsid w:val="16D51CFA"/>
    <w:rsid w:val="16EC3AC7"/>
    <w:rsid w:val="17101F77"/>
    <w:rsid w:val="1713221D"/>
    <w:rsid w:val="17147CB9"/>
    <w:rsid w:val="171C4DC0"/>
    <w:rsid w:val="172B0B5F"/>
    <w:rsid w:val="1732437D"/>
    <w:rsid w:val="1763654B"/>
    <w:rsid w:val="176D1177"/>
    <w:rsid w:val="17A6314B"/>
    <w:rsid w:val="17AF79E2"/>
    <w:rsid w:val="17B9260F"/>
    <w:rsid w:val="17BB1EE3"/>
    <w:rsid w:val="17DB4333"/>
    <w:rsid w:val="17DF2075"/>
    <w:rsid w:val="17E06471"/>
    <w:rsid w:val="17FE0021"/>
    <w:rsid w:val="180A5766"/>
    <w:rsid w:val="181D2B9D"/>
    <w:rsid w:val="181F3A21"/>
    <w:rsid w:val="184719C8"/>
    <w:rsid w:val="185D743E"/>
    <w:rsid w:val="18685ACE"/>
    <w:rsid w:val="18846779"/>
    <w:rsid w:val="18A84B5D"/>
    <w:rsid w:val="18B2778A"/>
    <w:rsid w:val="18B84674"/>
    <w:rsid w:val="18E204EA"/>
    <w:rsid w:val="19145D4E"/>
    <w:rsid w:val="19265A82"/>
    <w:rsid w:val="193A32DB"/>
    <w:rsid w:val="193B14F9"/>
    <w:rsid w:val="194A79C2"/>
    <w:rsid w:val="19635C84"/>
    <w:rsid w:val="19766A09"/>
    <w:rsid w:val="197762DD"/>
    <w:rsid w:val="1981715C"/>
    <w:rsid w:val="19924EC5"/>
    <w:rsid w:val="19A075E2"/>
    <w:rsid w:val="19AC0CB4"/>
    <w:rsid w:val="19B906A4"/>
    <w:rsid w:val="19DB2D10"/>
    <w:rsid w:val="19EA4D01"/>
    <w:rsid w:val="1A044015"/>
    <w:rsid w:val="1A131F09"/>
    <w:rsid w:val="1A2E4BEE"/>
    <w:rsid w:val="1A8E7D82"/>
    <w:rsid w:val="1A9D3099"/>
    <w:rsid w:val="1AAE3F81"/>
    <w:rsid w:val="1AB01AA7"/>
    <w:rsid w:val="1ABC044C"/>
    <w:rsid w:val="1ABF618E"/>
    <w:rsid w:val="1AC35C7E"/>
    <w:rsid w:val="1AF51BB0"/>
    <w:rsid w:val="1B0032DD"/>
    <w:rsid w:val="1B1262BE"/>
    <w:rsid w:val="1B155DAE"/>
    <w:rsid w:val="1B1D4847"/>
    <w:rsid w:val="1B1E4F5E"/>
    <w:rsid w:val="1B2129A5"/>
    <w:rsid w:val="1B455963"/>
    <w:rsid w:val="1B4641B9"/>
    <w:rsid w:val="1B5039A8"/>
    <w:rsid w:val="1B5C5EE0"/>
    <w:rsid w:val="1B6A170F"/>
    <w:rsid w:val="1B742AD4"/>
    <w:rsid w:val="1B8E0CA6"/>
    <w:rsid w:val="1B987AE7"/>
    <w:rsid w:val="1BA13F1C"/>
    <w:rsid w:val="1BC51582"/>
    <w:rsid w:val="1BD619E1"/>
    <w:rsid w:val="1BDD4B1E"/>
    <w:rsid w:val="1BE1788B"/>
    <w:rsid w:val="1BF400B9"/>
    <w:rsid w:val="1BF9747E"/>
    <w:rsid w:val="1C183B46"/>
    <w:rsid w:val="1C3F7586"/>
    <w:rsid w:val="1C4A3E04"/>
    <w:rsid w:val="1C662D65"/>
    <w:rsid w:val="1C672639"/>
    <w:rsid w:val="1C844F99"/>
    <w:rsid w:val="1C913B5A"/>
    <w:rsid w:val="1CAA3340"/>
    <w:rsid w:val="1CB33AD0"/>
    <w:rsid w:val="1CD35F20"/>
    <w:rsid w:val="1CEB14BC"/>
    <w:rsid w:val="1CEC0633"/>
    <w:rsid w:val="1CED6265"/>
    <w:rsid w:val="1D021844"/>
    <w:rsid w:val="1D232D79"/>
    <w:rsid w:val="1D292B33"/>
    <w:rsid w:val="1D4806BC"/>
    <w:rsid w:val="1D57445C"/>
    <w:rsid w:val="1D6628F1"/>
    <w:rsid w:val="1D6B7F07"/>
    <w:rsid w:val="1D7C0366"/>
    <w:rsid w:val="1D862F93"/>
    <w:rsid w:val="1D8F0099"/>
    <w:rsid w:val="1D952867"/>
    <w:rsid w:val="1D9B6A3E"/>
    <w:rsid w:val="1D9C4722"/>
    <w:rsid w:val="1D9F1A8B"/>
    <w:rsid w:val="1DA77DD3"/>
    <w:rsid w:val="1DAF24EA"/>
    <w:rsid w:val="1DBA103F"/>
    <w:rsid w:val="1DC046F7"/>
    <w:rsid w:val="1DC6338F"/>
    <w:rsid w:val="1DD71A40"/>
    <w:rsid w:val="1DDD721A"/>
    <w:rsid w:val="1DE026A3"/>
    <w:rsid w:val="1E2C3B3A"/>
    <w:rsid w:val="1E2C599D"/>
    <w:rsid w:val="1E3819A8"/>
    <w:rsid w:val="1E3E386E"/>
    <w:rsid w:val="1E4C1AE7"/>
    <w:rsid w:val="1E537319"/>
    <w:rsid w:val="1E635082"/>
    <w:rsid w:val="1E6A01BF"/>
    <w:rsid w:val="1E786D7F"/>
    <w:rsid w:val="1E8802BF"/>
    <w:rsid w:val="1EAC4C7B"/>
    <w:rsid w:val="1F073C5F"/>
    <w:rsid w:val="1F146823"/>
    <w:rsid w:val="1F1F489E"/>
    <w:rsid w:val="1F30765A"/>
    <w:rsid w:val="1F3A78E3"/>
    <w:rsid w:val="1F3F1FFF"/>
    <w:rsid w:val="1F443106"/>
    <w:rsid w:val="1F4B4494"/>
    <w:rsid w:val="1F606781"/>
    <w:rsid w:val="1F62533A"/>
    <w:rsid w:val="1F6E3DFA"/>
    <w:rsid w:val="1F784B5D"/>
    <w:rsid w:val="1F881244"/>
    <w:rsid w:val="1F8B2AE2"/>
    <w:rsid w:val="1F95570F"/>
    <w:rsid w:val="1F9B5289"/>
    <w:rsid w:val="1F9C084C"/>
    <w:rsid w:val="1FA871F0"/>
    <w:rsid w:val="1FCD4EA9"/>
    <w:rsid w:val="1FE3548B"/>
    <w:rsid w:val="1FE458E0"/>
    <w:rsid w:val="1FE741BD"/>
    <w:rsid w:val="1FEB532F"/>
    <w:rsid w:val="20065D2D"/>
    <w:rsid w:val="200D799B"/>
    <w:rsid w:val="20102DFE"/>
    <w:rsid w:val="202C6073"/>
    <w:rsid w:val="202D1DEC"/>
    <w:rsid w:val="20541126"/>
    <w:rsid w:val="205C53A4"/>
    <w:rsid w:val="20686980"/>
    <w:rsid w:val="20871E3E"/>
    <w:rsid w:val="20947775"/>
    <w:rsid w:val="20994D8B"/>
    <w:rsid w:val="20B41BC5"/>
    <w:rsid w:val="20C718F8"/>
    <w:rsid w:val="20C77E4D"/>
    <w:rsid w:val="20C95670"/>
    <w:rsid w:val="20DA2A72"/>
    <w:rsid w:val="20F6042F"/>
    <w:rsid w:val="20FC3C98"/>
    <w:rsid w:val="21154D5A"/>
    <w:rsid w:val="211F7986"/>
    <w:rsid w:val="212154AC"/>
    <w:rsid w:val="213D1395"/>
    <w:rsid w:val="216D6944"/>
    <w:rsid w:val="21747CD2"/>
    <w:rsid w:val="217F6677"/>
    <w:rsid w:val="218D2B42"/>
    <w:rsid w:val="21902632"/>
    <w:rsid w:val="219263AA"/>
    <w:rsid w:val="219E4D4F"/>
    <w:rsid w:val="21B31E7D"/>
    <w:rsid w:val="21C127EB"/>
    <w:rsid w:val="21C347B6"/>
    <w:rsid w:val="21D06ED2"/>
    <w:rsid w:val="21D544E9"/>
    <w:rsid w:val="21DE339D"/>
    <w:rsid w:val="21ED538F"/>
    <w:rsid w:val="21F15CAB"/>
    <w:rsid w:val="21F273B2"/>
    <w:rsid w:val="21F7620D"/>
    <w:rsid w:val="21FC3824"/>
    <w:rsid w:val="21FE0D98"/>
    <w:rsid w:val="22001928"/>
    <w:rsid w:val="2217065D"/>
    <w:rsid w:val="222A69CB"/>
    <w:rsid w:val="223D1C83"/>
    <w:rsid w:val="2268710B"/>
    <w:rsid w:val="2280357B"/>
    <w:rsid w:val="22853819"/>
    <w:rsid w:val="22B20386"/>
    <w:rsid w:val="22C34341"/>
    <w:rsid w:val="22C57790"/>
    <w:rsid w:val="230328C4"/>
    <w:rsid w:val="23152DEF"/>
    <w:rsid w:val="23264FFC"/>
    <w:rsid w:val="233D5EA2"/>
    <w:rsid w:val="235F050E"/>
    <w:rsid w:val="235F22BC"/>
    <w:rsid w:val="23706277"/>
    <w:rsid w:val="23745695"/>
    <w:rsid w:val="237A70F6"/>
    <w:rsid w:val="238D2173"/>
    <w:rsid w:val="2398757C"/>
    <w:rsid w:val="239D1668"/>
    <w:rsid w:val="239F377F"/>
    <w:rsid w:val="23A44173"/>
    <w:rsid w:val="23A85CF5"/>
    <w:rsid w:val="23B048C6"/>
    <w:rsid w:val="23C30A9D"/>
    <w:rsid w:val="23D04F68"/>
    <w:rsid w:val="2403533D"/>
    <w:rsid w:val="241C1F5B"/>
    <w:rsid w:val="24266313"/>
    <w:rsid w:val="24280900"/>
    <w:rsid w:val="244A2F6C"/>
    <w:rsid w:val="246A53BC"/>
    <w:rsid w:val="2473469B"/>
    <w:rsid w:val="247E49C4"/>
    <w:rsid w:val="24832D6D"/>
    <w:rsid w:val="248A5117"/>
    <w:rsid w:val="249E5066"/>
    <w:rsid w:val="24A81A41"/>
    <w:rsid w:val="24EE194C"/>
    <w:rsid w:val="24FA6740"/>
    <w:rsid w:val="251F61A7"/>
    <w:rsid w:val="25333A00"/>
    <w:rsid w:val="253B28B5"/>
    <w:rsid w:val="25451805"/>
    <w:rsid w:val="255A71DF"/>
    <w:rsid w:val="256911D0"/>
    <w:rsid w:val="25867FD4"/>
    <w:rsid w:val="25887057"/>
    <w:rsid w:val="258C3110"/>
    <w:rsid w:val="25936C9A"/>
    <w:rsid w:val="25A0096A"/>
    <w:rsid w:val="25AD203B"/>
    <w:rsid w:val="25BC39F6"/>
    <w:rsid w:val="25C32E03"/>
    <w:rsid w:val="25DF1492"/>
    <w:rsid w:val="25E37AB4"/>
    <w:rsid w:val="25EF6C89"/>
    <w:rsid w:val="2610789E"/>
    <w:rsid w:val="26120603"/>
    <w:rsid w:val="261521C7"/>
    <w:rsid w:val="263C4B36"/>
    <w:rsid w:val="264B4D7A"/>
    <w:rsid w:val="264D28A0"/>
    <w:rsid w:val="264F6618"/>
    <w:rsid w:val="26656E0B"/>
    <w:rsid w:val="26663961"/>
    <w:rsid w:val="266F2816"/>
    <w:rsid w:val="2670658E"/>
    <w:rsid w:val="26822E97"/>
    <w:rsid w:val="269417FB"/>
    <w:rsid w:val="26977FBF"/>
    <w:rsid w:val="26C50688"/>
    <w:rsid w:val="26D055EC"/>
    <w:rsid w:val="26F84502"/>
    <w:rsid w:val="27005B64"/>
    <w:rsid w:val="270311B0"/>
    <w:rsid w:val="27054F28"/>
    <w:rsid w:val="2759134E"/>
    <w:rsid w:val="27787DF0"/>
    <w:rsid w:val="27873B8F"/>
    <w:rsid w:val="279F35CF"/>
    <w:rsid w:val="27E6528A"/>
    <w:rsid w:val="27E67D1D"/>
    <w:rsid w:val="280B656E"/>
    <w:rsid w:val="280E2503"/>
    <w:rsid w:val="28180C8B"/>
    <w:rsid w:val="281A4A03"/>
    <w:rsid w:val="28333D17"/>
    <w:rsid w:val="284C07C8"/>
    <w:rsid w:val="28542F37"/>
    <w:rsid w:val="28575C58"/>
    <w:rsid w:val="285A74F6"/>
    <w:rsid w:val="286640ED"/>
    <w:rsid w:val="286C2EFF"/>
    <w:rsid w:val="28843D57"/>
    <w:rsid w:val="28996270"/>
    <w:rsid w:val="28B9421C"/>
    <w:rsid w:val="28D252DE"/>
    <w:rsid w:val="28ED2118"/>
    <w:rsid w:val="29045484"/>
    <w:rsid w:val="29363ABF"/>
    <w:rsid w:val="2948353C"/>
    <w:rsid w:val="294C32E2"/>
    <w:rsid w:val="295D729E"/>
    <w:rsid w:val="29693E94"/>
    <w:rsid w:val="297D524A"/>
    <w:rsid w:val="298962E5"/>
    <w:rsid w:val="29AC5FA7"/>
    <w:rsid w:val="29B570DA"/>
    <w:rsid w:val="29BF63C5"/>
    <w:rsid w:val="29C953ED"/>
    <w:rsid w:val="29EB2AFB"/>
    <w:rsid w:val="29F86FC6"/>
    <w:rsid w:val="2A375D41"/>
    <w:rsid w:val="2A3F0751"/>
    <w:rsid w:val="2A465F84"/>
    <w:rsid w:val="2A671862"/>
    <w:rsid w:val="2A6B7798"/>
    <w:rsid w:val="2A6E1037"/>
    <w:rsid w:val="2A704DAF"/>
    <w:rsid w:val="2A834AE2"/>
    <w:rsid w:val="2A97058D"/>
    <w:rsid w:val="2A9E7B6E"/>
    <w:rsid w:val="2AA131BA"/>
    <w:rsid w:val="2AA1765E"/>
    <w:rsid w:val="2AA66A22"/>
    <w:rsid w:val="2AB27F6B"/>
    <w:rsid w:val="2AB54EB7"/>
    <w:rsid w:val="2ACB0237"/>
    <w:rsid w:val="2AD76BDC"/>
    <w:rsid w:val="2ADC2444"/>
    <w:rsid w:val="2AE93303"/>
    <w:rsid w:val="2AF7727E"/>
    <w:rsid w:val="2B004385"/>
    <w:rsid w:val="2B033E75"/>
    <w:rsid w:val="2B0D6AA1"/>
    <w:rsid w:val="2B110340"/>
    <w:rsid w:val="2B1B2F6C"/>
    <w:rsid w:val="2B243F83"/>
    <w:rsid w:val="2B5D17D7"/>
    <w:rsid w:val="2B74267D"/>
    <w:rsid w:val="2B7D534D"/>
    <w:rsid w:val="2B857FE7"/>
    <w:rsid w:val="2B90423A"/>
    <w:rsid w:val="2BA74800"/>
    <w:rsid w:val="2BAA609E"/>
    <w:rsid w:val="2BB92785"/>
    <w:rsid w:val="2BC03B14"/>
    <w:rsid w:val="2BCC070B"/>
    <w:rsid w:val="2BE94E19"/>
    <w:rsid w:val="2BEE242F"/>
    <w:rsid w:val="2BF57C61"/>
    <w:rsid w:val="2BF612E4"/>
    <w:rsid w:val="2C1A76C8"/>
    <w:rsid w:val="2C293467"/>
    <w:rsid w:val="2C2E3173"/>
    <w:rsid w:val="2C4D228D"/>
    <w:rsid w:val="2C532BDA"/>
    <w:rsid w:val="2C5A7AC4"/>
    <w:rsid w:val="2C6F1BF0"/>
    <w:rsid w:val="2C7566AC"/>
    <w:rsid w:val="2C7D570A"/>
    <w:rsid w:val="2C963BB6"/>
    <w:rsid w:val="2C970D19"/>
    <w:rsid w:val="2CA156F3"/>
    <w:rsid w:val="2CA62D0A"/>
    <w:rsid w:val="2CB73169"/>
    <w:rsid w:val="2CC633AC"/>
    <w:rsid w:val="2CCC220E"/>
    <w:rsid w:val="2CDA0C05"/>
    <w:rsid w:val="2CE41F2E"/>
    <w:rsid w:val="2CE657FC"/>
    <w:rsid w:val="2CE72BBB"/>
    <w:rsid w:val="2CEE645F"/>
    <w:rsid w:val="2CF550A8"/>
    <w:rsid w:val="2D03015C"/>
    <w:rsid w:val="2D0619FA"/>
    <w:rsid w:val="2D1E0AF2"/>
    <w:rsid w:val="2D23435A"/>
    <w:rsid w:val="2D2B1461"/>
    <w:rsid w:val="2D320A41"/>
    <w:rsid w:val="2D664EE8"/>
    <w:rsid w:val="2D6C5D01"/>
    <w:rsid w:val="2D766B80"/>
    <w:rsid w:val="2D9D2438"/>
    <w:rsid w:val="2DBB0A37"/>
    <w:rsid w:val="2DC9254F"/>
    <w:rsid w:val="2DE22CBA"/>
    <w:rsid w:val="2DF301D1"/>
    <w:rsid w:val="2E1B7727"/>
    <w:rsid w:val="2E2712B8"/>
    <w:rsid w:val="2E2C723F"/>
    <w:rsid w:val="2E8C5F2F"/>
    <w:rsid w:val="2E9D638E"/>
    <w:rsid w:val="2EA80FBB"/>
    <w:rsid w:val="2EC92CDF"/>
    <w:rsid w:val="2ECA5939"/>
    <w:rsid w:val="2EEB0EA8"/>
    <w:rsid w:val="2EFC4E63"/>
    <w:rsid w:val="2EFE0BDB"/>
    <w:rsid w:val="2F0646A6"/>
    <w:rsid w:val="2F13270B"/>
    <w:rsid w:val="2F2E075D"/>
    <w:rsid w:val="2F452CAE"/>
    <w:rsid w:val="2F725125"/>
    <w:rsid w:val="2F7C41F6"/>
    <w:rsid w:val="2F9652B7"/>
    <w:rsid w:val="2FA84FEB"/>
    <w:rsid w:val="2FC1035A"/>
    <w:rsid w:val="2FC7634D"/>
    <w:rsid w:val="2FD47B8E"/>
    <w:rsid w:val="2FE70DEC"/>
    <w:rsid w:val="2FEC3129"/>
    <w:rsid w:val="3025488D"/>
    <w:rsid w:val="30332B06"/>
    <w:rsid w:val="303348B4"/>
    <w:rsid w:val="30534F57"/>
    <w:rsid w:val="30590093"/>
    <w:rsid w:val="30711881"/>
    <w:rsid w:val="307A0735"/>
    <w:rsid w:val="30872E52"/>
    <w:rsid w:val="30874C00"/>
    <w:rsid w:val="309C68FD"/>
    <w:rsid w:val="30A27C8C"/>
    <w:rsid w:val="30BD0622"/>
    <w:rsid w:val="30C145B6"/>
    <w:rsid w:val="30CC6AB7"/>
    <w:rsid w:val="30D75B88"/>
    <w:rsid w:val="30E43E01"/>
    <w:rsid w:val="30EA0F6A"/>
    <w:rsid w:val="30F329D6"/>
    <w:rsid w:val="30F73B34"/>
    <w:rsid w:val="310426F5"/>
    <w:rsid w:val="31276062"/>
    <w:rsid w:val="313703D4"/>
    <w:rsid w:val="31422333"/>
    <w:rsid w:val="314B3E80"/>
    <w:rsid w:val="31572824"/>
    <w:rsid w:val="315A3D9B"/>
    <w:rsid w:val="31656A1C"/>
    <w:rsid w:val="317909ED"/>
    <w:rsid w:val="31837ABD"/>
    <w:rsid w:val="31994BEB"/>
    <w:rsid w:val="31AD68E8"/>
    <w:rsid w:val="31B47C77"/>
    <w:rsid w:val="31BB7257"/>
    <w:rsid w:val="31C12394"/>
    <w:rsid w:val="31C869A7"/>
    <w:rsid w:val="31D71BB7"/>
    <w:rsid w:val="31DE6AA2"/>
    <w:rsid w:val="31ED3189"/>
    <w:rsid w:val="32035AEE"/>
    <w:rsid w:val="32244DFC"/>
    <w:rsid w:val="32513718"/>
    <w:rsid w:val="32582CF8"/>
    <w:rsid w:val="32621481"/>
    <w:rsid w:val="32655415"/>
    <w:rsid w:val="326A6587"/>
    <w:rsid w:val="326C67A3"/>
    <w:rsid w:val="32867865"/>
    <w:rsid w:val="329B0E37"/>
    <w:rsid w:val="32A7158A"/>
    <w:rsid w:val="32BA306B"/>
    <w:rsid w:val="32BB17EF"/>
    <w:rsid w:val="32BC7BB0"/>
    <w:rsid w:val="32C1089D"/>
    <w:rsid w:val="32C20171"/>
    <w:rsid w:val="32D65578"/>
    <w:rsid w:val="33294694"/>
    <w:rsid w:val="335334BF"/>
    <w:rsid w:val="3353526D"/>
    <w:rsid w:val="3355548A"/>
    <w:rsid w:val="33613E2E"/>
    <w:rsid w:val="337F42B4"/>
    <w:rsid w:val="338A5A42"/>
    <w:rsid w:val="3392223A"/>
    <w:rsid w:val="339B7340"/>
    <w:rsid w:val="33D77C4D"/>
    <w:rsid w:val="33E660E2"/>
    <w:rsid w:val="33E74334"/>
    <w:rsid w:val="33F83C6E"/>
    <w:rsid w:val="33FB1B8D"/>
    <w:rsid w:val="3411315F"/>
    <w:rsid w:val="341B5D8B"/>
    <w:rsid w:val="34237336"/>
    <w:rsid w:val="34272982"/>
    <w:rsid w:val="344057F2"/>
    <w:rsid w:val="34684D49"/>
    <w:rsid w:val="34784F8C"/>
    <w:rsid w:val="348B6F28"/>
    <w:rsid w:val="348C22DF"/>
    <w:rsid w:val="34AE6BFF"/>
    <w:rsid w:val="34AF2977"/>
    <w:rsid w:val="34EE34A0"/>
    <w:rsid w:val="34F14D3E"/>
    <w:rsid w:val="35077B05"/>
    <w:rsid w:val="350E6FCA"/>
    <w:rsid w:val="35272028"/>
    <w:rsid w:val="353335A8"/>
    <w:rsid w:val="35415CC5"/>
    <w:rsid w:val="354632DC"/>
    <w:rsid w:val="354912F6"/>
    <w:rsid w:val="357C6CFE"/>
    <w:rsid w:val="357F67EE"/>
    <w:rsid w:val="358D2CB9"/>
    <w:rsid w:val="358D4A67"/>
    <w:rsid w:val="35C661CB"/>
    <w:rsid w:val="35DE52C2"/>
    <w:rsid w:val="35EA1EB9"/>
    <w:rsid w:val="35EB79DF"/>
    <w:rsid w:val="35F965A0"/>
    <w:rsid w:val="35FC399A"/>
    <w:rsid w:val="363521C1"/>
    <w:rsid w:val="363A47F1"/>
    <w:rsid w:val="36421CF5"/>
    <w:rsid w:val="364A2958"/>
    <w:rsid w:val="364D2448"/>
    <w:rsid w:val="365B1601"/>
    <w:rsid w:val="36687282"/>
    <w:rsid w:val="366B28CE"/>
    <w:rsid w:val="36897924"/>
    <w:rsid w:val="36900240"/>
    <w:rsid w:val="369462C9"/>
    <w:rsid w:val="369938DF"/>
    <w:rsid w:val="3699568D"/>
    <w:rsid w:val="36AC22D5"/>
    <w:rsid w:val="36B41CD5"/>
    <w:rsid w:val="36C02C1A"/>
    <w:rsid w:val="36D14E27"/>
    <w:rsid w:val="36E36908"/>
    <w:rsid w:val="37052D23"/>
    <w:rsid w:val="3756532C"/>
    <w:rsid w:val="376F3FE1"/>
    <w:rsid w:val="37737C8C"/>
    <w:rsid w:val="377E111B"/>
    <w:rsid w:val="37866B0A"/>
    <w:rsid w:val="37A34A15"/>
    <w:rsid w:val="37A4078E"/>
    <w:rsid w:val="37E40B8A"/>
    <w:rsid w:val="37F039D3"/>
    <w:rsid w:val="37F0752F"/>
    <w:rsid w:val="38233460"/>
    <w:rsid w:val="382B0567"/>
    <w:rsid w:val="38305B7D"/>
    <w:rsid w:val="38314519"/>
    <w:rsid w:val="383218F5"/>
    <w:rsid w:val="383D011C"/>
    <w:rsid w:val="3857135C"/>
    <w:rsid w:val="385E74CA"/>
    <w:rsid w:val="386D5023"/>
    <w:rsid w:val="3870241E"/>
    <w:rsid w:val="38710670"/>
    <w:rsid w:val="3872069F"/>
    <w:rsid w:val="3876050F"/>
    <w:rsid w:val="3881462B"/>
    <w:rsid w:val="38A147D3"/>
    <w:rsid w:val="38A87E0A"/>
    <w:rsid w:val="38AC16A8"/>
    <w:rsid w:val="38AC5B4C"/>
    <w:rsid w:val="38B30C88"/>
    <w:rsid w:val="38B77CE5"/>
    <w:rsid w:val="38CE5AC2"/>
    <w:rsid w:val="38D330D8"/>
    <w:rsid w:val="38EA0422"/>
    <w:rsid w:val="39047736"/>
    <w:rsid w:val="39072D82"/>
    <w:rsid w:val="390C0398"/>
    <w:rsid w:val="392E030F"/>
    <w:rsid w:val="393F42CA"/>
    <w:rsid w:val="39447A25"/>
    <w:rsid w:val="39567866"/>
    <w:rsid w:val="39581830"/>
    <w:rsid w:val="39597111"/>
    <w:rsid w:val="396A50BF"/>
    <w:rsid w:val="39A131D7"/>
    <w:rsid w:val="39B06F76"/>
    <w:rsid w:val="39CE38A0"/>
    <w:rsid w:val="39D8471E"/>
    <w:rsid w:val="3A0433A0"/>
    <w:rsid w:val="3A053765"/>
    <w:rsid w:val="3A0B0650"/>
    <w:rsid w:val="3A103EB8"/>
    <w:rsid w:val="3A2160C5"/>
    <w:rsid w:val="3A35391F"/>
    <w:rsid w:val="3A4029D2"/>
    <w:rsid w:val="3A575643"/>
    <w:rsid w:val="3A944AE9"/>
    <w:rsid w:val="3A970136"/>
    <w:rsid w:val="3A9C74FA"/>
    <w:rsid w:val="3AA80595"/>
    <w:rsid w:val="3AB6680E"/>
    <w:rsid w:val="3ACD4ECF"/>
    <w:rsid w:val="3AE710BD"/>
    <w:rsid w:val="3AEF1D20"/>
    <w:rsid w:val="3AFB06C4"/>
    <w:rsid w:val="3B0E03F8"/>
    <w:rsid w:val="3B3B6D13"/>
    <w:rsid w:val="3B3D0CDD"/>
    <w:rsid w:val="3B530501"/>
    <w:rsid w:val="3B6C15C2"/>
    <w:rsid w:val="3B6C3370"/>
    <w:rsid w:val="3B8A07A5"/>
    <w:rsid w:val="3B9F3746"/>
    <w:rsid w:val="3BA24FE4"/>
    <w:rsid w:val="3BAC7C11"/>
    <w:rsid w:val="3BAE5737"/>
    <w:rsid w:val="3BBB4A02"/>
    <w:rsid w:val="3BC92571"/>
    <w:rsid w:val="3BE63123"/>
    <w:rsid w:val="3C0969A9"/>
    <w:rsid w:val="3C177780"/>
    <w:rsid w:val="3C1C54DF"/>
    <w:rsid w:val="3C335C3C"/>
    <w:rsid w:val="3C406CD7"/>
    <w:rsid w:val="3C6A3D54"/>
    <w:rsid w:val="3C8A61A4"/>
    <w:rsid w:val="3C934705"/>
    <w:rsid w:val="3C9C1A33"/>
    <w:rsid w:val="3CA37266"/>
    <w:rsid w:val="3CAD1E92"/>
    <w:rsid w:val="3CC149AC"/>
    <w:rsid w:val="3CC73BD4"/>
    <w:rsid w:val="3CC80A7A"/>
    <w:rsid w:val="3CC86CCC"/>
    <w:rsid w:val="3CD15B81"/>
    <w:rsid w:val="3CE064DE"/>
    <w:rsid w:val="3CF8135F"/>
    <w:rsid w:val="3D1C7FC7"/>
    <w:rsid w:val="3D22462E"/>
    <w:rsid w:val="3D324146"/>
    <w:rsid w:val="3D335B46"/>
    <w:rsid w:val="3D363C36"/>
    <w:rsid w:val="3D3D3216"/>
    <w:rsid w:val="3D4C3459"/>
    <w:rsid w:val="3D583BAC"/>
    <w:rsid w:val="3D5B18EE"/>
    <w:rsid w:val="3D6C7658"/>
    <w:rsid w:val="3D9170BE"/>
    <w:rsid w:val="3DB64D77"/>
    <w:rsid w:val="3DB86D41"/>
    <w:rsid w:val="3DE11DF4"/>
    <w:rsid w:val="3DE32D35"/>
    <w:rsid w:val="3DEF6D00"/>
    <w:rsid w:val="3DF37D79"/>
    <w:rsid w:val="3E045AE2"/>
    <w:rsid w:val="3E0E4BB3"/>
    <w:rsid w:val="3E175815"/>
    <w:rsid w:val="3E573E64"/>
    <w:rsid w:val="3E7316AE"/>
    <w:rsid w:val="3E864749"/>
    <w:rsid w:val="3E9375F1"/>
    <w:rsid w:val="3E9E1A93"/>
    <w:rsid w:val="3EA34698"/>
    <w:rsid w:val="3EA90437"/>
    <w:rsid w:val="3ED100BA"/>
    <w:rsid w:val="3ED8395B"/>
    <w:rsid w:val="3EDC25BB"/>
    <w:rsid w:val="3EDE27D7"/>
    <w:rsid w:val="3EE020AB"/>
    <w:rsid w:val="3F0208FF"/>
    <w:rsid w:val="3F125FDD"/>
    <w:rsid w:val="3F1A0767"/>
    <w:rsid w:val="3F214472"/>
    <w:rsid w:val="3F2C3542"/>
    <w:rsid w:val="3F487C50"/>
    <w:rsid w:val="3F4A19DB"/>
    <w:rsid w:val="3F4F5483"/>
    <w:rsid w:val="3F632CDC"/>
    <w:rsid w:val="3F67457A"/>
    <w:rsid w:val="3F7153F9"/>
    <w:rsid w:val="3F724CCD"/>
    <w:rsid w:val="3FAF2B07"/>
    <w:rsid w:val="3FCB2D5B"/>
    <w:rsid w:val="3FCB5038"/>
    <w:rsid w:val="3FD55988"/>
    <w:rsid w:val="3FDA2F9E"/>
    <w:rsid w:val="3FE0432D"/>
    <w:rsid w:val="3FEB51AC"/>
    <w:rsid w:val="40055B41"/>
    <w:rsid w:val="402A6194"/>
    <w:rsid w:val="4037219F"/>
    <w:rsid w:val="403F0749"/>
    <w:rsid w:val="407A652F"/>
    <w:rsid w:val="407F5E9B"/>
    <w:rsid w:val="40F462E2"/>
    <w:rsid w:val="40F57964"/>
    <w:rsid w:val="411B6481"/>
    <w:rsid w:val="411C3143"/>
    <w:rsid w:val="411D61FF"/>
    <w:rsid w:val="412F731A"/>
    <w:rsid w:val="41305F04"/>
    <w:rsid w:val="413D1A37"/>
    <w:rsid w:val="413E6D3C"/>
    <w:rsid w:val="41571710"/>
    <w:rsid w:val="4162149D"/>
    <w:rsid w:val="41701A43"/>
    <w:rsid w:val="41727207"/>
    <w:rsid w:val="41792C41"/>
    <w:rsid w:val="41A76EB0"/>
    <w:rsid w:val="41AA074E"/>
    <w:rsid w:val="41B80B32"/>
    <w:rsid w:val="41BB0BAE"/>
    <w:rsid w:val="41CD6552"/>
    <w:rsid w:val="41D67795"/>
    <w:rsid w:val="41E41EB2"/>
    <w:rsid w:val="41F52311"/>
    <w:rsid w:val="42220C2D"/>
    <w:rsid w:val="422410AB"/>
    <w:rsid w:val="42277FF1"/>
    <w:rsid w:val="422C5607"/>
    <w:rsid w:val="423F17DF"/>
    <w:rsid w:val="425A2175"/>
    <w:rsid w:val="425F3C2F"/>
    <w:rsid w:val="426C1EA8"/>
    <w:rsid w:val="42747399"/>
    <w:rsid w:val="427C658F"/>
    <w:rsid w:val="42A6360C"/>
    <w:rsid w:val="42B23D5F"/>
    <w:rsid w:val="42B343E3"/>
    <w:rsid w:val="42B40890"/>
    <w:rsid w:val="42B850ED"/>
    <w:rsid w:val="42DA32B5"/>
    <w:rsid w:val="42F9198D"/>
    <w:rsid w:val="430F2F5F"/>
    <w:rsid w:val="431542ED"/>
    <w:rsid w:val="433A3A5A"/>
    <w:rsid w:val="4346094B"/>
    <w:rsid w:val="434846C3"/>
    <w:rsid w:val="434F15AD"/>
    <w:rsid w:val="435B43F6"/>
    <w:rsid w:val="43602472"/>
    <w:rsid w:val="438D657A"/>
    <w:rsid w:val="438F54B5"/>
    <w:rsid w:val="438F5E4E"/>
    <w:rsid w:val="43B2391F"/>
    <w:rsid w:val="43B6162D"/>
    <w:rsid w:val="43B65AD0"/>
    <w:rsid w:val="43D30430"/>
    <w:rsid w:val="43E268C5"/>
    <w:rsid w:val="43E2748A"/>
    <w:rsid w:val="43F263DD"/>
    <w:rsid w:val="43F3462F"/>
    <w:rsid w:val="43FB43FF"/>
    <w:rsid w:val="43FC3F58"/>
    <w:rsid w:val="43FF1225"/>
    <w:rsid w:val="440C56F0"/>
    <w:rsid w:val="44112D07"/>
    <w:rsid w:val="44222831"/>
    <w:rsid w:val="44242A3A"/>
    <w:rsid w:val="44337121"/>
    <w:rsid w:val="443E1B50"/>
    <w:rsid w:val="44421112"/>
    <w:rsid w:val="444A7FC7"/>
    <w:rsid w:val="447D41C0"/>
    <w:rsid w:val="4497145E"/>
    <w:rsid w:val="449C6A74"/>
    <w:rsid w:val="44BC0EC5"/>
    <w:rsid w:val="44CD4E80"/>
    <w:rsid w:val="44D0671E"/>
    <w:rsid w:val="44DC50C3"/>
    <w:rsid w:val="44DE708D"/>
    <w:rsid w:val="44ED5522"/>
    <w:rsid w:val="44F22B38"/>
    <w:rsid w:val="450D34CE"/>
    <w:rsid w:val="451C1963"/>
    <w:rsid w:val="45210BFA"/>
    <w:rsid w:val="452627E2"/>
    <w:rsid w:val="4545710C"/>
    <w:rsid w:val="45717F01"/>
    <w:rsid w:val="45796DB6"/>
    <w:rsid w:val="4597723C"/>
    <w:rsid w:val="459B0B22"/>
    <w:rsid w:val="45BD3146"/>
    <w:rsid w:val="45CA5863"/>
    <w:rsid w:val="45D67D64"/>
    <w:rsid w:val="45E2495B"/>
    <w:rsid w:val="45E83F3B"/>
    <w:rsid w:val="460E39A2"/>
    <w:rsid w:val="46386C71"/>
    <w:rsid w:val="4642189D"/>
    <w:rsid w:val="46582E6F"/>
    <w:rsid w:val="46601D24"/>
    <w:rsid w:val="46641814"/>
    <w:rsid w:val="466C691A"/>
    <w:rsid w:val="46794B93"/>
    <w:rsid w:val="467A4EBB"/>
    <w:rsid w:val="467F664E"/>
    <w:rsid w:val="468C48C7"/>
    <w:rsid w:val="469A5235"/>
    <w:rsid w:val="46AA39F9"/>
    <w:rsid w:val="46B362F7"/>
    <w:rsid w:val="46DB09AD"/>
    <w:rsid w:val="46E26BDC"/>
    <w:rsid w:val="46F34946"/>
    <w:rsid w:val="470C49EF"/>
    <w:rsid w:val="471A45C8"/>
    <w:rsid w:val="4740402F"/>
    <w:rsid w:val="47413903"/>
    <w:rsid w:val="47680EBB"/>
    <w:rsid w:val="47694C08"/>
    <w:rsid w:val="47875EA8"/>
    <w:rsid w:val="479559FD"/>
    <w:rsid w:val="479A005B"/>
    <w:rsid w:val="47BC567F"/>
    <w:rsid w:val="47C50090"/>
    <w:rsid w:val="47C85BC1"/>
    <w:rsid w:val="47CF53B3"/>
    <w:rsid w:val="47EA3F9B"/>
    <w:rsid w:val="47FE35A2"/>
    <w:rsid w:val="480706A9"/>
    <w:rsid w:val="48272AF9"/>
    <w:rsid w:val="482C45B3"/>
    <w:rsid w:val="48525420"/>
    <w:rsid w:val="48691363"/>
    <w:rsid w:val="48711FC6"/>
    <w:rsid w:val="487D0E21"/>
    <w:rsid w:val="48853CC3"/>
    <w:rsid w:val="488E0DCA"/>
    <w:rsid w:val="48A4239B"/>
    <w:rsid w:val="48AD5549"/>
    <w:rsid w:val="48B620CF"/>
    <w:rsid w:val="48D4367A"/>
    <w:rsid w:val="48E13021"/>
    <w:rsid w:val="49144E77"/>
    <w:rsid w:val="491A440C"/>
    <w:rsid w:val="492139EC"/>
    <w:rsid w:val="49235BC9"/>
    <w:rsid w:val="4933371F"/>
    <w:rsid w:val="493A685C"/>
    <w:rsid w:val="49494CF1"/>
    <w:rsid w:val="494F6304"/>
    <w:rsid w:val="4955379A"/>
    <w:rsid w:val="495C67D2"/>
    <w:rsid w:val="4961347E"/>
    <w:rsid w:val="49641B2B"/>
    <w:rsid w:val="498A5AC5"/>
    <w:rsid w:val="49A168DB"/>
    <w:rsid w:val="49A62143"/>
    <w:rsid w:val="49AF724A"/>
    <w:rsid w:val="49BA174B"/>
    <w:rsid w:val="49CF51F6"/>
    <w:rsid w:val="49DE7B2F"/>
    <w:rsid w:val="49EA2030"/>
    <w:rsid w:val="49FB248F"/>
    <w:rsid w:val="4A031344"/>
    <w:rsid w:val="4A084BAC"/>
    <w:rsid w:val="4A361719"/>
    <w:rsid w:val="4A3D2AA8"/>
    <w:rsid w:val="4A4200BE"/>
    <w:rsid w:val="4A423482"/>
    <w:rsid w:val="4A4F27DB"/>
    <w:rsid w:val="4A6B60F6"/>
    <w:rsid w:val="4A761B16"/>
    <w:rsid w:val="4A772233"/>
    <w:rsid w:val="4A871F75"/>
    <w:rsid w:val="4A875AD1"/>
    <w:rsid w:val="4A881849"/>
    <w:rsid w:val="4AA04DE4"/>
    <w:rsid w:val="4AB97C54"/>
    <w:rsid w:val="4ACA3C0F"/>
    <w:rsid w:val="4AD11442"/>
    <w:rsid w:val="4AE90539"/>
    <w:rsid w:val="4AF36F82"/>
    <w:rsid w:val="4AFD641D"/>
    <w:rsid w:val="4B0709C0"/>
    <w:rsid w:val="4B0A243B"/>
    <w:rsid w:val="4B1355B6"/>
    <w:rsid w:val="4B337A07"/>
    <w:rsid w:val="4B375749"/>
    <w:rsid w:val="4B3A0D95"/>
    <w:rsid w:val="4B3F45FD"/>
    <w:rsid w:val="4B531E57"/>
    <w:rsid w:val="4B58746D"/>
    <w:rsid w:val="4B5C0D0B"/>
    <w:rsid w:val="4B7047B7"/>
    <w:rsid w:val="4B8244EA"/>
    <w:rsid w:val="4B9C1A50"/>
    <w:rsid w:val="4BCD39B7"/>
    <w:rsid w:val="4BD905AE"/>
    <w:rsid w:val="4BEB208F"/>
    <w:rsid w:val="4C0513A3"/>
    <w:rsid w:val="4C2F01CE"/>
    <w:rsid w:val="4C3752D5"/>
    <w:rsid w:val="4C6065D9"/>
    <w:rsid w:val="4C671A35"/>
    <w:rsid w:val="4C871DB8"/>
    <w:rsid w:val="4C903F54"/>
    <w:rsid w:val="4C9D5A7F"/>
    <w:rsid w:val="4CA50490"/>
    <w:rsid w:val="4CC21042"/>
    <w:rsid w:val="4CDE39A2"/>
    <w:rsid w:val="4CE4545C"/>
    <w:rsid w:val="4CEF6B2A"/>
    <w:rsid w:val="4D151ABA"/>
    <w:rsid w:val="4D186EB4"/>
    <w:rsid w:val="4D1969E8"/>
    <w:rsid w:val="4D40640B"/>
    <w:rsid w:val="4D467EC5"/>
    <w:rsid w:val="4D6B16DA"/>
    <w:rsid w:val="4D6C0FAE"/>
    <w:rsid w:val="4D8207D1"/>
    <w:rsid w:val="4D97477F"/>
    <w:rsid w:val="4DC25072"/>
    <w:rsid w:val="4DCF7EBB"/>
    <w:rsid w:val="4DD54DA5"/>
    <w:rsid w:val="4DEB45C9"/>
    <w:rsid w:val="4E08517B"/>
    <w:rsid w:val="4E0B07C7"/>
    <w:rsid w:val="4E0F02B7"/>
    <w:rsid w:val="4E0F2FD3"/>
    <w:rsid w:val="4E1F24C4"/>
    <w:rsid w:val="4E320449"/>
    <w:rsid w:val="4E3C73EA"/>
    <w:rsid w:val="4E404914"/>
    <w:rsid w:val="4E4D5283"/>
    <w:rsid w:val="4E5C54C6"/>
    <w:rsid w:val="4E6C395B"/>
    <w:rsid w:val="4E6F6FA8"/>
    <w:rsid w:val="4E704ACE"/>
    <w:rsid w:val="4E870795"/>
    <w:rsid w:val="4EAD7AD0"/>
    <w:rsid w:val="4EC24E6D"/>
    <w:rsid w:val="4ED4505D"/>
    <w:rsid w:val="4EE23C1E"/>
    <w:rsid w:val="4EEB1682"/>
    <w:rsid w:val="4EF474AD"/>
    <w:rsid w:val="4F07039D"/>
    <w:rsid w:val="4F0771E0"/>
    <w:rsid w:val="4F195165"/>
    <w:rsid w:val="4F2002A2"/>
    <w:rsid w:val="4F3D0E54"/>
    <w:rsid w:val="4F5A7C58"/>
    <w:rsid w:val="4F8922EB"/>
    <w:rsid w:val="4F8E7901"/>
    <w:rsid w:val="4F9009A8"/>
    <w:rsid w:val="4F952A3E"/>
    <w:rsid w:val="4FA42C81"/>
    <w:rsid w:val="4FA64C4B"/>
    <w:rsid w:val="4FA964E9"/>
    <w:rsid w:val="4FAE3B00"/>
    <w:rsid w:val="4FB31116"/>
    <w:rsid w:val="4FB355BA"/>
    <w:rsid w:val="4FF97471"/>
    <w:rsid w:val="4FFF7839"/>
    <w:rsid w:val="50083210"/>
    <w:rsid w:val="501716A5"/>
    <w:rsid w:val="50285660"/>
    <w:rsid w:val="503264DF"/>
    <w:rsid w:val="50343E72"/>
    <w:rsid w:val="504F7091"/>
    <w:rsid w:val="5055041F"/>
    <w:rsid w:val="50610B72"/>
    <w:rsid w:val="50680152"/>
    <w:rsid w:val="506955FB"/>
    <w:rsid w:val="5081009F"/>
    <w:rsid w:val="508841E4"/>
    <w:rsid w:val="508B5BEF"/>
    <w:rsid w:val="50940F47"/>
    <w:rsid w:val="50B60EBE"/>
    <w:rsid w:val="50C51101"/>
    <w:rsid w:val="50C625CD"/>
    <w:rsid w:val="50CF01D2"/>
    <w:rsid w:val="50F22414"/>
    <w:rsid w:val="50FB0FC7"/>
    <w:rsid w:val="51210FA7"/>
    <w:rsid w:val="51630581"/>
    <w:rsid w:val="51646B6C"/>
    <w:rsid w:val="5196484B"/>
    <w:rsid w:val="519E173C"/>
    <w:rsid w:val="51A60F32"/>
    <w:rsid w:val="51E90E1F"/>
    <w:rsid w:val="51EB4B97"/>
    <w:rsid w:val="51EC090F"/>
    <w:rsid w:val="51FD2B1C"/>
    <w:rsid w:val="52081BED"/>
    <w:rsid w:val="521466F1"/>
    <w:rsid w:val="52173BDE"/>
    <w:rsid w:val="527A5F1B"/>
    <w:rsid w:val="52990A97"/>
    <w:rsid w:val="52A3667B"/>
    <w:rsid w:val="52B256B5"/>
    <w:rsid w:val="52B70F1D"/>
    <w:rsid w:val="52BF7DD2"/>
    <w:rsid w:val="52D41ACF"/>
    <w:rsid w:val="53073C53"/>
    <w:rsid w:val="532A5B93"/>
    <w:rsid w:val="5332384A"/>
    <w:rsid w:val="53400F13"/>
    <w:rsid w:val="53456529"/>
    <w:rsid w:val="536410A5"/>
    <w:rsid w:val="537A201C"/>
    <w:rsid w:val="538D7C23"/>
    <w:rsid w:val="5391176E"/>
    <w:rsid w:val="53B77CD9"/>
    <w:rsid w:val="53BF0089"/>
    <w:rsid w:val="53D14261"/>
    <w:rsid w:val="53DF072C"/>
    <w:rsid w:val="53F341D7"/>
    <w:rsid w:val="53F43A13"/>
    <w:rsid w:val="53FF492A"/>
    <w:rsid w:val="543A5609"/>
    <w:rsid w:val="54414F42"/>
    <w:rsid w:val="54880DC3"/>
    <w:rsid w:val="548E5CAE"/>
    <w:rsid w:val="54951E7E"/>
    <w:rsid w:val="54B27BEE"/>
    <w:rsid w:val="54BF0519"/>
    <w:rsid w:val="54F54ACD"/>
    <w:rsid w:val="55052414"/>
    <w:rsid w:val="55085A60"/>
    <w:rsid w:val="553E5926"/>
    <w:rsid w:val="554F18E1"/>
    <w:rsid w:val="55780E38"/>
    <w:rsid w:val="557B4484"/>
    <w:rsid w:val="55853555"/>
    <w:rsid w:val="558F7F2F"/>
    <w:rsid w:val="55911EF9"/>
    <w:rsid w:val="559C4929"/>
    <w:rsid w:val="55AE6607"/>
    <w:rsid w:val="55B6370E"/>
    <w:rsid w:val="55D65B5E"/>
    <w:rsid w:val="55D6790C"/>
    <w:rsid w:val="560B1CAC"/>
    <w:rsid w:val="5627460C"/>
    <w:rsid w:val="562F7AA7"/>
    <w:rsid w:val="56486A5C"/>
    <w:rsid w:val="564927D4"/>
    <w:rsid w:val="564E3947"/>
    <w:rsid w:val="565E627F"/>
    <w:rsid w:val="566040EB"/>
    <w:rsid w:val="56682C5A"/>
    <w:rsid w:val="569A6B8C"/>
    <w:rsid w:val="56AB0DF4"/>
    <w:rsid w:val="56B37C4E"/>
    <w:rsid w:val="56CB31E9"/>
    <w:rsid w:val="56DE4CCA"/>
    <w:rsid w:val="56DF1488"/>
    <w:rsid w:val="575256B8"/>
    <w:rsid w:val="576F626A"/>
    <w:rsid w:val="57733B37"/>
    <w:rsid w:val="57945CD1"/>
    <w:rsid w:val="579932E7"/>
    <w:rsid w:val="57A5206E"/>
    <w:rsid w:val="57BB4B36"/>
    <w:rsid w:val="57C2283E"/>
    <w:rsid w:val="57C32112"/>
    <w:rsid w:val="57C540DC"/>
    <w:rsid w:val="57D32355"/>
    <w:rsid w:val="57D61E46"/>
    <w:rsid w:val="57F56770"/>
    <w:rsid w:val="581B1F4E"/>
    <w:rsid w:val="583F79EB"/>
    <w:rsid w:val="584A6390"/>
    <w:rsid w:val="584C2145"/>
    <w:rsid w:val="584E40D2"/>
    <w:rsid w:val="585316E8"/>
    <w:rsid w:val="58547FDC"/>
    <w:rsid w:val="585D60C3"/>
    <w:rsid w:val="588548A0"/>
    <w:rsid w:val="58935F89"/>
    <w:rsid w:val="58B63D67"/>
    <w:rsid w:val="58BC728D"/>
    <w:rsid w:val="58E467E4"/>
    <w:rsid w:val="58F72073"/>
    <w:rsid w:val="58FE4411"/>
    <w:rsid w:val="590649AC"/>
    <w:rsid w:val="590B7E91"/>
    <w:rsid w:val="59106827"/>
    <w:rsid w:val="59170968"/>
    <w:rsid w:val="594352B9"/>
    <w:rsid w:val="594A2AEB"/>
    <w:rsid w:val="5952374E"/>
    <w:rsid w:val="598633F7"/>
    <w:rsid w:val="59952D85"/>
    <w:rsid w:val="599E2E37"/>
    <w:rsid w:val="59C3464B"/>
    <w:rsid w:val="59D6437F"/>
    <w:rsid w:val="5A113609"/>
    <w:rsid w:val="5A124512"/>
    <w:rsid w:val="5A177B77"/>
    <w:rsid w:val="5A1B6236"/>
    <w:rsid w:val="5A307F33"/>
    <w:rsid w:val="5A4968FF"/>
    <w:rsid w:val="5A4C2893"/>
    <w:rsid w:val="5A4C63EF"/>
    <w:rsid w:val="5A5A6D5E"/>
    <w:rsid w:val="5A845B89"/>
    <w:rsid w:val="5A8C2C8F"/>
    <w:rsid w:val="5A9304C2"/>
    <w:rsid w:val="5AB00DFE"/>
    <w:rsid w:val="5ABF4E13"/>
    <w:rsid w:val="5AC42429"/>
    <w:rsid w:val="5AC93EE4"/>
    <w:rsid w:val="5ACE14FA"/>
    <w:rsid w:val="5AE66844"/>
    <w:rsid w:val="5AE903AA"/>
    <w:rsid w:val="5AEE394A"/>
    <w:rsid w:val="5AF534BD"/>
    <w:rsid w:val="5B002643"/>
    <w:rsid w:val="5B01367D"/>
    <w:rsid w:val="5B1C04B7"/>
    <w:rsid w:val="5B1C2265"/>
    <w:rsid w:val="5B1E7D8B"/>
    <w:rsid w:val="5B1F3B03"/>
    <w:rsid w:val="5B490B80"/>
    <w:rsid w:val="5B6B6D49"/>
    <w:rsid w:val="5BE77556"/>
    <w:rsid w:val="5C0A270F"/>
    <w:rsid w:val="5C2209C9"/>
    <w:rsid w:val="5C535CE5"/>
    <w:rsid w:val="5C5707D2"/>
    <w:rsid w:val="5C5C319E"/>
    <w:rsid w:val="5C5E5408"/>
    <w:rsid w:val="5C7377B5"/>
    <w:rsid w:val="5C8C6F77"/>
    <w:rsid w:val="5C8D0274"/>
    <w:rsid w:val="5C91458D"/>
    <w:rsid w:val="5CA50038"/>
    <w:rsid w:val="5CAE15E3"/>
    <w:rsid w:val="5CB00EB7"/>
    <w:rsid w:val="5CC91F79"/>
    <w:rsid w:val="5CFD1C22"/>
    <w:rsid w:val="5D101956"/>
    <w:rsid w:val="5D137698"/>
    <w:rsid w:val="5D1551BE"/>
    <w:rsid w:val="5D6F0D72"/>
    <w:rsid w:val="5D72033C"/>
    <w:rsid w:val="5D7874FB"/>
    <w:rsid w:val="5D8F31C2"/>
    <w:rsid w:val="5DAB7212"/>
    <w:rsid w:val="5DCA5FA9"/>
    <w:rsid w:val="5DD40BD5"/>
    <w:rsid w:val="5DEB5F1F"/>
    <w:rsid w:val="5DFB43B4"/>
    <w:rsid w:val="5E000678"/>
    <w:rsid w:val="5E0C4813"/>
    <w:rsid w:val="5E331DA0"/>
    <w:rsid w:val="5E453881"/>
    <w:rsid w:val="5E56783C"/>
    <w:rsid w:val="5E745F14"/>
    <w:rsid w:val="5E767EDE"/>
    <w:rsid w:val="5E856373"/>
    <w:rsid w:val="5E92274E"/>
    <w:rsid w:val="5EAE7002"/>
    <w:rsid w:val="5EE6447D"/>
    <w:rsid w:val="5EEC01A1"/>
    <w:rsid w:val="5EF13A09"/>
    <w:rsid w:val="5F050720"/>
    <w:rsid w:val="5F0E0117"/>
    <w:rsid w:val="5F4355E2"/>
    <w:rsid w:val="5F70492E"/>
    <w:rsid w:val="5F772160"/>
    <w:rsid w:val="5F775CBC"/>
    <w:rsid w:val="5F824661"/>
    <w:rsid w:val="5F8F7962"/>
    <w:rsid w:val="5F906D7E"/>
    <w:rsid w:val="5FCC24AC"/>
    <w:rsid w:val="5FD70E51"/>
    <w:rsid w:val="5FD749AD"/>
    <w:rsid w:val="5FEA7452"/>
    <w:rsid w:val="5FEF1CF6"/>
    <w:rsid w:val="5FF27A39"/>
    <w:rsid w:val="5FF97E58"/>
    <w:rsid w:val="60163727"/>
    <w:rsid w:val="604A1623"/>
    <w:rsid w:val="60567FC7"/>
    <w:rsid w:val="605C0571"/>
    <w:rsid w:val="606B47D9"/>
    <w:rsid w:val="607E415A"/>
    <w:rsid w:val="608E7761"/>
    <w:rsid w:val="609D42CD"/>
    <w:rsid w:val="60B42F40"/>
    <w:rsid w:val="60BB42CE"/>
    <w:rsid w:val="60BD2365"/>
    <w:rsid w:val="60C767CF"/>
    <w:rsid w:val="60F11A9E"/>
    <w:rsid w:val="60F82E2D"/>
    <w:rsid w:val="6115578D"/>
    <w:rsid w:val="6162299C"/>
    <w:rsid w:val="61941E26"/>
    <w:rsid w:val="61AB7E9F"/>
    <w:rsid w:val="61AC7685"/>
    <w:rsid w:val="61AE5BE1"/>
    <w:rsid w:val="61B52ACC"/>
    <w:rsid w:val="61C176C2"/>
    <w:rsid w:val="61C471B3"/>
    <w:rsid w:val="61E0223F"/>
    <w:rsid w:val="62051CA5"/>
    <w:rsid w:val="622C5484"/>
    <w:rsid w:val="623936FD"/>
    <w:rsid w:val="625048C9"/>
    <w:rsid w:val="62682234"/>
    <w:rsid w:val="626B6B00"/>
    <w:rsid w:val="627D5CDF"/>
    <w:rsid w:val="62854B94"/>
    <w:rsid w:val="628C5F22"/>
    <w:rsid w:val="62940A10"/>
    <w:rsid w:val="629549CD"/>
    <w:rsid w:val="62AE5E99"/>
    <w:rsid w:val="62B337E3"/>
    <w:rsid w:val="62B40FD5"/>
    <w:rsid w:val="62C54F90"/>
    <w:rsid w:val="62C76F5B"/>
    <w:rsid w:val="62D578C9"/>
    <w:rsid w:val="62DF24F6"/>
    <w:rsid w:val="62EB6533"/>
    <w:rsid w:val="62F51D1A"/>
    <w:rsid w:val="631B00C2"/>
    <w:rsid w:val="631D3129"/>
    <w:rsid w:val="632B78B0"/>
    <w:rsid w:val="632E7E4C"/>
    <w:rsid w:val="633345F0"/>
    <w:rsid w:val="63497970"/>
    <w:rsid w:val="638B7F88"/>
    <w:rsid w:val="63916680"/>
    <w:rsid w:val="63C9479B"/>
    <w:rsid w:val="63D43569"/>
    <w:rsid w:val="63EA73A4"/>
    <w:rsid w:val="63EB0A27"/>
    <w:rsid w:val="63F634EE"/>
    <w:rsid w:val="63F83144"/>
    <w:rsid w:val="64191A38"/>
    <w:rsid w:val="645111D2"/>
    <w:rsid w:val="64601415"/>
    <w:rsid w:val="64635704"/>
    <w:rsid w:val="647279BB"/>
    <w:rsid w:val="648B2B7A"/>
    <w:rsid w:val="64AC465A"/>
    <w:rsid w:val="64AD073A"/>
    <w:rsid w:val="64D63485"/>
    <w:rsid w:val="64F34037"/>
    <w:rsid w:val="64F46001"/>
    <w:rsid w:val="64F63B27"/>
    <w:rsid w:val="65000502"/>
    <w:rsid w:val="65094498"/>
    <w:rsid w:val="65293EFC"/>
    <w:rsid w:val="652C579B"/>
    <w:rsid w:val="652E32C1"/>
    <w:rsid w:val="65325D88"/>
    <w:rsid w:val="653B778C"/>
    <w:rsid w:val="6545060B"/>
    <w:rsid w:val="65501489"/>
    <w:rsid w:val="65566374"/>
    <w:rsid w:val="655B398A"/>
    <w:rsid w:val="65615E7B"/>
    <w:rsid w:val="656B0071"/>
    <w:rsid w:val="65811338"/>
    <w:rsid w:val="659A1094"/>
    <w:rsid w:val="65A93AEA"/>
    <w:rsid w:val="65AE7F5E"/>
    <w:rsid w:val="65BA4B55"/>
    <w:rsid w:val="65BC5449"/>
    <w:rsid w:val="65C6174B"/>
    <w:rsid w:val="65CC6636"/>
    <w:rsid w:val="65CD0D2C"/>
    <w:rsid w:val="65D24972"/>
    <w:rsid w:val="65DD6A95"/>
    <w:rsid w:val="65F20792"/>
    <w:rsid w:val="66067D9A"/>
    <w:rsid w:val="660B5D53"/>
    <w:rsid w:val="66212E26"/>
    <w:rsid w:val="662B15AE"/>
    <w:rsid w:val="664E2064"/>
    <w:rsid w:val="66504910"/>
    <w:rsid w:val="66552ACF"/>
    <w:rsid w:val="66640307"/>
    <w:rsid w:val="66763171"/>
    <w:rsid w:val="66803B38"/>
    <w:rsid w:val="669058B5"/>
    <w:rsid w:val="669B4986"/>
    <w:rsid w:val="669B6734"/>
    <w:rsid w:val="66A81505"/>
    <w:rsid w:val="66BA1CB1"/>
    <w:rsid w:val="66EA76BB"/>
    <w:rsid w:val="66FE4F15"/>
    <w:rsid w:val="671E1113"/>
    <w:rsid w:val="6727446C"/>
    <w:rsid w:val="6732696D"/>
    <w:rsid w:val="67395F4D"/>
    <w:rsid w:val="67406A5C"/>
    <w:rsid w:val="674548F2"/>
    <w:rsid w:val="675D1DD7"/>
    <w:rsid w:val="67717925"/>
    <w:rsid w:val="67770DF7"/>
    <w:rsid w:val="677D0530"/>
    <w:rsid w:val="67876CB8"/>
    <w:rsid w:val="679A2E90"/>
    <w:rsid w:val="679F4002"/>
    <w:rsid w:val="67AC2BC3"/>
    <w:rsid w:val="67AE7EB4"/>
    <w:rsid w:val="67C13389"/>
    <w:rsid w:val="67D54704"/>
    <w:rsid w:val="67F00D02"/>
    <w:rsid w:val="680B1697"/>
    <w:rsid w:val="68210EBB"/>
    <w:rsid w:val="683F42E1"/>
    <w:rsid w:val="6850354E"/>
    <w:rsid w:val="685079F2"/>
    <w:rsid w:val="68541290"/>
    <w:rsid w:val="68686AEA"/>
    <w:rsid w:val="68692862"/>
    <w:rsid w:val="68694610"/>
    <w:rsid w:val="686A0AB4"/>
    <w:rsid w:val="6881195A"/>
    <w:rsid w:val="68882CE8"/>
    <w:rsid w:val="68952F83"/>
    <w:rsid w:val="68996CA3"/>
    <w:rsid w:val="68A06F21"/>
    <w:rsid w:val="68A1024E"/>
    <w:rsid w:val="68A37B22"/>
    <w:rsid w:val="68AF296B"/>
    <w:rsid w:val="68CB0E27"/>
    <w:rsid w:val="68D20407"/>
    <w:rsid w:val="68ED3493"/>
    <w:rsid w:val="68FE2FAA"/>
    <w:rsid w:val="69083E29"/>
    <w:rsid w:val="690C1F68"/>
    <w:rsid w:val="690F3409"/>
    <w:rsid w:val="692C7B17"/>
    <w:rsid w:val="69366AA2"/>
    <w:rsid w:val="694C1F68"/>
    <w:rsid w:val="69586B5E"/>
    <w:rsid w:val="695B03FD"/>
    <w:rsid w:val="695B664F"/>
    <w:rsid w:val="69845BA5"/>
    <w:rsid w:val="69B5065E"/>
    <w:rsid w:val="69B8584F"/>
    <w:rsid w:val="69BE2739"/>
    <w:rsid w:val="69BF6BDD"/>
    <w:rsid w:val="69CD14B6"/>
    <w:rsid w:val="69D63F27"/>
    <w:rsid w:val="69DF2DDC"/>
    <w:rsid w:val="69F66377"/>
    <w:rsid w:val="69FF6FDA"/>
    <w:rsid w:val="6A054AB6"/>
    <w:rsid w:val="6A0B273D"/>
    <w:rsid w:val="6A2021EE"/>
    <w:rsid w:val="6A260A0B"/>
    <w:rsid w:val="6A274783"/>
    <w:rsid w:val="6A372C18"/>
    <w:rsid w:val="6A3B3D8A"/>
    <w:rsid w:val="6A4E1D0F"/>
    <w:rsid w:val="6A4F12CD"/>
    <w:rsid w:val="6A521800"/>
    <w:rsid w:val="6A717967"/>
    <w:rsid w:val="6A892D47"/>
    <w:rsid w:val="6AA33E09"/>
    <w:rsid w:val="6AA47B81"/>
    <w:rsid w:val="6AAB2B20"/>
    <w:rsid w:val="6ABC4ECB"/>
    <w:rsid w:val="6ABC577D"/>
    <w:rsid w:val="6AC36824"/>
    <w:rsid w:val="6AD466B8"/>
    <w:rsid w:val="6AD93CCF"/>
    <w:rsid w:val="6AFA59F3"/>
    <w:rsid w:val="6B19231D"/>
    <w:rsid w:val="6B1D005F"/>
    <w:rsid w:val="6B2057D3"/>
    <w:rsid w:val="6B312B78"/>
    <w:rsid w:val="6B3727A3"/>
    <w:rsid w:val="6B453112"/>
    <w:rsid w:val="6B5415A7"/>
    <w:rsid w:val="6B543355"/>
    <w:rsid w:val="6B7B2FD8"/>
    <w:rsid w:val="6B954F8A"/>
    <w:rsid w:val="6BA73E07"/>
    <w:rsid w:val="6BAC4B1E"/>
    <w:rsid w:val="6BB34520"/>
    <w:rsid w:val="6BB42046"/>
    <w:rsid w:val="6BC06C3D"/>
    <w:rsid w:val="6BC404DB"/>
    <w:rsid w:val="6BD46244"/>
    <w:rsid w:val="6C101972"/>
    <w:rsid w:val="6C1121B0"/>
    <w:rsid w:val="6C305B70"/>
    <w:rsid w:val="6C661592"/>
    <w:rsid w:val="6C6972D4"/>
    <w:rsid w:val="6C6C46CF"/>
    <w:rsid w:val="6C7D068A"/>
    <w:rsid w:val="6CB07C2C"/>
    <w:rsid w:val="6CC938CF"/>
    <w:rsid w:val="6CCA7D73"/>
    <w:rsid w:val="6CD7423E"/>
    <w:rsid w:val="6CD90A7B"/>
    <w:rsid w:val="6CEF556F"/>
    <w:rsid w:val="6D285DB2"/>
    <w:rsid w:val="6D5663DC"/>
    <w:rsid w:val="6D567859"/>
    <w:rsid w:val="6D6A6E60"/>
    <w:rsid w:val="6D7E46BA"/>
    <w:rsid w:val="6D8141AA"/>
    <w:rsid w:val="6DA2484C"/>
    <w:rsid w:val="6DDC6800"/>
    <w:rsid w:val="6DEE7A91"/>
    <w:rsid w:val="6DF371B1"/>
    <w:rsid w:val="6E001573"/>
    <w:rsid w:val="6E032E11"/>
    <w:rsid w:val="6E105C5A"/>
    <w:rsid w:val="6E184B0E"/>
    <w:rsid w:val="6E192634"/>
    <w:rsid w:val="6E2711F5"/>
    <w:rsid w:val="6E296D1B"/>
    <w:rsid w:val="6E313E22"/>
    <w:rsid w:val="6E3277EF"/>
    <w:rsid w:val="6E413CAE"/>
    <w:rsid w:val="6E4F20C9"/>
    <w:rsid w:val="6E5D0662"/>
    <w:rsid w:val="6E6510F1"/>
    <w:rsid w:val="6E6733A0"/>
    <w:rsid w:val="6E7D7067"/>
    <w:rsid w:val="6E881964"/>
    <w:rsid w:val="6E936CD2"/>
    <w:rsid w:val="6EB32A89"/>
    <w:rsid w:val="6EC539C8"/>
    <w:rsid w:val="6EE151EF"/>
    <w:rsid w:val="6EE449F0"/>
    <w:rsid w:val="6EFC7F8C"/>
    <w:rsid w:val="6F165F8F"/>
    <w:rsid w:val="6F2B6AC3"/>
    <w:rsid w:val="6F375468"/>
    <w:rsid w:val="6F392F8E"/>
    <w:rsid w:val="6F3E05A4"/>
    <w:rsid w:val="6F4F5AF4"/>
    <w:rsid w:val="6F5558EE"/>
    <w:rsid w:val="6F8166E3"/>
    <w:rsid w:val="6F9A6C12"/>
    <w:rsid w:val="6FAF4FFE"/>
    <w:rsid w:val="6FC21BFD"/>
    <w:rsid w:val="6FC56BB6"/>
    <w:rsid w:val="6FC75293"/>
    <w:rsid w:val="6FE23626"/>
    <w:rsid w:val="6FE949B4"/>
    <w:rsid w:val="6FF005A6"/>
    <w:rsid w:val="6FF2313D"/>
    <w:rsid w:val="6FF43359"/>
    <w:rsid w:val="70052E70"/>
    <w:rsid w:val="700C41FF"/>
    <w:rsid w:val="70161521"/>
    <w:rsid w:val="70187047"/>
    <w:rsid w:val="70343755"/>
    <w:rsid w:val="704F233D"/>
    <w:rsid w:val="705A140E"/>
    <w:rsid w:val="705D0EFE"/>
    <w:rsid w:val="707920E4"/>
    <w:rsid w:val="70B717EC"/>
    <w:rsid w:val="70BC3E77"/>
    <w:rsid w:val="70CA1D71"/>
    <w:rsid w:val="70E17439"/>
    <w:rsid w:val="70E21403"/>
    <w:rsid w:val="70EE7DA8"/>
    <w:rsid w:val="712B2DAA"/>
    <w:rsid w:val="712B6906"/>
    <w:rsid w:val="713E2ADE"/>
    <w:rsid w:val="713F0604"/>
    <w:rsid w:val="7164006A"/>
    <w:rsid w:val="716B764B"/>
    <w:rsid w:val="717604C9"/>
    <w:rsid w:val="71771B4C"/>
    <w:rsid w:val="718B55F7"/>
    <w:rsid w:val="71940950"/>
    <w:rsid w:val="71950224"/>
    <w:rsid w:val="719C621B"/>
    <w:rsid w:val="71A90288"/>
    <w:rsid w:val="71C64524"/>
    <w:rsid w:val="71EF5B86"/>
    <w:rsid w:val="71F633B8"/>
    <w:rsid w:val="71F66F14"/>
    <w:rsid w:val="720C498A"/>
    <w:rsid w:val="721F290F"/>
    <w:rsid w:val="723D2D95"/>
    <w:rsid w:val="723F6B0D"/>
    <w:rsid w:val="72491888"/>
    <w:rsid w:val="724F0D1A"/>
    <w:rsid w:val="72A26EFE"/>
    <w:rsid w:val="72A508E5"/>
    <w:rsid w:val="72B40621"/>
    <w:rsid w:val="72B50B7E"/>
    <w:rsid w:val="72CB0CEB"/>
    <w:rsid w:val="72DA05E4"/>
    <w:rsid w:val="72E41463"/>
    <w:rsid w:val="72E94CCB"/>
    <w:rsid w:val="72FE23DD"/>
    <w:rsid w:val="730646C5"/>
    <w:rsid w:val="73142DF1"/>
    <w:rsid w:val="73221F8B"/>
    <w:rsid w:val="732301DD"/>
    <w:rsid w:val="733221CE"/>
    <w:rsid w:val="73334198"/>
    <w:rsid w:val="736823D9"/>
    <w:rsid w:val="736D3206"/>
    <w:rsid w:val="738A200A"/>
    <w:rsid w:val="73920EBF"/>
    <w:rsid w:val="73C31078"/>
    <w:rsid w:val="73DC65DE"/>
    <w:rsid w:val="73FB52EC"/>
    <w:rsid w:val="740873D3"/>
    <w:rsid w:val="74143FCA"/>
    <w:rsid w:val="741713C4"/>
    <w:rsid w:val="741B0EB4"/>
    <w:rsid w:val="74381A66"/>
    <w:rsid w:val="74561EEC"/>
    <w:rsid w:val="745E0E85"/>
    <w:rsid w:val="746E36DA"/>
    <w:rsid w:val="74C01A5C"/>
    <w:rsid w:val="74C96B62"/>
    <w:rsid w:val="74D8656F"/>
    <w:rsid w:val="74DF6386"/>
    <w:rsid w:val="74F938FE"/>
    <w:rsid w:val="7501454E"/>
    <w:rsid w:val="7507768A"/>
    <w:rsid w:val="751122B7"/>
    <w:rsid w:val="7524023C"/>
    <w:rsid w:val="756920F3"/>
    <w:rsid w:val="757F5473"/>
    <w:rsid w:val="75AB44BA"/>
    <w:rsid w:val="75B4336E"/>
    <w:rsid w:val="75C15A8B"/>
    <w:rsid w:val="75CD2682"/>
    <w:rsid w:val="75F220E9"/>
    <w:rsid w:val="75FE0A8D"/>
    <w:rsid w:val="7601232C"/>
    <w:rsid w:val="76085468"/>
    <w:rsid w:val="760D5F85"/>
    <w:rsid w:val="761E764F"/>
    <w:rsid w:val="762920AD"/>
    <w:rsid w:val="763731F2"/>
    <w:rsid w:val="765B1E90"/>
    <w:rsid w:val="76650B0D"/>
    <w:rsid w:val="76674885"/>
    <w:rsid w:val="76A038F3"/>
    <w:rsid w:val="76A64435"/>
    <w:rsid w:val="76BF39B5"/>
    <w:rsid w:val="76C4494D"/>
    <w:rsid w:val="76CD220E"/>
    <w:rsid w:val="76CE0460"/>
    <w:rsid w:val="76F37EC6"/>
    <w:rsid w:val="76F8372F"/>
    <w:rsid w:val="76FD2AF3"/>
    <w:rsid w:val="77132317"/>
    <w:rsid w:val="772462D2"/>
    <w:rsid w:val="772B7660"/>
    <w:rsid w:val="776C21B3"/>
    <w:rsid w:val="776F7F27"/>
    <w:rsid w:val="77764653"/>
    <w:rsid w:val="777A2396"/>
    <w:rsid w:val="77876861"/>
    <w:rsid w:val="778D031B"/>
    <w:rsid w:val="77972F48"/>
    <w:rsid w:val="77A15B74"/>
    <w:rsid w:val="77B04009"/>
    <w:rsid w:val="77D575CC"/>
    <w:rsid w:val="781B5927"/>
    <w:rsid w:val="783F0B6E"/>
    <w:rsid w:val="784F737E"/>
    <w:rsid w:val="786848E4"/>
    <w:rsid w:val="78695E3F"/>
    <w:rsid w:val="78B11277"/>
    <w:rsid w:val="78DA49C6"/>
    <w:rsid w:val="78DE0702"/>
    <w:rsid w:val="78E421BD"/>
    <w:rsid w:val="78EE6B97"/>
    <w:rsid w:val="78FE2B52"/>
    <w:rsid w:val="792F71B0"/>
    <w:rsid w:val="79490272"/>
    <w:rsid w:val="794C7D62"/>
    <w:rsid w:val="794D4C08"/>
    <w:rsid w:val="794D60B9"/>
    <w:rsid w:val="7973709D"/>
    <w:rsid w:val="79866DF2"/>
    <w:rsid w:val="798D4602"/>
    <w:rsid w:val="79975481"/>
    <w:rsid w:val="799B65F3"/>
    <w:rsid w:val="799D236B"/>
    <w:rsid w:val="79AB4A88"/>
    <w:rsid w:val="79AC0800"/>
    <w:rsid w:val="79C95DCF"/>
    <w:rsid w:val="79D044EF"/>
    <w:rsid w:val="79D33FDF"/>
    <w:rsid w:val="79F71A7C"/>
    <w:rsid w:val="7A1A52C9"/>
    <w:rsid w:val="7A205476"/>
    <w:rsid w:val="7A2605B3"/>
    <w:rsid w:val="7A31593D"/>
    <w:rsid w:val="7A3C3932"/>
    <w:rsid w:val="7A440A39"/>
    <w:rsid w:val="7A772BBC"/>
    <w:rsid w:val="7A7C6425"/>
    <w:rsid w:val="7ABE4C8F"/>
    <w:rsid w:val="7AC676A0"/>
    <w:rsid w:val="7B085D4C"/>
    <w:rsid w:val="7B145A11"/>
    <w:rsid w:val="7B362A78"/>
    <w:rsid w:val="7B4C4049"/>
    <w:rsid w:val="7B5812CA"/>
    <w:rsid w:val="7B595569"/>
    <w:rsid w:val="7B656EB9"/>
    <w:rsid w:val="7B6E0463"/>
    <w:rsid w:val="7B813890"/>
    <w:rsid w:val="7B89704B"/>
    <w:rsid w:val="7B963516"/>
    <w:rsid w:val="7BA31D83"/>
    <w:rsid w:val="7BB265A2"/>
    <w:rsid w:val="7BB340C8"/>
    <w:rsid w:val="7BC167E5"/>
    <w:rsid w:val="7BC77B74"/>
    <w:rsid w:val="7BCB3C0F"/>
    <w:rsid w:val="7BDE7397"/>
    <w:rsid w:val="7C134B67"/>
    <w:rsid w:val="7C1D0EC4"/>
    <w:rsid w:val="7C5872F1"/>
    <w:rsid w:val="7C5F4699"/>
    <w:rsid w:val="7C6A03D6"/>
    <w:rsid w:val="7C6F7FEF"/>
    <w:rsid w:val="7C8021FC"/>
    <w:rsid w:val="7C865339"/>
    <w:rsid w:val="7C943EFA"/>
    <w:rsid w:val="7CA0289E"/>
    <w:rsid w:val="7CAD6D69"/>
    <w:rsid w:val="7CB4769E"/>
    <w:rsid w:val="7CCD740C"/>
    <w:rsid w:val="7CE24CE3"/>
    <w:rsid w:val="7CF36E72"/>
    <w:rsid w:val="7D036989"/>
    <w:rsid w:val="7D121A63"/>
    <w:rsid w:val="7D172435"/>
    <w:rsid w:val="7D1B3CD3"/>
    <w:rsid w:val="7D1F7212"/>
    <w:rsid w:val="7D284642"/>
    <w:rsid w:val="7D3B25C7"/>
    <w:rsid w:val="7D474AC8"/>
    <w:rsid w:val="7D763AB5"/>
    <w:rsid w:val="7D7653AD"/>
    <w:rsid w:val="7D8C4BD1"/>
    <w:rsid w:val="7DAA1373"/>
    <w:rsid w:val="7DC51E91"/>
    <w:rsid w:val="7DC75C09"/>
    <w:rsid w:val="7DD30A52"/>
    <w:rsid w:val="7DD81BC4"/>
    <w:rsid w:val="7DF764EE"/>
    <w:rsid w:val="7E097FCF"/>
    <w:rsid w:val="7E0E1A8A"/>
    <w:rsid w:val="7E113A54"/>
    <w:rsid w:val="7E1150D6"/>
    <w:rsid w:val="7E23287D"/>
    <w:rsid w:val="7E386B07"/>
    <w:rsid w:val="7E4E1E86"/>
    <w:rsid w:val="7E7A4B80"/>
    <w:rsid w:val="7E7F4735"/>
    <w:rsid w:val="7E906943"/>
    <w:rsid w:val="7EAB552B"/>
    <w:rsid w:val="7EBA751C"/>
    <w:rsid w:val="7EBF4B32"/>
    <w:rsid w:val="7ECF04CA"/>
    <w:rsid w:val="7EEF3862"/>
    <w:rsid w:val="7F111831"/>
    <w:rsid w:val="7F2D4191"/>
    <w:rsid w:val="7F364DF4"/>
    <w:rsid w:val="7F5259A6"/>
    <w:rsid w:val="7F590AE3"/>
    <w:rsid w:val="7F5E2450"/>
    <w:rsid w:val="7F6F0306"/>
    <w:rsid w:val="7F9D305D"/>
    <w:rsid w:val="7FB3085A"/>
    <w:rsid w:val="7FB87B07"/>
    <w:rsid w:val="7FBB179D"/>
    <w:rsid w:val="7FC22B2C"/>
    <w:rsid w:val="7FC40652"/>
    <w:rsid w:val="7FDF36DE"/>
    <w:rsid w:val="7FEC7BA9"/>
    <w:rsid w:val="7FF01447"/>
    <w:rsid w:val="7FF31DAD"/>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after="330" w:line="576" w:lineRule="auto"/>
      <w:jc w:val="center"/>
      <w:outlineLvl w:val="0"/>
    </w:pPr>
    <w:rPr>
      <w:kern w:val="44"/>
      <w:sz w:val="36"/>
    </w:rPr>
  </w:style>
  <w:style w:type="paragraph" w:styleId="3">
    <w:name w:val="heading 2"/>
    <w:basedOn w:val="1"/>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21">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table of authorities"/>
    <w:next w:val="1"/>
    <w:unhideWhenUsed/>
    <w:qFormat/>
    <w:uiPriority w:val="99"/>
    <w:pPr>
      <w:widowControl w:val="0"/>
      <w:ind w:left="420" w:leftChars="200"/>
      <w:jc w:val="both"/>
    </w:pPr>
    <w:rPr>
      <w:rFonts w:ascii="Calibri" w:hAnsi="Calibri" w:eastAsia="宋体" w:cs="Times New Roman"/>
      <w:kern w:val="2"/>
      <w:sz w:val="21"/>
      <w:szCs w:val="22"/>
      <w:lang w:val="en-US" w:eastAsia="zh-CN" w:bidi="ar-SA"/>
    </w:rPr>
  </w:style>
  <w:style w:type="paragraph" w:styleId="5">
    <w:name w:val="Note Heading"/>
    <w:basedOn w:val="1"/>
    <w:next w:val="1"/>
    <w:qFormat/>
    <w:uiPriority w:val="99"/>
    <w:pPr>
      <w:jc w:val="center"/>
    </w:pPr>
  </w:style>
  <w:style w:type="paragraph" w:styleId="6">
    <w:name w:val="Normal Indent"/>
    <w:basedOn w:val="1"/>
    <w:qFormat/>
    <w:uiPriority w:val="0"/>
    <w:pPr>
      <w:spacing w:line="360" w:lineRule="exact"/>
      <w:ind w:left="525" w:firstLine="420"/>
    </w:pPr>
    <w:rPr>
      <w:rFonts w:ascii="宋体" w:hAnsi="Times New Roman"/>
      <w:szCs w:val="20"/>
    </w:rPr>
  </w:style>
  <w:style w:type="paragraph" w:styleId="7">
    <w:name w:val="Body Text"/>
    <w:basedOn w:val="1"/>
    <w:unhideWhenUsed/>
    <w:qFormat/>
    <w:uiPriority w:val="99"/>
    <w:pPr>
      <w:widowControl w:val="0"/>
      <w:spacing w:after="120"/>
      <w:jc w:val="both"/>
    </w:pPr>
    <w:rPr>
      <w:rFonts w:ascii="Times New Roman" w:hAnsi="Times New Roman" w:eastAsia="宋体" w:cs="Times New Roman"/>
      <w:kern w:val="2"/>
      <w:sz w:val="21"/>
      <w:szCs w:val="22"/>
      <w:lang w:val="en-US" w:eastAsia="zh-CN" w:bidi="ar-SA"/>
    </w:rPr>
  </w:style>
  <w:style w:type="paragraph" w:styleId="8">
    <w:name w:val="Body Text Indent"/>
    <w:next w:val="9"/>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customStyle="1" w:styleId="9">
    <w:name w:val="font5"/>
    <w:qFormat/>
    <w:uiPriority w:val="0"/>
    <w:pPr>
      <w:widowControl/>
      <w:spacing w:before="100" w:beforeAutospacing="1" w:after="100" w:afterAutospacing="1"/>
      <w:jc w:val="left"/>
    </w:pPr>
    <w:rPr>
      <w:rFonts w:hint="eastAsia" w:ascii="宋体" w:hAnsi="宋体" w:eastAsia="宋体" w:cs="Arial Unicode MS"/>
      <w:kern w:val="0"/>
      <w:sz w:val="18"/>
      <w:szCs w:val="18"/>
      <w:lang w:val="en-US" w:eastAsia="zh-CN" w:bidi="ar-SA"/>
    </w:rPr>
  </w:style>
  <w:style w:type="paragraph" w:styleId="10">
    <w:name w:val="toc 3"/>
    <w:basedOn w:val="1"/>
    <w:next w:val="1"/>
    <w:qFormat/>
    <w:uiPriority w:val="0"/>
    <w:pPr>
      <w:ind w:left="840" w:leftChars="400"/>
    </w:pPr>
  </w:style>
  <w:style w:type="paragraph" w:styleId="11">
    <w:name w:val="Body Text Indent 2"/>
    <w:basedOn w:val="1"/>
    <w:unhideWhenUsed/>
    <w:qFormat/>
    <w:uiPriority w:val="99"/>
    <w:pPr>
      <w:spacing w:before="100" w:beforeAutospacing="1" w:after="100" w:afterAutospacing="1"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7">
    <w:name w:val="Body Text First Indent"/>
    <w:basedOn w:val="7"/>
    <w:next w:val="1"/>
    <w:unhideWhenUsed/>
    <w:qFormat/>
    <w:uiPriority w:val="99"/>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styleId="18">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FollowedHyperlink"/>
    <w:basedOn w:val="21"/>
    <w:qFormat/>
    <w:uiPriority w:val="0"/>
    <w:rPr>
      <w:color w:val="555555"/>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rPr>
      <w:bdr w:val="none" w:color="auto" w:sz="0" w:space="0"/>
    </w:rPr>
  </w:style>
  <w:style w:type="character" w:styleId="28">
    <w:name w:val="HTML Variable"/>
    <w:basedOn w:val="21"/>
    <w:qFormat/>
    <w:uiPriority w:val="0"/>
  </w:style>
  <w:style w:type="character" w:styleId="29">
    <w:name w:val="Hyperlink"/>
    <w:basedOn w:val="21"/>
    <w:qFormat/>
    <w:uiPriority w:val="0"/>
    <w:rPr>
      <w:color w:val="555555"/>
      <w:u w:val="none"/>
    </w:rPr>
  </w:style>
  <w:style w:type="character" w:styleId="30">
    <w:name w:val="HTML Code"/>
    <w:basedOn w:val="21"/>
    <w:qFormat/>
    <w:uiPriority w:val="0"/>
    <w:rPr>
      <w:rFonts w:hint="default" w:ascii="monospace" w:hAnsi="monospace" w:eastAsia="monospace" w:cs="monospace"/>
      <w:sz w:val="20"/>
    </w:rPr>
  </w:style>
  <w:style w:type="character" w:styleId="31">
    <w:name w:val="HTML Cite"/>
    <w:basedOn w:val="21"/>
    <w:qFormat/>
    <w:uiPriority w:val="0"/>
  </w:style>
  <w:style w:type="character" w:styleId="32">
    <w:name w:val="HTML Keyboard"/>
    <w:basedOn w:val="21"/>
    <w:qFormat/>
    <w:uiPriority w:val="0"/>
    <w:rPr>
      <w:rFonts w:hint="default" w:ascii="monospace" w:hAnsi="monospace" w:eastAsia="monospace" w:cs="monospace"/>
      <w:sz w:val="20"/>
    </w:rPr>
  </w:style>
  <w:style w:type="character" w:styleId="33">
    <w:name w:val="HTML Sample"/>
    <w:basedOn w:val="21"/>
    <w:qFormat/>
    <w:uiPriority w:val="0"/>
    <w:rPr>
      <w:rFonts w:ascii="monospace" w:hAnsi="monospace" w:eastAsia="monospace" w:cs="monospace"/>
    </w:rPr>
  </w:style>
  <w:style w:type="paragraph" w:customStyle="1" w:styleId="3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 w:type="paragraph" w:customStyle="1" w:styleId="39">
    <w:name w:val="Table Paragraph"/>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40">
    <w:name w:val="TableGrid"/>
    <w:qFormat/>
    <w:uiPriority w:val="0"/>
    <w:tblPr>
      <w:tblCellMar>
        <w:top w:w="0" w:type="dxa"/>
        <w:left w:w="0" w:type="dxa"/>
        <w:bottom w:w="0" w:type="dxa"/>
        <w:right w:w="0" w:type="dxa"/>
      </w:tblCellMar>
    </w:tblPr>
  </w:style>
  <w:style w:type="paragraph" w:customStyle="1" w:styleId="41">
    <w:name w:val="Normal_15"/>
    <w:qFormat/>
    <w:uiPriority w:val="0"/>
    <w:pPr>
      <w:spacing w:before="120" w:after="240"/>
      <w:jc w:val="both"/>
    </w:pPr>
    <w:rPr>
      <w:rFonts w:ascii="Calibri" w:hAnsi="Calibri" w:eastAsia="Calibri" w:cs="Times New Roman"/>
      <w:sz w:val="22"/>
      <w:szCs w:val="22"/>
      <w:lang w:val="ru-RU" w:eastAsia="en-US" w:bidi="ar-SA"/>
    </w:rPr>
  </w:style>
  <w:style w:type="paragraph" w:customStyle="1" w:styleId="42">
    <w:name w:val="Table Text"/>
    <w:basedOn w:val="1"/>
    <w:semiHidden/>
    <w:qFormat/>
    <w:uiPriority w:val="0"/>
    <w:rPr>
      <w:rFonts w:ascii="宋体" w:hAnsi="宋体" w:eastAsia="宋体" w:cs="宋体"/>
      <w:sz w:val="27"/>
      <w:szCs w:val="27"/>
      <w:lang w:val="en-US" w:eastAsia="en-US" w:bidi="ar-SA"/>
    </w:rPr>
  </w:style>
  <w:style w:type="character" w:customStyle="1" w:styleId="43">
    <w:name w:val="font21"/>
    <w:basedOn w:val="21"/>
    <w:qFormat/>
    <w:uiPriority w:val="0"/>
    <w:rPr>
      <w:rFonts w:hint="eastAsia" w:ascii="宋体" w:hAnsi="宋体" w:eastAsia="宋体" w:cs="宋体"/>
      <w:color w:val="000000"/>
      <w:sz w:val="18"/>
      <w:szCs w:val="18"/>
      <w:u w:val="none"/>
    </w:rPr>
  </w:style>
  <w:style w:type="character" w:customStyle="1" w:styleId="44">
    <w:name w:val="font41"/>
    <w:basedOn w:val="21"/>
    <w:qFormat/>
    <w:uiPriority w:val="0"/>
    <w:rPr>
      <w:rFonts w:hint="eastAsia" w:ascii="宋体" w:hAnsi="宋体" w:eastAsia="宋体" w:cs="宋体"/>
      <w:b/>
      <w:bCs/>
      <w:color w:val="000000"/>
      <w:sz w:val="18"/>
      <w:szCs w:val="18"/>
      <w:u w:val="none"/>
    </w:rPr>
  </w:style>
  <w:style w:type="character" w:customStyle="1" w:styleId="45">
    <w:name w:val="mini-outputtext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654</Words>
  <Characters>733</Characters>
  <TotalTime>32</TotalTime>
  <ScaleCrop>false</ScaleCrop>
  <LinksUpToDate>false</LinksUpToDate>
  <CharactersWithSpaces>943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2022-09-14T18:08:00Z</dcterms:created>
  <dc:creator>Administrator</dc:creator>
  <cp:lastModifiedBy>夜未央</cp:lastModifiedBy>
  <dcterms:modified xsi:type="dcterms:W3CDTF">2024-10-30T08:08:50Z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2022-09-19T15:56:20Z</vt:filetime>
  </property>
  <property fmtid="{D5CDD505-2E9C-101B-9397-08002B2CF9AE}" pid="4" name="KSOProductBuildVer">
    <vt:lpwstr>2052-12.1.0.18608</vt:lpwstr>
  </property>
  <property fmtid="{D5CDD505-2E9C-101B-9397-08002B2CF9AE}" pid="5" name="ICV">
    <vt:lpwstr>AF9CA73DD18841A9A8824895C70D93EE_13</vt:lpwstr>
  </property>
</Properties>
</file>