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bCs w:val="0"/>
          <w:color w:val="auto"/>
          <w:kern w:val="0"/>
          <w:sz w:val="48"/>
          <w:szCs w:val="48"/>
          <w:lang w:eastAsia="zh-CN"/>
        </w:rPr>
        <w:t>天水市行政事业单位2023-2024年度公务用车框架协议采购项目</w:t>
      </w:r>
    </w:p>
    <w:p>
      <w:pPr>
        <w:jc w:val="center"/>
        <w:rPr>
          <w:rFonts w:hint="eastAsia" w:asciiTheme="minorEastAsia" w:hAnsiTheme="minorEastAsia" w:eastAsiaTheme="minorEastAsia" w:cstheme="minorEastAsia"/>
          <w:b/>
          <w:bCs w:val="0"/>
          <w:color w:val="auto"/>
          <w:sz w:val="36"/>
          <w:szCs w:val="36"/>
        </w:rPr>
      </w:pPr>
    </w:p>
    <w:p>
      <w:pPr>
        <w:jc w:val="center"/>
        <w:rPr>
          <w:rFonts w:hint="eastAsia" w:asciiTheme="minorEastAsia" w:hAnsiTheme="minorEastAsia" w:eastAsiaTheme="minorEastAsia" w:cstheme="minorEastAsia"/>
          <w:b/>
          <w:bCs w:val="0"/>
          <w:color w:val="auto"/>
          <w:sz w:val="44"/>
          <w:szCs w:val="44"/>
          <w:lang w:eastAsia="zh-CN"/>
        </w:rPr>
      </w:pPr>
      <w:r>
        <w:rPr>
          <w:rFonts w:hint="eastAsia" w:asciiTheme="minorEastAsia" w:hAnsiTheme="minorEastAsia" w:eastAsiaTheme="minorEastAsia" w:cstheme="minorEastAsia"/>
          <w:b/>
          <w:bCs w:val="0"/>
          <w:color w:val="auto"/>
          <w:sz w:val="36"/>
          <w:szCs w:val="36"/>
        </w:rPr>
        <w:t>招标编号：</w:t>
      </w:r>
      <w:r>
        <w:rPr>
          <w:rFonts w:hint="eastAsia" w:asciiTheme="minorEastAsia" w:hAnsiTheme="minorEastAsia" w:eastAsiaTheme="minorEastAsia" w:cstheme="minorEastAsia"/>
          <w:b/>
          <w:bCs w:val="0"/>
          <w:color w:val="auto"/>
          <w:sz w:val="36"/>
          <w:szCs w:val="36"/>
          <w:lang w:eastAsia="zh-CN"/>
        </w:rPr>
        <w:t>TGKX2023-022</w:t>
      </w:r>
    </w:p>
    <w:p>
      <w:pPr>
        <w:jc w:val="center"/>
        <w:rPr>
          <w:rFonts w:hint="eastAsia" w:asciiTheme="minorEastAsia" w:hAnsiTheme="minorEastAsia" w:eastAsiaTheme="minorEastAsia" w:cstheme="minorEastAsia"/>
          <w:b/>
          <w:bCs w:val="0"/>
          <w:color w:val="auto"/>
          <w:sz w:val="36"/>
          <w:szCs w:val="36"/>
          <w:lang w:eastAsia="zh-CN"/>
        </w:rPr>
      </w:pPr>
    </w:p>
    <w:p>
      <w:pPr>
        <w:jc w:val="center"/>
        <w:rPr>
          <w:rFonts w:hint="eastAsia" w:asciiTheme="minorEastAsia" w:hAnsiTheme="minorEastAsia" w:eastAsiaTheme="minorEastAsia" w:cstheme="minorEastAsia"/>
          <w:b/>
          <w:bCs w:val="0"/>
          <w:color w:val="auto"/>
          <w:sz w:val="36"/>
          <w:szCs w:val="36"/>
          <w:lang w:eastAsia="zh-CN"/>
        </w:rPr>
      </w:pPr>
    </w:p>
    <w:p>
      <w:pPr>
        <w:jc w:val="center"/>
        <w:rPr>
          <w:rFonts w:hint="eastAsia" w:asciiTheme="minorEastAsia" w:hAnsiTheme="minorEastAsia" w:eastAsiaTheme="minorEastAsia" w:cstheme="minorEastAsia"/>
          <w:b/>
          <w:bCs w:val="0"/>
          <w:color w:val="auto"/>
          <w:sz w:val="36"/>
          <w:szCs w:val="36"/>
          <w:lang w:eastAsia="zh-CN"/>
        </w:rPr>
      </w:pPr>
      <w:r>
        <w:rPr>
          <w:rFonts w:hint="eastAsia" w:asciiTheme="minorEastAsia" w:hAnsiTheme="minorEastAsia" w:eastAsiaTheme="minorEastAsia" w:cstheme="minorEastAsia"/>
          <w:b/>
          <w:bCs w:val="0"/>
          <w:color w:val="auto"/>
          <w:sz w:val="36"/>
          <w:szCs w:val="36"/>
          <w:lang w:eastAsia="zh-CN"/>
        </w:rPr>
        <w:t>（</w:t>
      </w:r>
      <w:r>
        <w:rPr>
          <w:rFonts w:hint="eastAsia" w:asciiTheme="minorEastAsia" w:hAnsiTheme="minorEastAsia" w:eastAsiaTheme="minorEastAsia" w:cstheme="minorEastAsia"/>
          <w:b/>
          <w:bCs w:val="0"/>
          <w:color w:val="auto"/>
          <w:sz w:val="36"/>
          <w:szCs w:val="36"/>
          <w:lang w:val="en-US" w:eastAsia="zh-CN"/>
        </w:rPr>
        <w:t>第五包</w:t>
      </w:r>
      <w:r>
        <w:rPr>
          <w:rFonts w:hint="eastAsia" w:asciiTheme="minorEastAsia" w:hAnsiTheme="minorEastAsia" w:eastAsiaTheme="minorEastAsia" w:cstheme="minorEastAsia"/>
          <w:b/>
          <w:bCs w:val="0"/>
          <w:color w:val="auto"/>
          <w:sz w:val="36"/>
          <w:szCs w:val="36"/>
          <w:lang w:eastAsia="zh-CN"/>
        </w:rPr>
        <w:t>）</w:t>
      </w:r>
    </w:p>
    <w:p>
      <w:pPr>
        <w:jc w:val="center"/>
        <w:rPr>
          <w:rFonts w:hint="eastAsia" w:asciiTheme="minorEastAsia" w:hAnsiTheme="minorEastAsia" w:eastAsiaTheme="minorEastAsia" w:cstheme="minorEastAsia"/>
          <w:b w:val="0"/>
          <w:bCs/>
          <w:color w:val="auto"/>
          <w:sz w:val="96"/>
          <w:szCs w:val="96"/>
          <w:lang w:eastAsia="zh-CN"/>
        </w:rPr>
      </w:pPr>
      <w:r>
        <w:rPr>
          <w:rFonts w:hint="eastAsia" w:asciiTheme="minorEastAsia" w:hAnsiTheme="minorEastAsia" w:eastAsiaTheme="minorEastAsia" w:cstheme="minorEastAsia"/>
          <w:b w:val="0"/>
          <w:bCs/>
          <w:color w:val="auto"/>
          <w:sz w:val="96"/>
          <w:szCs w:val="96"/>
          <w:lang w:eastAsia="zh-CN"/>
        </w:rPr>
        <w:t>征</w:t>
      </w:r>
      <w:r>
        <w:rPr>
          <w:rFonts w:hint="eastAsia" w:asciiTheme="minorEastAsia" w:hAnsiTheme="minorEastAsia" w:eastAsiaTheme="minorEastAsia" w:cstheme="minorEastAsia"/>
          <w:b w:val="0"/>
          <w:bCs/>
          <w:color w:val="auto"/>
          <w:sz w:val="96"/>
          <w:szCs w:val="96"/>
          <w:lang w:val="en-US" w:eastAsia="zh-CN"/>
        </w:rPr>
        <w:t xml:space="preserve"> </w:t>
      </w:r>
      <w:r>
        <w:rPr>
          <w:rFonts w:hint="eastAsia" w:asciiTheme="minorEastAsia" w:hAnsiTheme="minorEastAsia" w:eastAsiaTheme="minorEastAsia" w:cstheme="minorEastAsia"/>
          <w:b w:val="0"/>
          <w:bCs/>
          <w:color w:val="auto"/>
          <w:sz w:val="96"/>
          <w:szCs w:val="96"/>
          <w:lang w:eastAsia="zh-CN"/>
        </w:rPr>
        <w:t>集</w:t>
      </w:r>
      <w:r>
        <w:rPr>
          <w:rFonts w:hint="eastAsia" w:asciiTheme="minorEastAsia" w:hAnsiTheme="minorEastAsia" w:eastAsiaTheme="minorEastAsia" w:cstheme="minorEastAsia"/>
          <w:b w:val="0"/>
          <w:bCs/>
          <w:color w:val="auto"/>
          <w:sz w:val="96"/>
          <w:szCs w:val="96"/>
          <w:lang w:val="en-US" w:eastAsia="zh-CN"/>
        </w:rPr>
        <w:t xml:space="preserve"> </w:t>
      </w:r>
      <w:r>
        <w:rPr>
          <w:rFonts w:hint="eastAsia" w:asciiTheme="minorEastAsia" w:hAnsiTheme="minorEastAsia" w:eastAsiaTheme="minorEastAsia" w:cstheme="minorEastAsia"/>
          <w:b w:val="0"/>
          <w:bCs/>
          <w:color w:val="auto"/>
          <w:sz w:val="96"/>
          <w:szCs w:val="96"/>
          <w:lang w:eastAsia="zh-CN"/>
        </w:rPr>
        <w:t>文</w:t>
      </w:r>
      <w:r>
        <w:rPr>
          <w:rFonts w:hint="eastAsia" w:asciiTheme="minorEastAsia" w:hAnsiTheme="minorEastAsia" w:eastAsiaTheme="minorEastAsia" w:cstheme="minorEastAsia"/>
          <w:b w:val="0"/>
          <w:bCs/>
          <w:color w:val="auto"/>
          <w:sz w:val="96"/>
          <w:szCs w:val="96"/>
          <w:lang w:val="en-US" w:eastAsia="zh-CN"/>
        </w:rPr>
        <w:t xml:space="preserve"> </w:t>
      </w:r>
      <w:r>
        <w:rPr>
          <w:rFonts w:hint="eastAsia" w:asciiTheme="minorEastAsia" w:hAnsiTheme="minorEastAsia" w:eastAsiaTheme="minorEastAsia" w:cstheme="minorEastAsia"/>
          <w:b w:val="0"/>
          <w:bCs/>
          <w:color w:val="auto"/>
          <w:sz w:val="96"/>
          <w:szCs w:val="96"/>
          <w:lang w:eastAsia="zh-CN"/>
        </w:rPr>
        <w:t>件</w:t>
      </w:r>
    </w:p>
    <w:p>
      <w:pPr>
        <w:pStyle w:val="9"/>
        <w:ind w:left="0" w:leftChars="0" w:firstLine="0" w:firstLineChars="0"/>
        <w:rPr>
          <w:rFonts w:hint="eastAsia" w:asciiTheme="minorEastAsia" w:hAnsiTheme="minorEastAsia" w:eastAsiaTheme="minorEastAsia" w:cstheme="minorEastAsia"/>
          <w:b w:val="0"/>
          <w:bCs/>
          <w:color w:val="auto"/>
          <w:sz w:val="30"/>
          <w:szCs w:val="30"/>
          <w:lang w:eastAsia="zh-CN"/>
        </w:rPr>
      </w:pPr>
    </w:p>
    <w:tbl>
      <w:tblPr>
        <w:tblStyle w:val="40"/>
        <w:tblW w:w="9928"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2"/>
        <w:gridCol w:w="3435"/>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1" w:hRule="atLeast"/>
        </w:trPr>
        <w:tc>
          <w:tcPr>
            <w:tcW w:w="3022" w:type="dxa"/>
          </w:tcPr>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采购人：</w:t>
            </w: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天水市财政局</w:t>
            </w:r>
          </w:p>
          <w:p>
            <w:pPr>
              <w:pStyle w:val="32"/>
              <w:ind w:left="0" w:leftChars="0" w:firstLine="0" w:firstLineChars="0"/>
              <w:rPr>
                <w:rFonts w:hint="eastAsia" w:asciiTheme="minorEastAsia" w:hAnsiTheme="minorEastAsia" w:eastAsiaTheme="minorEastAsia" w:cstheme="minorEastAsia"/>
                <w:b/>
                <w:bCs/>
                <w:color w:val="auto"/>
                <w:sz w:val="28"/>
                <w:szCs w:val="28"/>
              </w:rPr>
            </w:pPr>
          </w:p>
          <w:p>
            <w:pPr>
              <w:pStyle w:val="32"/>
              <w:ind w:left="0" w:leftChars="0" w:firstLine="0" w:firstLineChars="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签  字：</w:t>
            </w:r>
          </w:p>
          <w:p>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z w:val="28"/>
                <w:szCs w:val="28"/>
                <w:lang w:eastAsia="zh-CN"/>
              </w:rPr>
              <w:t>盖  章：</w:t>
            </w:r>
          </w:p>
        </w:tc>
        <w:tc>
          <w:tcPr>
            <w:tcW w:w="3435" w:type="dxa"/>
          </w:tcPr>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集采机构：</w:t>
            </w: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天水市公共资源交易中心</w:t>
            </w:r>
          </w:p>
          <w:p>
            <w:pPr>
              <w:rPr>
                <w:rFonts w:hint="eastAsia" w:asciiTheme="minorEastAsia" w:hAnsiTheme="minorEastAsia" w:eastAsiaTheme="minorEastAsia" w:cstheme="minorEastAsia"/>
                <w:b/>
                <w:bCs/>
                <w:color w:val="auto"/>
                <w:sz w:val="28"/>
                <w:szCs w:val="28"/>
                <w:lang w:eastAsia="zh-CN"/>
              </w:rPr>
            </w:pP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签  字：</w:t>
            </w:r>
          </w:p>
          <w:p>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z w:val="28"/>
                <w:szCs w:val="28"/>
                <w:lang w:eastAsia="zh-CN"/>
              </w:rPr>
              <w:t>盖  章：</w:t>
            </w:r>
          </w:p>
        </w:tc>
        <w:tc>
          <w:tcPr>
            <w:tcW w:w="3471" w:type="dxa"/>
          </w:tcPr>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财政部门：</w:t>
            </w: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天水市财政局</w:t>
            </w:r>
          </w:p>
          <w:p>
            <w:pPr>
              <w:rPr>
                <w:rFonts w:hint="eastAsia" w:asciiTheme="minorEastAsia" w:hAnsiTheme="minorEastAsia" w:eastAsiaTheme="minorEastAsia" w:cstheme="minorEastAsia"/>
                <w:b/>
                <w:bCs/>
                <w:color w:val="auto"/>
                <w:sz w:val="28"/>
                <w:szCs w:val="28"/>
                <w:lang w:eastAsia="zh-CN"/>
              </w:rPr>
            </w:pP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签  字：</w:t>
            </w:r>
          </w:p>
          <w:p>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z w:val="28"/>
                <w:szCs w:val="28"/>
                <w:lang w:eastAsia="zh-CN"/>
              </w:rPr>
              <w:t>盖  章：</w:t>
            </w:r>
          </w:p>
        </w:tc>
      </w:tr>
    </w:tbl>
    <w:p>
      <w:pPr>
        <w:jc w:val="center"/>
        <w:rPr>
          <w:rFonts w:hint="eastAsia" w:asciiTheme="minorEastAsia" w:hAnsiTheme="minorEastAsia" w:eastAsiaTheme="minorEastAsia" w:cstheme="minorEastAsia"/>
          <w:b/>
          <w:bCs w:val="0"/>
          <w:color w:val="auto"/>
          <w:kern w:val="0"/>
          <w:sz w:val="44"/>
          <w:szCs w:val="44"/>
        </w:rPr>
      </w:pPr>
    </w:p>
    <w:p>
      <w:pPr>
        <w:jc w:val="center"/>
        <w:rPr>
          <w:rFonts w:hint="eastAsia" w:asciiTheme="minorEastAsia" w:hAnsiTheme="minorEastAsia" w:eastAsiaTheme="minorEastAsia" w:cstheme="minorEastAsia"/>
          <w:b/>
          <w:bCs w:val="0"/>
          <w:color w:val="auto"/>
          <w:kern w:val="0"/>
          <w:sz w:val="44"/>
          <w:szCs w:val="44"/>
        </w:rPr>
      </w:pPr>
    </w:p>
    <w:p>
      <w:pPr>
        <w:jc w:val="center"/>
        <w:rPr>
          <w:rFonts w:hint="eastAsia" w:asciiTheme="minorEastAsia" w:hAnsiTheme="minorEastAsia" w:eastAsiaTheme="minorEastAsia" w:cstheme="minorEastAsia"/>
          <w:b/>
          <w:bCs w:val="0"/>
          <w:color w:val="auto"/>
          <w:kern w:val="0"/>
          <w:sz w:val="44"/>
          <w:szCs w:val="44"/>
        </w:rPr>
      </w:pPr>
    </w:p>
    <w:p>
      <w:pPr>
        <w:jc w:val="center"/>
        <w:rPr>
          <w:rFonts w:hint="eastAsia" w:asciiTheme="minorEastAsia" w:hAnsiTheme="minorEastAsia" w:eastAsiaTheme="minorEastAsia" w:cstheme="minorEastAsia"/>
          <w:b w:val="0"/>
          <w:bCs w:val="0"/>
          <w:color w:val="auto"/>
          <w:sz w:val="44"/>
          <w:szCs w:val="44"/>
          <w:lang w:val="en-US" w:eastAsia="zh-CN"/>
        </w:rPr>
      </w:pPr>
      <w:r>
        <w:rPr>
          <w:rFonts w:hint="eastAsia" w:asciiTheme="minorEastAsia" w:hAnsiTheme="minorEastAsia" w:eastAsiaTheme="minorEastAsia" w:cstheme="minorEastAsia"/>
          <w:b/>
          <w:bCs w:val="0"/>
          <w:color w:val="auto"/>
          <w:kern w:val="0"/>
          <w:sz w:val="44"/>
          <w:szCs w:val="44"/>
        </w:rPr>
        <w:t>二O二</w:t>
      </w:r>
      <w:r>
        <w:rPr>
          <w:rFonts w:hint="eastAsia" w:asciiTheme="minorEastAsia" w:hAnsiTheme="minorEastAsia" w:eastAsiaTheme="minorEastAsia" w:cstheme="minorEastAsia"/>
          <w:b/>
          <w:bCs w:val="0"/>
          <w:color w:val="auto"/>
          <w:kern w:val="0"/>
          <w:sz w:val="44"/>
          <w:szCs w:val="44"/>
          <w:lang w:val="en-US" w:eastAsia="zh-CN"/>
        </w:rPr>
        <w:t>三</w:t>
      </w:r>
      <w:r>
        <w:rPr>
          <w:rFonts w:hint="eastAsia" w:asciiTheme="minorEastAsia" w:hAnsiTheme="minorEastAsia" w:eastAsiaTheme="minorEastAsia" w:cstheme="minorEastAsia"/>
          <w:b/>
          <w:bCs w:val="0"/>
          <w:color w:val="auto"/>
          <w:kern w:val="0"/>
          <w:sz w:val="44"/>
          <w:szCs w:val="44"/>
        </w:rPr>
        <w:t>年</w:t>
      </w:r>
      <w:r>
        <w:rPr>
          <w:rFonts w:hint="eastAsia" w:asciiTheme="minorEastAsia" w:hAnsiTheme="minorEastAsia" w:eastAsiaTheme="minorEastAsia" w:cstheme="minorEastAsia"/>
          <w:b/>
          <w:bCs w:val="0"/>
          <w:color w:val="auto"/>
          <w:kern w:val="0"/>
          <w:sz w:val="44"/>
          <w:szCs w:val="44"/>
          <w:lang w:val="en-US" w:eastAsia="zh-CN"/>
        </w:rPr>
        <w:t>十</w:t>
      </w:r>
      <w:r>
        <w:rPr>
          <w:rFonts w:hint="eastAsia" w:asciiTheme="minorEastAsia" w:hAnsiTheme="minorEastAsia" w:eastAsiaTheme="minorEastAsia" w:cstheme="minorEastAsia"/>
          <w:b/>
          <w:bCs w:val="0"/>
          <w:color w:val="auto"/>
          <w:kern w:val="0"/>
          <w:sz w:val="44"/>
          <w:szCs w:val="44"/>
        </w:rPr>
        <w:t>月</w:t>
      </w:r>
      <w:bookmarkStart w:id="0" w:name="_Toc13221"/>
      <w:bookmarkStart w:id="1" w:name="_Toc21919"/>
      <w:bookmarkStart w:id="2" w:name="_Toc15542"/>
      <w:bookmarkStart w:id="3" w:name="_Toc2415"/>
      <w:bookmarkStart w:id="4" w:name="_Toc13852"/>
      <w:bookmarkStart w:id="5" w:name="_Toc17817"/>
      <w:bookmarkStart w:id="6" w:name="_Toc17161"/>
      <w:bookmarkStart w:id="7" w:name="_Toc8274"/>
      <w:bookmarkStart w:id="8" w:name="_Toc1172"/>
      <w:bookmarkStart w:id="9" w:name="_Toc11316"/>
    </w:p>
    <w:p>
      <w:pPr>
        <w:spacing w:line="480" w:lineRule="auto"/>
        <w:jc w:val="center"/>
        <w:outlineLvl w:val="0"/>
        <w:rPr>
          <w:rFonts w:hint="eastAsia" w:asciiTheme="minorEastAsia" w:hAnsiTheme="minorEastAsia" w:eastAsiaTheme="minorEastAsia" w:cstheme="minorEastAsia"/>
          <w:b/>
          <w:bCs/>
          <w:color w:val="auto"/>
          <w:sz w:val="44"/>
          <w:szCs w:val="44"/>
          <w:lang w:val="en-US" w:eastAsia="zh-CN"/>
        </w:rPr>
      </w:pPr>
      <w:bookmarkStart w:id="10" w:name="_Toc22246"/>
      <w:bookmarkStart w:id="11" w:name="_Toc9792"/>
      <w:r>
        <w:rPr>
          <w:rFonts w:hint="eastAsia" w:asciiTheme="minorEastAsia" w:hAnsiTheme="minorEastAsia" w:eastAsiaTheme="minorEastAsia" w:cstheme="minorEastAsia"/>
          <w:b/>
          <w:bCs/>
          <w:color w:val="auto"/>
          <w:sz w:val="44"/>
          <w:szCs w:val="44"/>
          <w:lang w:val="en-US" w:eastAsia="zh-CN"/>
        </w:rPr>
        <w:t>目  录</w:t>
      </w:r>
      <w:bookmarkEnd w:id="0"/>
      <w:bookmarkEnd w:id="1"/>
      <w:bookmarkEnd w:id="2"/>
      <w:bookmarkEnd w:id="3"/>
      <w:bookmarkEnd w:id="4"/>
      <w:bookmarkEnd w:id="5"/>
      <w:bookmarkEnd w:id="6"/>
      <w:bookmarkEnd w:id="7"/>
      <w:bookmarkEnd w:id="10"/>
      <w:bookmarkEnd w:id="11"/>
    </w:p>
    <w:p>
      <w:pPr>
        <w:pStyle w:val="2"/>
        <w:rPr>
          <w:rFonts w:hint="eastAsia"/>
          <w:sz w:val="30"/>
          <w:szCs w:val="30"/>
          <w:lang w:val="en-US" w:eastAsia="zh-CN"/>
        </w:rPr>
      </w:pPr>
    </w:p>
    <w:p>
      <w:pPr>
        <w:pStyle w:val="27"/>
        <w:tabs>
          <w:tab w:val="right" w:leader="dot" w:pos="8845"/>
        </w:tabs>
        <w:rPr>
          <w:sz w:val="30"/>
          <w:szCs w:val="30"/>
        </w:rPr>
      </w:pPr>
      <w:r>
        <w:rPr>
          <w:rFonts w:hint="eastAsia" w:asciiTheme="minorEastAsia" w:hAnsiTheme="minorEastAsia" w:eastAsiaTheme="minorEastAsia" w:cstheme="minorEastAsia"/>
          <w:b w:val="0"/>
          <w:bCs w:val="0"/>
          <w:color w:val="auto"/>
          <w:sz w:val="30"/>
          <w:szCs w:val="30"/>
        </w:rPr>
        <w:fldChar w:fldCharType="begin"/>
      </w:r>
      <w:r>
        <w:rPr>
          <w:rFonts w:hint="eastAsia" w:asciiTheme="minorEastAsia" w:hAnsiTheme="minorEastAsia" w:eastAsiaTheme="minorEastAsia" w:cstheme="minorEastAsia"/>
          <w:b w:val="0"/>
          <w:bCs w:val="0"/>
          <w:color w:val="auto"/>
          <w:sz w:val="30"/>
          <w:szCs w:val="30"/>
        </w:rPr>
        <w:instrText xml:space="preserve">TOC \o "1-3" \h \u </w:instrText>
      </w:r>
      <w:r>
        <w:rPr>
          <w:rFonts w:hint="eastAsia" w:asciiTheme="minorEastAsia" w:hAnsiTheme="minorEastAsia" w:eastAsiaTheme="minorEastAsia" w:cstheme="minorEastAsia"/>
          <w:b w:val="0"/>
          <w:bCs w:val="0"/>
          <w:color w:val="auto"/>
          <w:sz w:val="30"/>
          <w:szCs w:val="30"/>
        </w:rPr>
        <w:fldChar w:fldCharType="separate"/>
      </w: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_Toc28801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rPr>
        <w:t>第一部分</w:t>
      </w:r>
      <w:r>
        <w:rPr>
          <w:rFonts w:hint="eastAsia" w:asciiTheme="minorEastAsia" w:hAnsiTheme="minorEastAsia" w:eastAsiaTheme="minorEastAsia" w:cstheme="minorEastAsia"/>
          <w:bCs/>
          <w:sz w:val="30"/>
          <w:szCs w:val="30"/>
          <w:lang w:val="en-US" w:eastAsia="zh-CN"/>
        </w:rPr>
        <w:t xml:space="preserve">  框架协议征集公告</w:t>
      </w:r>
      <w:r>
        <w:rPr>
          <w:sz w:val="30"/>
          <w:szCs w:val="30"/>
        </w:rPr>
        <w:tab/>
      </w:r>
      <w:r>
        <w:rPr>
          <w:sz w:val="30"/>
          <w:szCs w:val="30"/>
        </w:rPr>
        <w:fldChar w:fldCharType="begin"/>
      </w:r>
      <w:r>
        <w:rPr>
          <w:sz w:val="30"/>
          <w:szCs w:val="30"/>
        </w:rPr>
        <w:instrText xml:space="preserve"> PAGEREF _Toc28801 \h </w:instrText>
      </w:r>
      <w:r>
        <w:rPr>
          <w:sz w:val="30"/>
          <w:szCs w:val="30"/>
        </w:rPr>
        <w:fldChar w:fldCharType="separate"/>
      </w:r>
      <w:r>
        <w:rPr>
          <w:sz w:val="30"/>
          <w:szCs w:val="30"/>
        </w:rPr>
        <w:t>1</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_Toc15118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lang w:val="en-US" w:eastAsia="zh-CN"/>
        </w:rPr>
        <w:t xml:space="preserve">第二部分  </w:t>
      </w:r>
      <w:r>
        <w:rPr>
          <w:rFonts w:hint="eastAsia" w:asciiTheme="minorEastAsia" w:hAnsiTheme="minorEastAsia" w:eastAsiaTheme="minorEastAsia" w:cstheme="minorEastAsia"/>
          <w:bCs/>
          <w:sz w:val="30"/>
          <w:szCs w:val="30"/>
          <w:lang w:eastAsia="zh-CN"/>
        </w:rPr>
        <w:t>供应商</w:t>
      </w:r>
      <w:r>
        <w:rPr>
          <w:rFonts w:hint="eastAsia" w:asciiTheme="minorEastAsia" w:hAnsiTheme="minorEastAsia" w:eastAsiaTheme="minorEastAsia" w:cstheme="minorEastAsia"/>
          <w:bCs/>
          <w:sz w:val="30"/>
          <w:szCs w:val="30"/>
        </w:rPr>
        <w:t>须知</w:t>
      </w:r>
      <w:r>
        <w:rPr>
          <w:sz w:val="30"/>
          <w:szCs w:val="30"/>
        </w:rPr>
        <w:tab/>
      </w:r>
      <w:r>
        <w:rPr>
          <w:sz w:val="30"/>
          <w:szCs w:val="30"/>
        </w:rPr>
        <w:fldChar w:fldCharType="begin"/>
      </w:r>
      <w:r>
        <w:rPr>
          <w:sz w:val="30"/>
          <w:szCs w:val="30"/>
        </w:rPr>
        <w:instrText xml:space="preserve"> PAGEREF _Toc15118 \h </w:instrText>
      </w:r>
      <w:r>
        <w:rPr>
          <w:sz w:val="30"/>
          <w:szCs w:val="30"/>
        </w:rPr>
        <w:fldChar w:fldCharType="separate"/>
      </w:r>
      <w:r>
        <w:rPr>
          <w:sz w:val="30"/>
          <w:szCs w:val="30"/>
        </w:rPr>
        <w:t>6</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_Toc11373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lang w:val="en-US" w:eastAsia="zh-CN"/>
        </w:rPr>
        <w:t>第三部分  总  则</w:t>
      </w:r>
      <w:r>
        <w:rPr>
          <w:sz w:val="30"/>
          <w:szCs w:val="30"/>
        </w:rPr>
        <w:tab/>
      </w:r>
      <w:r>
        <w:rPr>
          <w:sz w:val="30"/>
          <w:szCs w:val="30"/>
        </w:rPr>
        <w:fldChar w:fldCharType="begin"/>
      </w:r>
      <w:r>
        <w:rPr>
          <w:sz w:val="30"/>
          <w:szCs w:val="30"/>
        </w:rPr>
        <w:instrText xml:space="preserve"> PAGEREF _Toc11373 \h </w:instrText>
      </w:r>
      <w:r>
        <w:rPr>
          <w:sz w:val="30"/>
          <w:szCs w:val="30"/>
        </w:rPr>
        <w:fldChar w:fldCharType="separate"/>
      </w:r>
      <w:r>
        <w:rPr>
          <w:sz w:val="30"/>
          <w:szCs w:val="30"/>
        </w:rPr>
        <w:t>10</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_Toc31039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shd w:val="clear" w:color="auto" w:fill="auto"/>
          <w:lang w:val="en-US" w:eastAsia="zh-CN"/>
        </w:rPr>
        <w:t>第四部分  采购需求</w:t>
      </w:r>
      <w:r>
        <w:rPr>
          <w:sz w:val="30"/>
          <w:szCs w:val="30"/>
        </w:rPr>
        <w:tab/>
      </w:r>
      <w:r>
        <w:rPr>
          <w:sz w:val="30"/>
          <w:szCs w:val="30"/>
        </w:rPr>
        <w:fldChar w:fldCharType="begin"/>
      </w:r>
      <w:r>
        <w:rPr>
          <w:sz w:val="30"/>
          <w:szCs w:val="30"/>
        </w:rPr>
        <w:instrText xml:space="preserve"> PAGEREF _Toc31039 \h </w:instrText>
      </w:r>
      <w:r>
        <w:rPr>
          <w:sz w:val="30"/>
          <w:szCs w:val="30"/>
        </w:rPr>
        <w:fldChar w:fldCharType="separate"/>
      </w:r>
      <w:r>
        <w:rPr>
          <w:sz w:val="30"/>
          <w:szCs w:val="30"/>
        </w:rPr>
        <w:t>25</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_Toc26055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shd w:val="clear" w:color="auto" w:fill="auto"/>
        </w:rPr>
        <w:t>第</w:t>
      </w:r>
      <w:r>
        <w:rPr>
          <w:rFonts w:hint="eastAsia" w:asciiTheme="minorEastAsia" w:hAnsiTheme="minorEastAsia" w:eastAsiaTheme="minorEastAsia" w:cstheme="minorEastAsia"/>
          <w:bCs/>
          <w:sz w:val="30"/>
          <w:szCs w:val="30"/>
          <w:shd w:val="clear" w:color="auto" w:fill="auto"/>
          <w:lang w:val="en-US" w:eastAsia="zh-CN"/>
        </w:rPr>
        <w:t>五</w:t>
      </w:r>
      <w:r>
        <w:rPr>
          <w:rFonts w:hint="eastAsia" w:asciiTheme="minorEastAsia" w:hAnsiTheme="minorEastAsia" w:eastAsiaTheme="minorEastAsia" w:cstheme="minorEastAsia"/>
          <w:bCs/>
          <w:sz w:val="30"/>
          <w:szCs w:val="30"/>
          <w:shd w:val="clear" w:color="auto" w:fill="auto"/>
        </w:rPr>
        <w:t>部分</w:t>
      </w:r>
      <w:r>
        <w:rPr>
          <w:rFonts w:hint="eastAsia" w:asciiTheme="minorEastAsia" w:hAnsiTheme="minorEastAsia" w:eastAsiaTheme="minorEastAsia" w:cstheme="minorEastAsia"/>
          <w:bCs/>
          <w:sz w:val="30"/>
          <w:szCs w:val="30"/>
          <w:shd w:val="clear" w:color="auto" w:fill="auto"/>
          <w:lang w:val="en-US" w:eastAsia="zh-CN"/>
        </w:rPr>
        <w:t xml:space="preserve">  评标办法及废标条款</w:t>
      </w:r>
      <w:r>
        <w:rPr>
          <w:sz w:val="30"/>
          <w:szCs w:val="30"/>
        </w:rPr>
        <w:tab/>
      </w:r>
      <w:r>
        <w:rPr>
          <w:sz w:val="30"/>
          <w:szCs w:val="30"/>
        </w:rPr>
        <w:fldChar w:fldCharType="begin"/>
      </w:r>
      <w:r>
        <w:rPr>
          <w:sz w:val="30"/>
          <w:szCs w:val="30"/>
        </w:rPr>
        <w:instrText xml:space="preserve"> PAGEREF _Toc26055 \h </w:instrText>
      </w:r>
      <w:r>
        <w:rPr>
          <w:sz w:val="30"/>
          <w:szCs w:val="30"/>
        </w:rPr>
        <w:fldChar w:fldCharType="separate"/>
      </w:r>
      <w:r>
        <w:rPr>
          <w:sz w:val="30"/>
          <w:szCs w:val="30"/>
        </w:rPr>
        <w:t>29</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_Toc18064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shd w:val="clear" w:color="auto" w:fill="auto"/>
        </w:rPr>
        <w:t>第</w:t>
      </w:r>
      <w:r>
        <w:rPr>
          <w:rFonts w:hint="eastAsia" w:asciiTheme="minorEastAsia" w:hAnsiTheme="minorEastAsia" w:eastAsiaTheme="minorEastAsia" w:cstheme="minorEastAsia"/>
          <w:bCs/>
          <w:sz w:val="30"/>
          <w:szCs w:val="30"/>
          <w:shd w:val="clear" w:color="auto" w:fill="auto"/>
          <w:lang w:val="en-US" w:eastAsia="zh-CN"/>
        </w:rPr>
        <w:t>六</w:t>
      </w:r>
      <w:r>
        <w:rPr>
          <w:rFonts w:hint="eastAsia" w:asciiTheme="minorEastAsia" w:hAnsiTheme="minorEastAsia" w:eastAsiaTheme="minorEastAsia" w:cstheme="minorEastAsia"/>
          <w:bCs/>
          <w:sz w:val="30"/>
          <w:szCs w:val="30"/>
          <w:shd w:val="clear" w:color="auto" w:fill="auto"/>
        </w:rPr>
        <w:t>部分</w:t>
      </w:r>
      <w:r>
        <w:rPr>
          <w:rFonts w:hint="eastAsia" w:asciiTheme="minorEastAsia" w:hAnsiTheme="minorEastAsia" w:eastAsiaTheme="minorEastAsia" w:cstheme="minorEastAsia"/>
          <w:bCs/>
          <w:sz w:val="30"/>
          <w:szCs w:val="30"/>
          <w:shd w:val="clear" w:color="auto" w:fill="auto"/>
          <w:lang w:val="en-US" w:eastAsia="zh-CN"/>
        </w:rPr>
        <w:t xml:space="preserve">  </w:t>
      </w:r>
      <w:r>
        <w:rPr>
          <w:rFonts w:hint="eastAsia" w:asciiTheme="minorEastAsia" w:hAnsiTheme="minorEastAsia" w:eastAsiaTheme="minorEastAsia" w:cstheme="minorEastAsia"/>
          <w:bCs/>
          <w:sz w:val="30"/>
          <w:szCs w:val="30"/>
          <w:shd w:val="clear" w:color="auto" w:fill="auto"/>
        </w:rPr>
        <w:t>政府采购框架协议(范本)</w:t>
      </w:r>
      <w:r>
        <w:rPr>
          <w:sz w:val="30"/>
          <w:szCs w:val="30"/>
        </w:rPr>
        <w:tab/>
      </w:r>
      <w:r>
        <w:rPr>
          <w:sz w:val="30"/>
          <w:szCs w:val="30"/>
        </w:rPr>
        <w:fldChar w:fldCharType="begin"/>
      </w:r>
      <w:r>
        <w:rPr>
          <w:sz w:val="30"/>
          <w:szCs w:val="30"/>
        </w:rPr>
        <w:instrText xml:space="preserve"> PAGEREF _Toc18064 \h </w:instrText>
      </w:r>
      <w:r>
        <w:rPr>
          <w:sz w:val="30"/>
          <w:szCs w:val="30"/>
        </w:rPr>
        <w:fldChar w:fldCharType="separate"/>
      </w:r>
      <w:r>
        <w:rPr>
          <w:sz w:val="30"/>
          <w:szCs w:val="30"/>
        </w:rPr>
        <w:t>40</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_Toc28488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lang w:val="en-US" w:eastAsia="zh-CN"/>
        </w:rPr>
        <w:t xml:space="preserve">第七部分  </w:t>
      </w:r>
      <w:r>
        <w:rPr>
          <w:rFonts w:hint="eastAsia" w:asciiTheme="minorEastAsia" w:hAnsiTheme="minorEastAsia" w:eastAsiaTheme="minorEastAsia" w:cstheme="minorEastAsia"/>
          <w:bCs/>
          <w:sz w:val="30"/>
          <w:szCs w:val="30"/>
          <w:lang w:eastAsia="zh-CN"/>
        </w:rPr>
        <w:t>征集响应文件</w:t>
      </w:r>
      <w:r>
        <w:rPr>
          <w:rFonts w:hint="eastAsia" w:asciiTheme="minorEastAsia" w:hAnsiTheme="minorEastAsia" w:eastAsiaTheme="minorEastAsia" w:cstheme="minorEastAsia"/>
          <w:bCs/>
          <w:sz w:val="30"/>
          <w:szCs w:val="30"/>
          <w:lang w:val="en-US" w:eastAsia="zh-CN"/>
        </w:rPr>
        <w:t>格式</w:t>
      </w:r>
      <w:r>
        <w:rPr>
          <w:sz w:val="30"/>
          <w:szCs w:val="30"/>
        </w:rPr>
        <w:tab/>
      </w:r>
      <w:r>
        <w:rPr>
          <w:sz w:val="30"/>
          <w:szCs w:val="30"/>
        </w:rPr>
        <w:fldChar w:fldCharType="begin"/>
      </w:r>
      <w:r>
        <w:rPr>
          <w:sz w:val="30"/>
          <w:szCs w:val="30"/>
        </w:rPr>
        <w:instrText xml:space="preserve"> PAGEREF _Toc28488 \h </w:instrText>
      </w:r>
      <w:r>
        <w:rPr>
          <w:sz w:val="30"/>
          <w:szCs w:val="30"/>
        </w:rPr>
        <w:fldChar w:fldCharType="separate"/>
      </w:r>
      <w:r>
        <w:rPr>
          <w:sz w:val="30"/>
          <w:szCs w:val="30"/>
        </w:rPr>
        <w:t>44</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_Toc30602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val="0"/>
          <w:sz w:val="30"/>
          <w:szCs w:val="30"/>
          <w:lang w:val="en-US" w:eastAsia="zh-CN"/>
        </w:rPr>
        <w:t>第八部分  不见面开标大厅</w:t>
      </w:r>
      <w:r>
        <w:rPr>
          <w:rFonts w:hint="eastAsia" w:asciiTheme="minorEastAsia" w:hAnsiTheme="minorEastAsia" w:eastAsiaTheme="minorEastAsia" w:cstheme="minorEastAsia"/>
          <w:bCs w:val="0"/>
          <w:spacing w:val="-3"/>
          <w:sz w:val="30"/>
          <w:szCs w:val="30"/>
        </w:rPr>
        <w:t>操作手册</w:t>
      </w:r>
      <w:r>
        <w:rPr>
          <w:sz w:val="30"/>
          <w:szCs w:val="30"/>
        </w:rPr>
        <w:tab/>
      </w:r>
      <w:r>
        <w:rPr>
          <w:sz w:val="30"/>
          <w:szCs w:val="30"/>
        </w:rPr>
        <w:fldChar w:fldCharType="begin"/>
      </w:r>
      <w:r>
        <w:rPr>
          <w:sz w:val="30"/>
          <w:szCs w:val="30"/>
        </w:rPr>
        <w:instrText xml:space="preserve"> PAGEREF _Toc30602 \h </w:instrText>
      </w:r>
      <w:r>
        <w:rPr>
          <w:sz w:val="30"/>
          <w:szCs w:val="30"/>
        </w:rPr>
        <w:fldChar w:fldCharType="separate"/>
      </w:r>
      <w:r>
        <w:rPr>
          <w:sz w:val="30"/>
          <w:szCs w:val="30"/>
        </w:rPr>
        <w:t>61</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32"/>
        <w:tabs>
          <w:tab w:val="right" w:leader="dot" w:pos="8845"/>
        </w:tabs>
        <w:rPr>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1200" w:firstLineChars="400"/>
        <w:jc w:val="center"/>
        <w:textAlignment w:val="auto"/>
        <w:outlineLvl w:val="0"/>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Cs w:val="0"/>
          <w:color w:val="auto"/>
          <w:kern w:val="2"/>
          <w:sz w:val="30"/>
          <w:szCs w:val="30"/>
          <w:lang w:val="en-US" w:eastAsia="zh-CN" w:bidi="ar-SA"/>
        </w:rPr>
        <w:fldChar w:fldCharType="end"/>
      </w:r>
    </w:p>
    <w:p>
      <w:pPr>
        <w:spacing w:line="480" w:lineRule="auto"/>
        <w:jc w:val="center"/>
        <w:outlineLvl w:val="0"/>
        <w:rPr>
          <w:rFonts w:hint="eastAsia" w:asciiTheme="minorEastAsia" w:hAnsiTheme="minorEastAsia" w:eastAsiaTheme="minorEastAsia" w:cstheme="minorEastAsia"/>
          <w:b/>
          <w:bCs/>
          <w:color w:val="auto"/>
          <w:sz w:val="44"/>
          <w:szCs w:val="44"/>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type="lines" w:linePitch="313" w:charSpace="0"/>
        </w:sectPr>
      </w:pPr>
    </w:p>
    <w:p>
      <w:pPr>
        <w:spacing w:line="480" w:lineRule="auto"/>
        <w:jc w:val="center"/>
        <w:outlineLvl w:val="0"/>
        <w:rPr>
          <w:rFonts w:hint="eastAsia" w:asciiTheme="minorEastAsia" w:hAnsiTheme="minorEastAsia" w:eastAsiaTheme="minorEastAsia" w:cstheme="minorEastAsia"/>
          <w:b/>
          <w:bCs/>
          <w:color w:val="auto"/>
          <w:sz w:val="44"/>
          <w:szCs w:val="44"/>
          <w:lang w:val="en-US" w:eastAsia="zh-CN"/>
        </w:rPr>
      </w:pPr>
      <w:bookmarkStart w:id="12" w:name="_Toc28801"/>
      <w:r>
        <w:rPr>
          <w:rFonts w:hint="eastAsia" w:asciiTheme="minorEastAsia" w:hAnsiTheme="minorEastAsia" w:eastAsiaTheme="minorEastAsia" w:cstheme="minorEastAsia"/>
          <w:b/>
          <w:bCs/>
          <w:color w:val="auto"/>
          <w:sz w:val="44"/>
          <w:szCs w:val="44"/>
        </w:rPr>
        <w:t>第一部分</w:t>
      </w:r>
      <w:r>
        <w:rPr>
          <w:rFonts w:hint="eastAsia" w:asciiTheme="minorEastAsia" w:hAnsiTheme="minorEastAsia" w:eastAsiaTheme="minorEastAsia" w:cstheme="minorEastAsia"/>
          <w:b/>
          <w:bCs/>
          <w:color w:val="auto"/>
          <w:sz w:val="44"/>
          <w:szCs w:val="44"/>
          <w:lang w:val="en-US" w:eastAsia="zh-CN"/>
        </w:rPr>
        <w:t xml:space="preserve"> </w:t>
      </w:r>
      <w:bookmarkEnd w:id="8"/>
      <w:bookmarkEnd w:id="9"/>
      <w:r>
        <w:rPr>
          <w:rFonts w:hint="eastAsia" w:asciiTheme="minorEastAsia" w:hAnsiTheme="minorEastAsia" w:eastAsiaTheme="minorEastAsia" w:cstheme="minorEastAsia"/>
          <w:b/>
          <w:bCs/>
          <w:color w:val="auto"/>
          <w:sz w:val="44"/>
          <w:szCs w:val="44"/>
          <w:lang w:val="en-US" w:eastAsia="zh-CN"/>
        </w:rPr>
        <w:t>框架协议征集公告</w:t>
      </w:r>
      <w:bookmarkEnd w:id="12"/>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天水市公共资源交易中心受</w:t>
      </w:r>
      <w:r>
        <w:rPr>
          <w:rFonts w:hint="eastAsia" w:asciiTheme="minorEastAsia" w:hAnsiTheme="minorEastAsia" w:eastAsiaTheme="minorEastAsia" w:cstheme="minorEastAsia"/>
          <w:color w:val="auto"/>
          <w:sz w:val="24"/>
          <w:szCs w:val="24"/>
          <w:lang w:eastAsia="zh-CN"/>
        </w:rPr>
        <w:t>天水市财政局</w:t>
      </w:r>
      <w:r>
        <w:rPr>
          <w:rFonts w:hint="eastAsia" w:asciiTheme="minorEastAsia" w:hAnsiTheme="minorEastAsia" w:eastAsiaTheme="minorEastAsia" w:cstheme="minorEastAsia"/>
          <w:color w:val="auto"/>
          <w:sz w:val="24"/>
          <w:szCs w:val="24"/>
        </w:rPr>
        <w:t>的委托，对其委托的天水市行政事业单位2023-2024年度公务用车框架协议采购项目以</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的方式进行采购</w:t>
      </w:r>
      <w:r>
        <w:rPr>
          <w:rFonts w:hint="eastAsia" w:asciiTheme="minorEastAsia" w:hAnsiTheme="minorEastAsia" w:eastAsiaTheme="minorEastAsia" w:cstheme="minorEastAsia"/>
          <w:color w:val="auto"/>
          <w:sz w:val="24"/>
          <w:szCs w:val="24"/>
          <w:lang w:val="en-US" w:eastAsia="zh-CN"/>
        </w:rPr>
        <w:t>招标</w:t>
      </w:r>
      <w:r>
        <w:rPr>
          <w:rFonts w:hint="eastAsia" w:asciiTheme="minorEastAsia" w:hAnsiTheme="minorEastAsia" w:eastAsiaTheme="minorEastAsia" w:cstheme="minorEastAsia"/>
          <w:color w:val="auto"/>
          <w:sz w:val="24"/>
          <w:szCs w:val="24"/>
        </w:rPr>
        <w:t>，欢</w:t>
      </w:r>
      <w:r>
        <w:rPr>
          <w:rFonts w:hint="eastAsia" w:asciiTheme="minorEastAsia" w:hAnsiTheme="minorEastAsia" w:eastAsiaTheme="minorEastAsia" w:cstheme="minorEastAsia"/>
          <w:bCs/>
          <w:color w:val="auto"/>
          <w:sz w:val="24"/>
          <w:szCs w:val="24"/>
        </w:rPr>
        <w:t>迎符合资格条件的供应商</w:t>
      </w:r>
      <w:r>
        <w:rPr>
          <w:rFonts w:hint="eastAsia" w:asciiTheme="minorEastAsia" w:hAnsiTheme="minorEastAsia" w:eastAsiaTheme="minorEastAsia" w:cstheme="minorEastAsia"/>
          <w:color w:val="auto"/>
          <w:sz w:val="24"/>
          <w:szCs w:val="24"/>
        </w:rPr>
        <w:t>登录天水市公共资源交易中心网站免费下载获取征集文件</w:t>
      </w:r>
      <w:r>
        <w:rPr>
          <w:rFonts w:hint="eastAsia" w:asciiTheme="minorEastAsia" w:hAnsiTheme="minorEastAsia" w:eastAsiaTheme="minorEastAsia" w:cstheme="minorEastAsia"/>
          <w:color w:val="auto"/>
          <w:sz w:val="24"/>
          <w:szCs w:val="24"/>
          <w:lang w:eastAsia="zh-CN"/>
        </w:rPr>
        <w:t>，并在规定的时间内递交响应文件</w:t>
      </w:r>
      <w:r>
        <w:rPr>
          <w:rFonts w:hint="eastAsia" w:asciiTheme="minorEastAsia" w:hAnsiTheme="minorEastAsia" w:eastAsiaTheme="minorEastAsia" w:cstheme="minorEastAsia"/>
          <w:color w:val="auto"/>
          <w:sz w:val="24"/>
          <w:szCs w:val="24"/>
        </w:rPr>
        <w:t>。</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w:t>
      </w:r>
      <w:r>
        <w:rPr>
          <w:rFonts w:hint="eastAsia" w:asciiTheme="minorEastAsia" w:hAnsiTheme="minorEastAsia" w:eastAsiaTheme="minorEastAsia" w:cstheme="minorEastAsia"/>
          <w:b/>
          <w:bCs/>
          <w:color w:val="auto"/>
          <w:sz w:val="24"/>
          <w:szCs w:val="24"/>
          <w:lang w:val="en-US" w:eastAsia="zh-CN"/>
        </w:rPr>
        <w:t>框架协议</w:t>
      </w:r>
      <w:r>
        <w:rPr>
          <w:rFonts w:hint="eastAsia" w:asciiTheme="minorEastAsia" w:hAnsiTheme="minorEastAsia" w:eastAsiaTheme="minorEastAsia" w:cstheme="minorEastAsia"/>
          <w:b/>
          <w:bCs/>
          <w:color w:val="auto"/>
          <w:sz w:val="24"/>
          <w:szCs w:val="24"/>
        </w:rPr>
        <w:t>编号：</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TGKX2023-022</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二、项目需求：</w:t>
      </w:r>
    </w:p>
    <w:p>
      <w:pPr>
        <w:keepNext w:val="0"/>
        <w:keepLines w:val="0"/>
        <w:pageBreakBefore w:val="0"/>
        <w:widowControl w:val="0"/>
        <w:kinsoku/>
        <w:wordWrap w:val="0"/>
        <w:overflowPunct/>
        <w:topLinePunct w:val="0"/>
        <w:autoSpaceDE w:val="0"/>
        <w:autoSpaceDN w:val="0"/>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依据《政府采购框架协议采购方式管理暂行办法》（财政部110号令）、《政府采购品目分类目录》（2022年印发）及《甘肃省2023-2024年政府集中采购目录和采购限额标准》要求，征集具备相应资格条件的供应商，参与天水市行政事业单位2023-2024年度公务用车框架协议采购项目。本市各行政事业单位一次性采购同一车型5辆以下框架协议，5辆以上集中采购。</w:t>
      </w:r>
    </w:p>
    <w:p>
      <w:pPr>
        <w:pStyle w:val="31"/>
        <w:numPr>
          <w:ilvl w:val="0"/>
          <w:numId w:val="5"/>
        </w:numPr>
        <w:ind w:left="480" w:leftChars="0" w:firstLine="0" w:firstLineChars="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服务期限：</w:t>
      </w:r>
    </w:p>
    <w:p>
      <w:pPr>
        <w:keepNext w:val="0"/>
        <w:keepLines w:val="0"/>
        <w:pageBreakBefore w:val="0"/>
        <w:widowControl w:val="0"/>
        <w:kinsoku/>
        <w:wordWrap w:val="0"/>
        <w:overflowPunct/>
        <w:topLinePunct w:val="0"/>
        <w:autoSpaceDE w:val="0"/>
        <w:autoSpaceDN w:val="0"/>
        <w:bidi w:val="0"/>
        <w:adjustRightInd/>
        <w:snapToGrid/>
        <w:spacing w:line="400" w:lineRule="exact"/>
        <w:ind w:left="0" w:leftChars="0" w:right="0" w:rightChars="0" w:firstLine="480" w:firstLineChars="200"/>
        <w:jc w:val="both"/>
        <w:textAlignment w:val="auto"/>
        <w:outlineLvl w:val="9"/>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default" w:asciiTheme="minorEastAsia" w:hAnsiTheme="minorEastAsia" w:eastAsiaTheme="minorEastAsia" w:cstheme="minorEastAsia"/>
          <w:b w:val="0"/>
          <w:bCs w:val="0"/>
          <w:color w:val="auto"/>
          <w:kern w:val="2"/>
          <w:sz w:val="24"/>
          <w:szCs w:val="24"/>
          <w:highlight w:val="none"/>
          <w:lang w:val="en-US" w:eastAsia="zh-CN" w:bidi="ar-SA"/>
        </w:rPr>
        <w:t>框架协议期限</w:t>
      </w:r>
      <w:r>
        <w:rPr>
          <w:rFonts w:hint="eastAsia" w:asciiTheme="minorEastAsia" w:hAnsiTheme="minorEastAsia" w:eastAsiaTheme="minorEastAsia" w:cstheme="minorEastAsia"/>
          <w:b w:val="0"/>
          <w:bCs w:val="0"/>
          <w:color w:val="auto"/>
          <w:kern w:val="2"/>
          <w:sz w:val="24"/>
          <w:szCs w:val="24"/>
          <w:highlight w:val="none"/>
          <w:lang w:val="en-US" w:eastAsia="zh-CN" w:bidi="ar-SA"/>
        </w:rPr>
        <w:t>1</w:t>
      </w:r>
      <w:r>
        <w:rPr>
          <w:rFonts w:hint="default" w:asciiTheme="minorEastAsia" w:hAnsiTheme="minorEastAsia" w:eastAsiaTheme="minorEastAsia" w:cstheme="minorEastAsia"/>
          <w:b w:val="0"/>
          <w:bCs w:val="0"/>
          <w:color w:val="auto"/>
          <w:kern w:val="2"/>
          <w:sz w:val="24"/>
          <w:szCs w:val="24"/>
          <w:highlight w:val="none"/>
          <w:lang w:val="en-US" w:eastAsia="zh-CN" w:bidi="ar-SA"/>
        </w:rPr>
        <w:t>年</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四</w:t>
      </w:r>
      <w:r>
        <w:rPr>
          <w:rFonts w:hint="eastAsia" w:asciiTheme="minorEastAsia" w:hAnsiTheme="minorEastAsia" w:eastAsiaTheme="minorEastAsia" w:cstheme="minorEastAsia"/>
          <w:b/>
          <w:bCs w:val="0"/>
          <w:color w:val="auto"/>
          <w:sz w:val="24"/>
          <w:szCs w:val="24"/>
          <w:highlight w:val="none"/>
        </w:rPr>
        <w:t>、采购内容:</w:t>
      </w:r>
    </w:p>
    <w:tbl>
      <w:tblPr>
        <w:tblStyle w:val="39"/>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115"/>
        <w:gridCol w:w="2820"/>
        <w:gridCol w:w="205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包号</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车型</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发动机排气量或新能源形式</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最高限价</w:t>
            </w:r>
          </w:p>
        </w:tc>
        <w:tc>
          <w:tcPr>
            <w:tcW w:w="171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firstLine="240" w:firstLineChars="100"/>
              <w:jc w:val="both"/>
              <w:textAlignment w:val="auto"/>
              <w:outlineLvl w:val="9"/>
              <w:rPr>
                <w:rFonts w:hint="eastAsia" w:ascii="宋体" w:hAnsi="宋体"/>
                <w:color w:val="auto"/>
                <w:sz w:val="24"/>
                <w:szCs w:val="30"/>
                <w:vertAlign w:val="baseline"/>
                <w:lang w:val="en-US" w:eastAsia="zh-CN"/>
              </w:rPr>
            </w:pPr>
            <w:r>
              <w:rPr>
                <w:rFonts w:hint="eastAsia" w:ascii="宋体" w:hAnsi="宋体"/>
                <w:color w:val="auto"/>
                <w:sz w:val="24"/>
                <w:szCs w:val="30"/>
                <w:vertAlign w:val="baseline"/>
                <w:lang w:val="en-US" w:eastAsia="zh-CN"/>
              </w:rPr>
              <w:t>1</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lang w:val="en-US" w:eastAsia="zh-CN"/>
              </w:rPr>
            </w:pPr>
            <w:r>
              <w:rPr>
                <w:rFonts w:hint="eastAsia" w:ascii="宋体" w:hAnsi="宋体"/>
                <w:color w:val="auto"/>
                <w:sz w:val="24"/>
                <w:szCs w:val="30"/>
                <w:vertAlign w:val="baseline"/>
                <w:lang w:val="en-US" w:eastAsia="zh-CN"/>
              </w:rPr>
              <w:t>小型轿车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排气量≤1.6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12 万元</w:t>
            </w:r>
          </w:p>
        </w:tc>
        <w:tc>
          <w:tcPr>
            <w:tcW w:w="1710"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snapToGrid/>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snapToGrid/>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snapToGrid/>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snapToGrid/>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eastAsia" w:ascii="宋体" w:hAnsi="宋体"/>
                <w:snapToGrid/>
                <w:sz w:val="24"/>
                <w:lang w:val="en-US" w:eastAsia="zh-CN"/>
              </w:rPr>
              <w:t>1</w:t>
            </w:r>
            <w:r>
              <w:rPr>
                <w:rFonts w:hint="default" w:ascii="宋体" w:hAnsi="宋体"/>
                <w:snapToGrid/>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color w:val="auto"/>
                <w:sz w:val="24"/>
                <w:szCs w:val="30"/>
                <w:vertAlign w:val="baseline"/>
                <w:lang w:val="en-US" w:eastAsia="zh-CN"/>
              </w:rPr>
            </w:pPr>
            <w:r>
              <w:rPr>
                <w:rFonts w:hint="eastAsia" w:ascii="宋体" w:hAnsi="宋体"/>
                <w:color w:val="auto"/>
                <w:sz w:val="24"/>
                <w:szCs w:val="30"/>
                <w:vertAlign w:val="baseline"/>
                <w:lang w:val="en-US" w:eastAsia="zh-CN"/>
              </w:rPr>
              <w:t>2</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lang w:val="en-US" w:eastAsia="zh-CN"/>
              </w:rPr>
            </w:pPr>
            <w:r>
              <w:rPr>
                <w:rFonts w:hint="eastAsia" w:ascii="宋体" w:hAnsi="宋体"/>
                <w:color w:val="auto"/>
                <w:sz w:val="24"/>
                <w:szCs w:val="30"/>
                <w:vertAlign w:val="baseline"/>
                <w:lang w:val="en-US" w:eastAsia="zh-CN"/>
              </w:rPr>
              <w:t>小型轿车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排气量≤1.8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18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3</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越野车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4</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商务车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5</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中型客车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6</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大型客车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45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7</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救护车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eastAsia" w:ascii="宋体" w:hAnsi="宋体" w:eastAsia="宋体"/>
                <w:sz w:val="24"/>
              </w:rPr>
              <w:t>底盘车</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8</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新能源轿车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插电或纯电动</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18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bl>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五</w:t>
      </w:r>
      <w:r>
        <w:rPr>
          <w:rFonts w:hint="eastAsia" w:asciiTheme="minorEastAsia" w:hAnsiTheme="minorEastAsia" w:eastAsiaTheme="minorEastAsia" w:cstheme="minorEastAsia"/>
          <w:b/>
          <w:bCs w:val="0"/>
          <w:color w:val="auto"/>
          <w:sz w:val="24"/>
          <w:szCs w:val="24"/>
          <w:lang w:eastAsia="zh-CN"/>
        </w:rPr>
        <w:t>、</w:t>
      </w:r>
      <w:r>
        <w:rPr>
          <w:rFonts w:hint="eastAsia" w:asciiTheme="minorEastAsia" w:hAnsiTheme="minorEastAsia" w:eastAsiaTheme="minorEastAsia" w:cstheme="minorEastAsia"/>
          <w:b/>
          <w:bCs w:val="0"/>
          <w:color w:val="auto"/>
          <w:sz w:val="24"/>
          <w:szCs w:val="24"/>
        </w:rPr>
        <w:t>采购预算：</w:t>
      </w:r>
      <w:r>
        <w:rPr>
          <w:rFonts w:hint="eastAsia" w:asciiTheme="minorEastAsia" w:hAnsiTheme="minorEastAsia" w:eastAsiaTheme="minorEastAsia" w:cstheme="minorEastAsia"/>
          <w:b/>
          <w:bCs w:val="0"/>
          <w:color w:val="auto"/>
          <w:sz w:val="24"/>
          <w:szCs w:val="24"/>
          <w:lang w:val="en-US" w:eastAsia="zh-CN"/>
        </w:rPr>
        <w:t>0万元</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最高限价：投标车辆不得高于征集文件第四部分设定的最高限额。</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、评标办法：</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第一阶段为质量优先法，第二阶段为直接选定。</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rPr>
        <w:t>、供应商资格要求</w:t>
      </w:r>
      <w:r>
        <w:rPr>
          <w:rFonts w:hint="eastAsia" w:asciiTheme="minorEastAsia" w:hAnsiTheme="minorEastAsia" w:eastAsiaTheme="minorEastAsia" w:cstheme="minorEastAsia"/>
          <w:b w:val="0"/>
          <w:bCs w:val="0"/>
          <w:color w:val="auto"/>
          <w:sz w:val="24"/>
          <w:szCs w:val="24"/>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符合《中华人民共和国政府采购法》第二十二条规定和《中华人民共和国政府采购法》实施条例第十七条规定</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营业执照、税务登记证、组织机构代码证或已作三证合一</w:t>
      </w:r>
      <w:r>
        <w:rPr>
          <w:rFonts w:hint="eastAsia" w:asciiTheme="minorEastAsia" w:hAnsiTheme="minorEastAsia" w:eastAsiaTheme="minorEastAsia" w:cstheme="minorEastAsia"/>
          <w:color w:val="auto"/>
          <w:sz w:val="24"/>
          <w:szCs w:val="24"/>
          <w:lang w:val="en-US" w:eastAsia="zh-CN"/>
        </w:rPr>
        <w:t>或者五</w:t>
      </w:r>
      <w:r>
        <w:rPr>
          <w:rFonts w:hint="eastAsia" w:asciiTheme="minorEastAsia" w:hAnsiTheme="minorEastAsia" w:eastAsiaTheme="minorEastAsia" w:cstheme="minorEastAsia"/>
          <w:color w:val="auto"/>
          <w:sz w:val="24"/>
          <w:szCs w:val="24"/>
        </w:rPr>
        <w:t>证合一的提供统一社会信用代码的营业执照及开户许可证；</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（三）具有良好的商业信誉和健全的财务会计制度：</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财务状况报告（202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年度以来财务审计报告或银行出具的近两个月的银行资信证明）（复印件或原件扫描件），2023 年新成立公司可不提供；</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（四）具有依法缴纳税收和社会保障资金的良好记录：</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具体要求：提供2022年1月（含）至响应文件提交截止时间止任意三个月缴纳税收和社会保障资金的证明材料复印件加盖供应商公章（依法免税或不需要缴纳社保资金的供应商须提供相应证明文件复印件加盖供应商公章）</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（五）具有履行合同所必需的设备和专业技术能力：</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具体要求：供应商自行承诺具有履行合同所必需的设备和专业技术能力（提供承诺函格式自拟）；</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须为未被列入“中国裁判文书网”网站（http://wenshu.court.gov.cn）记录综合查询被执行人；</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本项目实行资格后审，由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及集中采购机构</w:t>
      </w:r>
      <w:r>
        <w:rPr>
          <w:rFonts w:hint="eastAsia" w:asciiTheme="minorEastAsia" w:hAnsiTheme="minorEastAsia" w:eastAsiaTheme="minorEastAsia" w:cstheme="minorEastAsia"/>
          <w:color w:val="auto"/>
          <w:sz w:val="24"/>
          <w:szCs w:val="24"/>
        </w:rPr>
        <w:t>对供应商进行资格性审查，</w:t>
      </w:r>
      <w:r>
        <w:rPr>
          <w:rFonts w:hint="eastAsia" w:asciiTheme="minorEastAsia" w:hAnsiTheme="minorEastAsia" w:eastAsiaTheme="minorEastAsia" w:cstheme="minorEastAsia"/>
          <w:b/>
          <w:bCs/>
          <w:color w:val="auto"/>
          <w:sz w:val="24"/>
          <w:szCs w:val="24"/>
        </w:rPr>
        <w:t>不接受联合体</w:t>
      </w:r>
      <w:r>
        <w:rPr>
          <w:rFonts w:hint="eastAsia" w:asciiTheme="minorEastAsia" w:hAnsiTheme="minorEastAsia" w:eastAsiaTheme="minorEastAsia" w:cstheme="minorEastAsia"/>
          <w:b/>
          <w:bCs/>
          <w:color w:val="auto"/>
          <w:sz w:val="24"/>
          <w:szCs w:val="24"/>
          <w:lang w:eastAsia="zh-CN"/>
        </w:rPr>
        <w:t>框架协议</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被列入“信用中国（甘肃天水）”网站（http://credit.tianshui.gov.cn/）记录失信被执行人或重大税收违法案件当事人名单或政府采购严重违法失信行为记录名单；未被列入“信用甘肃”网站（www.gscredit.gov.cn）记录失信被执行人或财政性资金管理使用领域相关失信责任主体、统计领域严重失信企业及其有关人员等的方可参加本项目的投标。（以投标截止日前在“信用中国”网站（www.creditchina.gov.cn）、“信用中国（甘肃天水）”网站（http://credit.tianshui.gov.cn/）、中国政府采购网（www.ccgp.gov.cn）及“信用甘肃”网站（www.gscredit.gov.cn）查询结果为准，如相关失信记录失效，供应商需提供相关证明资料）</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八、</w:t>
      </w:r>
      <w:r>
        <w:rPr>
          <w:rFonts w:hint="eastAsia" w:asciiTheme="minorEastAsia" w:hAnsiTheme="minorEastAsia" w:eastAsiaTheme="minorEastAsia" w:cstheme="minorEastAsia"/>
          <w:b/>
          <w:bCs/>
          <w:color w:val="auto"/>
          <w:sz w:val="24"/>
          <w:szCs w:val="24"/>
        </w:rPr>
        <w:t>信息注册须知：</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为了规范交易平台的业务流程以及给用户提供方便快捷的服务，进一步落实“放管服”改革要求，凡是拟参与天水市公共资源交易活动的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需先在天水市公共资源交易网上注册、投标，</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可自行选择以下任意一种方式进行注册、登录、投标：</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方式一：拟参与天水市公共资源交易活动的供应商在天水市公共资源交易网上注册填写相关内容，获取登录权限。登录权限获取成功后使用“用户名+密码+验证码”的方式登录，登记拟参与项目进行投标，投标成功后免费下载</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方式二：拟参与天水市公共资源交易活动的供应商在天水市公共资源交易网上注册，并办理获取 CA 数字证书。用已办理获取的 CA 数字证书登录，登记拟参与项目进行投标，投标成功后免费下载</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“用户名+密码+验证码”的登录方式和 CA 数字证书登录方式并行，由供应商自行选择登录方式。CA 数字证书由符合有关规定的市场运营主体办理。已办理 CA 数字证书的供应商，仍可在天水市公共资源交易网上正常使用。注：填写信息必须真实有效。若有问题，咨询电话: 0931-2909277/377</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九</w:t>
      </w:r>
      <w:r>
        <w:rPr>
          <w:rFonts w:hint="eastAsia" w:asciiTheme="minorEastAsia" w:hAnsiTheme="minorEastAsia" w:eastAsiaTheme="minorEastAsia" w:cstheme="minorEastAsia"/>
          <w:b/>
          <w:bCs/>
          <w:color w:val="auto"/>
          <w:sz w:val="24"/>
          <w:szCs w:val="24"/>
        </w:rPr>
        <w:t>、获取</w:t>
      </w:r>
      <w:r>
        <w:rPr>
          <w:rFonts w:hint="eastAsia" w:asciiTheme="minorEastAsia" w:hAnsiTheme="minorEastAsia" w:eastAsiaTheme="minorEastAsia" w:cstheme="minorEastAsia"/>
          <w:b/>
          <w:bCs/>
          <w:color w:val="auto"/>
          <w:sz w:val="24"/>
          <w:szCs w:val="24"/>
          <w:lang w:eastAsia="zh-CN"/>
        </w:rPr>
        <w:t>征集文件</w:t>
      </w:r>
      <w:r>
        <w:rPr>
          <w:rFonts w:hint="eastAsia" w:asciiTheme="minorEastAsia" w:hAnsiTheme="minorEastAsia" w:eastAsiaTheme="minorEastAsia" w:cstheme="minorEastAsia"/>
          <w:b/>
          <w:bCs/>
          <w:color w:val="auto"/>
          <w:sz w:val="24"/>
          <w:szCs w:val="24"/>
        </w:rPr>
        <w:t>的时间、地点、方式：</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w:t>
      </w:r>
      <w:r>
        <w:rPr>
          <w:rFonts w:hint="eastAsia" w:asciiTheme="minorEastAsia" w:hAnsiTheme="minorEastAsia" w:eastAsiaTheme="minorEastAsia" w:cstheme="minorEastAsia"/>
          <w:color w:val="auto"/>
          <w:sz w:val="24"/>
          <w:szCs w:val="24"/>
          <w:lang w:val="en-US" w:eastAsia="zh-CN"/>
        </w:rPr>
        <w:t>征集文件获取</w:t>
      </w:r>
      <w:r>
        <w:rPr>
          <w:rFonts w:hint="eastAsia" w:asciiTheme="minorEastAsia" w:hAnsiTheme="minorEastAsia" w:eastAsiaTheme="minorEastAsia" w:cstheme="minorEastAsia"/>
          <w:color w:val="auto"/>
          <w:sz w:val="24"/>
          <w:szCs w:val="24"/>
        </w:rPr>
        <w:t>时间：自</w:t>
      </w:r>
      <w:r>
        <w:rPr>
          <w:rFonts w:hint="eastAsia" w:asciiTheme="minorEastAsia" w:hAnsiTheme="minorEastAsia" w:eastAsiaTheme="minorEastAsia" w:cstheme="minorEastAsia"/>
          <w:color w:val="auto"/>
          <w:sz w:val="24"/>
          <w:szCs w:val="24"/>
          <w:lang w:eastAsia="zh-CN"/>
        </w:rPr>
        <w:t>2023年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27</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00：</w:t>
      </w:r>
      <w:r>
        <w:rPr>
          <w:rFonts w:hint="eastAsia" w:asciiTheme="minorEastAsia" w:hAnsiTheme="minorEastAsia" w:eastAsiaTheme="minorEastAsia" w:cstheme="minorEastAsia"/>
          <w:color w:val="auto"/>
          <w:sz w:val="24"/>
          <w:szCs w:val="24"/>
        </w:rPr>
        <w:t>00:00起至</w:t>
      </w:r>
      <w:r>
        <w:rPr>
          <w:rFonts w:hint="eastAsia" w:asciiTheme="minorEastAsia" w:hAnsiTheme="minorEastAsia" w:eastAsiaTheme="minorEastAsia" w:cstheme="minorEastAsia"/>
          <w:color w:val="auto"/>
          <w:sz w:val="24"/>
          <w:szCs w:val="24"/>
          <w:lang w:eastAsia="zh-CN"/>
        </w:rPr>
        <w:t>2023年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 xml:space="preserve">  2</w:t>
      </w:r>
      <w:r>
        <w:rPr>
          <w:rFonts w:hint="eastAsia" w:asciiTheme="minorEastAsia" w:hAnsiTheme="minorEastAsia" w:eastAsiaTheme="minorEastAsia" w:cstheme="minorEastAsia"/>
          <w:color w:val="auto"/>
          <w:sz w:val="24"/>
          <w:szCs w:val="24"/>
        </w:rPr>
        <w:t>日23:59：59止均可免费获取。</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w:t>
      </w:r>
      <w:r>
        <w:rPr>
          <w:rFonts w:hint="eastAsia" w:asciiTheme="minorEastAsia" w:hAnsiTheme="minorEastAsia" w:eastAsiaTheme="minorEastAsia" w:cstheme="minorEastAsia"/>
          <w:color w:val="auto"/>
          <w:sz w:val="24"/>
          <w:szCs w:val="24"/>
          <w:lang w:val="en-US" w:eastAsia="zh-CN"/>
        </w:rPr>
        <w:t>征集文件获取</w:t>
      </w:r>
      <w:r>
        <w:rPr>
          <w:rFonts w:hint="eastAsia" w:asciiTheme="minorEastAsia" w:hAnsiTheme="minorEastAsia" w:eastAsiaTheme="minorEastAsia" w:cstheme="minorEastAsia"/>
          <w:color w:val="auto"/>
          <w:sz w:val="24"/>
          <w:szCs w:val="24"/>
        </w:rPr>
        <w:t>方式：登录天水市公共资源交易中心网站免费下载。</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可访问“天水市公共资源交易中心”网站（</w:t>
      </w:r>
      <w:r>
        <w:rPr>
          <w:rFonts w:hint="eastAsia" w:asciiTheme="minorEastAsia" w:hAnsiTheme="minorEastAsia" w:eastAsiaTheme="minorEastAsia" w:cstheme="minorEastAsia"/>
          <w:color w:val="auto"/>
          <w:sz w:val="24"/>
          <w:szCs w:val="24"/>
          <w:u w:val="none"/>
        </w:rPr>
        <w:t>http://ggzyjy</w:t>
      </w:r>
      <w:r>
        <w:rPr>
          <w:rFonts w:hint="eastAsia" w:asciiTheme="minorEastAsia" w:hAnsiTheme="minorEastAsia" w:eastAsiaTheme="minorEastAsia" w:cstheme="minorEastAsia"/>
          <w:color w:val="auto"/>
          <w:sz w:val="24"/>
          <w:szCs w:val="24"/>
        </w:rPr>
        <w:t>.tianshui.gov.cn）点击对应的</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项目公告，免费获取</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，也可通过登录天水公共资源交易电子服务系统，在“投标管理”栏目“</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 xml:space="preserve">获取”子栏目下在线免费获取。 </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注：凡是拟参与天水市公共资源交易活动的</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代理机构、投标单位需先在天水市公共资源交易网上免费注册或获取数字证书方可办理业务。</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十、</w:t>
      </w:r>
      <w:r>
        <w:rPr>
          <w:rFonts w:hint="eastAsia" w:asciiTheme="minorEastAsia" w:hAnsiTheme="minorEastAsia" w:eastAsiaTheme="minorEastAsia" w:cstheme="minorEastAsia"/>
          <w:b/>
          <w:bCs w:val="0"/>
          <w:color w:val="auto"/>
          <w:sz w:val="24"/>
          <w:szCs w:val="24"/>
        </w:rPr>
        <w:t>投标截止时间、开标时间及地点：</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（一）投标截止时间：2023年11月17日9时00分前（北京时间，逾期不予受理）</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（二）开标时间：</w:t>
      </w:r>
      <w:r>
        <w:rPr>
          <w:rFonts w:hint="eastAsia" w:asciiTheme="minorEastAsia" w:hAnsiTheme="minorEastAsia" w:eastAsiaTheme="minorEastAsia" w:cstheme="minorEastAsia"/>
          <w:color w:val="auto"/>
          <w:sz w:val="24"/>
          <w:szCs w:val="24"/>
          <w:lang w:eastAsia="zh-CN"/>
        </w:rPr>
        <w:t>2023年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17</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时</w:t>
      </w:r>
      <w:r>
        <w:rPr>
          <w:rFonts w:hint="eastAsia" w:asciiTheme="minorEastAsia" w:hAnsiTheme="minorEastAsia" w:eastAsiaTheme="minorEastAsia" w:cstheme="minorEastAsia"/>
          <w:color w:val="auto"/>
          <w:sz w:val="24"/>
          <w:szCs w:val="24"/>
          <w:lang w:val="en-US" w:eastAsia="zh-CN"/>
        </w:rPr>
        <w:t>00</w:t>
      </w:r>
      <w:r>
        <w:rPr>
          <w:rFonts w:hint="eastAsia" w:asciiTheme="minorEastAsia" w:hAnsiTheme="minorEastAsia" w:eastAsiaTheme="minorEastAsia" w:cstheme="minorEastAsia"/>
          <w:color w:val="auto"/>
          <w:sz w:val="24"/>
          <w:szCs w:val="24"/>
        </w:rPr>
        <w:t>分（北京时间，逾期不予受理）</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（三）开标时间及地点：</w:t>
      </w:r>
      <w:r>
        <w:rPr>
          <w:rFonts w:hint="eastAsia" w:asciiTheme="minorEastAsia" w:hAnsiTheme="minorEastAsia" w:eastAsiaTheme="minorEastAsia" w:cstheme="minorEastAsia"/>
          <w:color w:val="auto"/>
          <w:sz w:val="24"/>
          <w:szCs w:val="24"/>
          <w:lang w:eastAsia="zh-CN"/>
        </w:rPr>
        <w:t>2023年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17</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时</w:t>
      </w:r>
      <w:r>
        <w:rPr>
          <w:rFonts w:hint="eastAsia" w:asciiTheme="minorEastAsia" w:hAnsiTheme="minorEastAsia" w:eastAsiaTheme="minorEastAsia" w:cstheme="minorEastAsia"/>
          <w:color w:val="auto"/>
          <w:sz w:val="24"/>
          <w:szCs w:val="24"/>
          <w:lang w:val="en-US" w:eastAsia="zh-CN"/>
        </w:rPr>
        <w:t>00</w:t>
      </w:r>
      <w:r>
        <w:rPr>
          <w:rFonts w:hint="eastAsia" w:asciiTheme="minorEastAsia" w:hAnsiTheme="minorEastAsia" w:eastAsiaTheme="minorEastAsia" w:cstheme="minorEastAsia"/>
          <w:color w:val="auto"/>
          <w:sz w:val="24"/>
          <w:szCs w:val="24"/>
        </w:rPr>
        <w:t>分在天水市公共资源交易中心（天水市秦州区建设路185号二楼第</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开标厅）。</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供应商在</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递交截止时间前应主动登录甘肃政府采购网，以便及时了解相关</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信息和补充信息。如因未主动登录网站而未获取相关信息，对其产生的不利因素由供应商自行承担。</w:t>
      </w:r>
    </w:p>
    <w:p>
      <w:pPr>
        <w:widowControl/>
        <w:spacing w:line="410" w:lineRule="exact"/>
        <w:ind w:firstLine="480" w:firstLineChars="200"/>
        <w:jc w:val="left"/>
        <w:textAlignment w:val="baseline"/>
        <w:rPr>
          <w:rFonts w:asciiTheme="minorEastAsia" w:hAnsiTheme="minorEastAsia" w:eastAsiaTheme="minorEastAsia" w:cstheme="minorEastAsia"/>
          <w:b w:val="0"/>
          <w:bCs/>
          <w:color w:val="auto"/>
          <w:sz w:val="24"/>
        </w:rPr>
      </w:pPr>
      <w:r>
        <w:rPr>
          <w:rFonts w:hint="eastAsia" w:asciiTheme="minorEastAsia" w:hAnsiTheme="minorEastAsia" w:eastAsiaTheme="minorEastAsia" w:cstheme="minorEastAsia"/>
          <w:b w:val="0"/>
          <w:bCs/>
          <w:color w:val="auto"/>
          <w:sz w:val="24"/>
        </w:rPr>
        <w:t>现因天水市公共资源交易系统优化升级，系统升级为：（http://47.96.171.185/UserLogin.aspx），受疫情影响，天水市行政事业单位2023-2024年度公务用车框架协议采购项目的开评标活动改变为通过“甘肃中工国际不见面开标大厅”（网址：http://gsztb.cn/BidOpeningHall/bidopeninghallaction/hall/login）进行，请投标人在开标前登录系统，并使用“甘肃中工国际投标文件编制工具”生成的.ZGSF或.ZGTF加密投标文件上传至天水市公共资源交易电子服务系统2.0（网址：http：//ggzyjy.tianshui.gov.cn/f）,逾期未上传到指定的网络开标系统的投标文件不予受理。</w:t>
      </w:r>
    </w:p>
    <w:p>
      <w:pPr>
        <w:widowControl/>
        <w:spacing w:line="410" w:lineRule="exact"/>
        <w:ind w:firstLine="480" w:firstLineChars="200"/>
        <w:textAlignment w:val="baseline"/>
        <w:rPr>
          <w:rFonts w:asciiTheme="minorEastAsia" w:hAnsiTheme="minorEastAsia" w:eastAsiaTheme="minorEastAsia" w:cstheme="minorEastAsia"/>
          <w:b w:val="0"/>
          <w:bCs/>
          <w:color w:val="auto"/>
          <w:sz w:val="24"/>
        </w:rPr>
      </w:pPr>
      <w:r>
        <w:rPr>
          <w:rFonts w:hint="eastAsia" w:asciiTheme="minorEastAsia" w:hAnsiTheme="minorEastAsia" w:eastAsiaTheme="minorEastAsia" w:cstheme="minorEastAsia"/>
          <w:b w:val="0"/>
          <w:bCs/>
          <w:color w:val="auto"/>
          <w:sz w:val="24"/>
        </w:rPr>
        <w:t>开标前投标人须登录“甘肃中工国际不见面开标大厅”进行签到。若在开标截止时间前没有签到则视为放弃投标。网上开标时间：同递交投标文件截止时间一致。</w:t>
      </w:r>
    </w:p>
    <w:p>
      <w:pPr>
        <w:widowControl/>
        <w:spacing w:line="410" w:lineRule="exact"/>
        <w:ind w:firstLine="480" w:firstLineChars="200"/>
        <w:textAlignment w:val="baseline"/>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val="0"/>
          <w:bCs/>
          <w:color w:val="auto"/>
          <w:sz w:val="24"/>
        </w:rPr>
        <w:t>开标时，投标人采用网上远程异地解密时，请用CA证书登录“甘肃中工国际不见面开标大厅”，进入本项目开标大厅点击解密来完成投标文件的解密工作。每位投标人的解密时间从开始时间起30分钟内完成，超过规定时间解密的投标文件不予接受。</w:t>
      </w:r>
      <w:r>
        <w:rPr>
          <w:rFonts w:hint="eastAsia" w:asciiTheme="minorEastAsia" w:hAnsiTheme="minorEastAsia" w:eastAsiaTheme="minorEastAsia" w:cstheme="minorEastAsia"/>
          <w:b/>
          <w:color w:val="auto"/>
          <w:sz w:val="24"/>
        </w:rPr>
        <w:t>    </w:t>
      </w:r>
    </w:p>
    <w:p>
      <w:pPr>
        <w:keepNext w:val="0"/>
        <w:keepLines w:val="0"/>
        <w:pageBreakBefore w:val="0"/>
        <w:widowControl w:val="0"/>
        <w:shd w:val="clear" w:color="auto" w:fill="FFFFFF"/>
        <w:kinsoku/>
        <w:wordWrap w:val="0"/>
        <w:overflowPunct/>
        <w:topLinePunct w:val="0"/>
        <w:bidi w:val="0"/>
        <w:adjustRightInd/>
        <w:snapToGrid/>
        <w:spacing w:line="400" w:lineRule="exact"/>
        <w:ind w:left="0" w:leftChars="0" w:right="0" w:rightChars="0" w:firstLine="482" w:firstLineChars="200"/>
        <w:textAlignment w:val="baseline"/>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十一</w:t>
      </w:r>
      <w:r>
        <w:rPr>
          <w:rFonts w:hint="eastAsia" w:asciiTheme="minorEastAsia" w:hAnsiTheme="minorEastAsia" w:eastAsiaTheme="minorEastAsia" w:cstheme="minorEastAsia"/>
          <w:b/>
          <w:bCs w:val="0"/>
          <w:color w:val="auto"/>
          <w:sz w:val="24"/>
          <w:szCs w:val="24"/>
        </w:rPr>
        <w:t>、投标保证金:</w:t>
      </w:r>
    </w:p>
    <w:p>
      <w:pPr>
        <w:pStyle w:val="32"/>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本项目不收取</w:t>
      </w:r>
      <w:r>
        <w:rPr>
          <w:rFonts w:hint="eastAsia" w:asciiTheme="minorEastAsia" w:hAnsiTheme="minorEastAsia" w:eastAsiaTheme="minorEastAsia" w:cstheme="minorEastAsia"/>
          <w:bCs/>
          <w:color w:val="auto"/>
          <w:sz w:val="24"/>
          <w:szCs w:val="24"/>
          <w:lang w:eastAsia="zh-CN"/>
        </w:rPr>
        <w:t>投标</w:t>
      </w:r>
      <w:r>
        <w:rPr>
          <w:rFonts w:hint="eastAsia" w:asciiTheme="minorEastAsia" w:hAnsiTheme="minorEastAsia" w:eastAsiaTheme="minorEastAsia" w:cstheme="minorEastAsia"/>
          <w:bCs/>
          <w:color w:val="auto"/>
          <w:sz w:val="24"/>
          <w:szCs w:val="24"/>
        </w:rPr>
        <w:t>保证金</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u w:val="none"/>
        </w:rPr>
      </w:pPr>
      <w:r>
        <w:rPr>
          <w:rFonts w:hint="eastAsia" w:asciiTheme="minorEastAsia" w:hAnsiTheme="minorEastAsia" w:eastAsiaTheme="minorEastAsia" w:cstheme="minorEastAsia"/>
          <w:b/>
          <w:bCs/>
          <w:color w:val="auto"/>
          <w:sz w:val="24"/>
          <w:szCs w:val="24"/>
          <w:u w:val="none"/>
        </w:rPr>
        <w:t>十</w:t>
      </w:r>
      <w:r>
        <w:rPr>
          <w:rFonts w:hint="eastAsia" w:asciiTheme="minorEastAsia" w:hAnsiTheme="minorEastAsia" w:eastAsiaTheme="minorEastAsia" w:cstheme="minorEastAsia"/>
          <w:b/>
          <w:bCs/>
          <w:color w:val="auto"/>
          <w:sz w:val="24"/>
          <w:szCs w:val="24"/>
          <w:u w:val="none"/>
          <w:lang w:val="en-US" w:eastAsia="zh-CN"/>
        </w:rPr>
        <w:t>二</w:t>
      </w:r>
      <w:r>
        <w:rPr>
          <w:rFonts w:hint="eastAsia" w:asciiTheme="minorEastAsia" w:hAnsiTheme="minorEastAsia" w:eastAsiaTheme="minorEastAsia" w:cstheme="minorEastAsia"/>
          <w:b/>
          <w:bCs/>
          <w:color w:val="auto"/>
          <w:sz w:val="24"/>
          <w:szCs w:val="24"/>
          <w:u w:val="none"/>
        </w:rPr>
        <w:t>、公告期限：</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本公告发布后5个工作日.</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十</w:t>
      </w: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rPr>
        <w:t>、采购项目需要落实的政府采购政策：</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一</w:t>
      </w:r>
      <w:r>
        <w:rPr>
          <w:rFonts w:hint="eastAsia" w:asciiTheme="minorEastAsia" w:hAnsiTheme="minorEastAsia" w:eastAsiaTheme="minorEastAsia" w:cstheme="minorEastAsia"/>
          <w:b w:val="0"/>
          <w:bCs w:val="0"/>
          <w:color w:val="auto"/>
          <w:sz w:val="24"/>
          <w:szCs w:val="24"/>
        </w:rPr>
        <w:t>）根据财政部发布的《政府采购促进中小企业发展管理办法》</w:t>
      </w:r>
      <w:r>
        <w:rPr>
          <w:rFonts w:hint="eastAsia" w:asciiTheme="minorEastAsia" w:hAnsiTheme="minorEastAsia" w:eastAsiaTheme="minorEastAsia" w:cstheme="minorEastAsia"/>
          <w:b w:val="0"/>
          <w:bCs w:val="0"/>
          <w:color w:val="auto"/>
          <w:sz w:val="24"/>
          <w:szCs w:val="24"/>
          <w:lang w:eastAsia="zh-CN"/>
        </w:rPr>
        <w:t>（财库〔2020〕46</w:t>
      </w:r>
      <w:r>
        <w:rPr>
          <w:rFonts w:hint="eastAsia" w:asciiTheme="minorEastAsia" w:hAnsiTheme="minorEastAsia" w:eastAsiaTheme="minorEastAsia" w:cstheme="minorEastAsia"/>
          <w:b w:val="0"/>
          <w:bCs w:val="0"/>
          <w:color w:val="auto"/>
          <w:sz w:val="24"/>
          <w:szCs w:val="24"/>
          <w:lang w:val="en-US" w:eastAsia="zh-CN"/>
        </w:rPr>
        <w:t>号</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《关于进一步加大政府采购支持中小企业力度的通知》（财库[2022]19号）</w:t>
      </w:r>
      <w:r>
        <w:rPr>
          <w:rFonts w:hint="eastAsia" w:asciiTheme="minorEastAsia" w:hAnsiTheme="minorEastAsia" w:eastAsiaTheme="minorEastAsia" w:cstheme="minorEastAsia"/>
          <w:b w:val="0"/>
          <w:bCs w:val="0"/>
          <w:color w:val="auto"/>
          <w:sz w:val="24"/>
          <w:szCs w:val="24"/>
          <w:lang w:val="en-US" w:eastAsia="zh-CN"/>
        </w:rPr>
        <w:t>和</w:t>
      </w:r>
      <w:r>
        <w:rPr>
          <w:rFonts w:hint="eastAsia" w:asciiTheme="minorEastAsia" w:hAnsiTheme="minorEastAsia" w:eastAsiaTheme="minorEastAsia" w:cstheme="minorEastAsia"/>
          <w:b w:val="0"/>
          <w:bCs w:val="0"/>
          <w:color w:val="auto"/>
          <w:sz w:val="24"/>
          <w:szCs w:val="24"/>
        </w:rPr>
        <w:t>《甘肃省财政厅关于进一步加大政府采购支持中小企业力度的通知》</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甘财采〔2022〕16 号</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规定，对</w:t>
      </w:r>
      <w:r>
        <w:rPr>
          <w:rFonts w:hint="eastAsia" w:asciiTheme="minorEastAsia" w:hAnsiTheme="minorEastAsia" w:eastAsiaTheme="minorEastAsia" w:cstheme="minorEastAsia"/>
          <w:b w:val="0"/>
          <w:bCs w:val="0"/>
          <w:color w:val="auto"/>
          <w:sz w:val="24"/>
          <w:szCs w:val="24"/>
          <w:lang w:val="en-US" w:eastAsia="zh-CN"/>
        </w:rPr>
        <w:t>货物和</w:t>
      </w:r>
      <w:r>
        <w:rPr>
          <w:rFonts w:hint="eastAsia" w:asciiTheme="minorEastAsia" w:hAnsiTheme="minorEastAsia" w:eastAsiaTheme="minorEastAsia" w:cstheme="minorEastAsia"/>
          <w:b w:val="0"/>
          <w:bCs w:val="0"/>
          <w:color w:val="auto"/>
          <w:sz w:val="24"/>
          <w:szCs w:val="24"/>
        </w:rPr>
        <w:t>服务采购项目小微企业的价格给予10%的扣除</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根据财政部发布的《关于政府采购支持监狱企业发展有关问题的通知》规定，本项目对监狱企业产品的价格给予</w:t>
      </w:r>
      <w:r>
        <w:rPr>
          <w:rFonts w:hint="eastAsia" w:asciiTheme="minorEastAsia" w:hAnsiTheme="minorEastAsia" w:eastAsiaTheme="minorEastAsia" w:cstheme="minorEastAsia"/>
          <w:b w:val="0"/>
          <w:bCs w:val="0"/>
          <w:color w:val="auto"/>
          <w:sz w:val="24"/>
          <w:szCs w:val="24"/>
          <w:lang w:val="en-US" w:eastAsia="zh-CN"/>
        </w:rPr>
        <w:t>10</w:t>
      </w:r>
      <w:r>
        <w:rPr>
          <w:rFonts w:hint="eastAsia" w:asciiTheme="minorEastAsia" w:hAnsiTheme="minorEastAsia" w:eastAsiaTheme="minorEastAsia" w:cstheme="minorEastAsia"/>
          <w:b w:val="0"/>
          <w:bCs w:val="0"/>
          <w:color w:val="auto"/>
          <w:sz w:val="24"/>
          <w:szCs w:val="24"/>
        </w:rPr>
        <w:t>%的扣除</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三</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根据财政部、民政部、中国残疾人联合会发布的《关于促进残疾人就业政府采购政策的通知》规定，本项目对残疾人福利性单位产品的价格给予</w:t>
      </w:r>
      <w:r>
        <w:rPr>
          <w:rFonts w:hint="eastAsia" w:asciiTheme="minorEastAsia" w:hAnsiTheme="minorEastAsia" w:eastAsiaTheme="minorEastAsia" w:cstheme="minorEastAsia"/>
          <w:b w:val="0"/>
          <w:bCs w:val="0"/>
          <w:color w:val="auto"/>
          <w:sz w:val="24"/>
          <w:szCs w:val="24"/>
          <w:lang w:val="en-US" w:eastAsia="zh-CN"/>
        </w:rPr>
        <w:t>10</w:t>
      </w:r>
      <w:r>
        <w:rPr>
          <w:rFonts w:hint="eastAsia" w:asciiTheme="minorEastAsia" w:hAnsiTheme="minorEastAsia" w:eastAsiaTheme="minorEastAsia" w:cstheme="minorEastAsia"/>
          <w:b w:val="0"/>
          <w:bCs w:val="0"/>
          <w:color w:val="auto"/>
          <w:sz w:val="24"/>
          <w:szCs w:val="24"/>
        </w:rPr>
        <w:t>%的扣除。</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十</w:t>
      </w: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rPr>
        <w:t>、采购项目联系人及联系方式：</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征</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集</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天水市财政局</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联 系 人：</w:t>
      </w:r>
      <w:r>
        <w:rPr>
          <w:rFonts w:hint="eastAsia" w:asciiTheme="minorEastAsia" w:hAnsiTheme="minorEastAsia" w:eastAsiaTheme="minorEastAsia" w:cstheme="minorEastAsia"/>
          <w:color w:val="auto"/>
          <w:sz w:val="24"/>
          <w:szCs w:val="24"/>
          <w:lang w:val="en-US" w:eastAsia="zh-CN"/>
        </w:rPr>
        <w:t>冯哲</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联系电话：</w:t>
      </w:r>
      <w:r>
        <w:rPr>
          <w:rFonts w:hint="eastAsia" w:asciiTheme="minorEastAsia" w:hAnsiTheme="minorEastAsia" w:eastAsiaTheme="minorEastAsia" w:cstheme="minorEastAsia"/>
          <w:color w:val="auto"/>
          <w:sz w:val="24"/>
          <w:szCs w:val="24"/>
          <w:lang w:val="en-US" w:eastAsia="zh-CN"/>
        </w:rPr>
        <w:t>0938-8214987</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地    址：</w:t>
      </w:r>
      <w:r>
        <w:rPr>
          <w:rFonts w:hint="eastAsia" w:asciiTheme="minorEastAsia" w:hAnsiTheme="minorEastAsia" w:eastAsiaTheme="minorEastAsia" w:cstheme="minorEastAsia"/>
          <w:color w:val="auto"/>
          <w:sz w:val="24"/>
          <w:lang w:eastAsia="zh-CN"/>
        </w:rPr>
        <w:t>天水市秦州区滨河东路桃李春风8号财经大厦</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集采机构：天水市公共资源交易中心 </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 天水市秦州区建设路185号</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吴航  贾常惠</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联系电话：0938-8330335</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jc w:val="righ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 xml:space="preserve">        </w:t>
      </w:r>
      <w:bookmarkStart w:id="13" w:name="_Toc31598"/>
      <w:bookmarkStart w:id="14" w:name="_Toc2194"/>
    </w:p>
    <w:p>
      <w:pPr>
        <w:pStyle w:val="9"/>
        <w:keepNext w:val="0"/>
        <w:keepLines w:val="0"/>
        <w:pageBreakBefore w:val="0"/>
        <w:widowControl w:val="0"/>
        <w:kinsoku/>
        <w:wordWrap/>
        <w:overflowPunct/>
        <w:topLinePunct w:val="0"/>
        <w:bidi w:val="0"/>
        <w:adjustRightInd/>
        <w:snapToGrid/>
        <w:spacing w:line="500" w:lineRule="exact"/>
        <w:ind w:left="0" w:leftChars="0" w:right="0" w:rightChars="0" w:firstLine="560" w:firstLineChars="200"/>
        <w:jc w:val="right"/>
        <w:rPr>
          <w:rFonts w:hint="eastAsia" w:asciiTheme="minorEastAsia" w:hAnsiTheme="minorEastAsia" w:eastAsiaTheme="minorEastAsia" w:cstheme="minorEastAsia"/>
          <w:color w:val="auto"/>
          <w:sz w:val="28"/>
          <w:szCs w:val="28"/>
          <w:lang w:val="en-US" w:eastAsia="zh-CN"/>
        </w:rPr>
      </w:pPr>
    </w:p>
    <w:p>
      <w:pPr>
        <w:pStyle w:val="9"/>
        <w:keepNext w:val="0"/>
        <w:keepLines w:val="0"/>
        <w:pageBreakBefore w:val="0"/>
        <w:widowControl w:val="0"/>
        <w:kinsoku/>
        <w:wordWrap/>
        <w:overflowPunct/>
        <w:topLinePunct w:val="0"/>
        <w:bidi w:val="0"/>
        <w:adjustRightInd/>
        <w:snapToGrid/>
        <w:spacing w:line="500" w:lineRule="exact"/>
        <w:ind w:left="0" w:leftChars="0" w:right="0" w:rightChars="0" w:firstLine="560" w:firstLineChars="200"/>
        <w:jc w:val="right"/>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pStyle w:val="3"/>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pStyle w:val="3"/>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pStyle w:val="3"/>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pStyle w:val="3"/>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9"/>
        <w:keepNext w:val="0"/>
        <w:keepLines w:val="0"/>
        <w:pageBreakBefore w:val="0"/>
        <w:widowControl w:val="0"/>
        <w:numPr>
          <w:ilvl w:val="0"/>
          <w:numId w:val="6"/>
        </w:numPr>
        <w:kinsoku/>
        <w:wordWrap/>
        <w:overflowPunct/>
        <w:topLinePunct w:val="0"/>
        <w:bidi w:val="0"/>
        <w:adjustRightInd/>
        <w:snapToGrid/>
        <w:spacing w:line="500" w:lineRule="exact"/>
        <w:ind w:left="0" w:leftChars="0" w:right="0" w:rightChars="0" w:firstLine="0" w:firstLineChars="0"/>
        <w:jc w:val="center"/>
        <w:outlineLvl w:val="0"/>
        <w:rPr>
          <w:rFonts w:hint="eastAsia" w:asciiTheme="minorEastAsia" w:hAnsiTheme="minorEastAsia" w:eastAsiaTheme="minorEastAsia" w:cstheme="minorEastAsia"/>
          <w:b/>
          <w:bCs/>
          <w:color w:val="auto"/>
          <w:sz w:val="44"/>
          <w:szCs w:val="44"/>
          <w:lang w:val="en-US" w:eastAsia="zh-CN"/>
        </w:rPr>
      </w:pPr>
      <w:bookmarkStart w:id="15" w:name="_Toc15118"/>
      <w:r>
        <w:rPr>
          <w:rFonts w:hint="eastAsia" w:asciiTheme="minorEastAsia" w:hAnsiTheme="minorEastAsia" w:eastAsiaTheme="minorEastAsia" w:cstheme="minorEastAsia"/>
          <w:b/>
          <w:bCs/>
          <w:color w:val="auto"/>
          <w:sz w:val="44"/>
          <w:szCs w:val="44"/>
          <w:lang w:eastAsia="zh-CN"/>
        </w:rPr>
        <w:t>供应商</w:t>
      </w:r>
      <w:r>
        <w:rPr>
          <w:rFonts w:hint="eastAsia" w:asciiTheme="minorEastAsia" w:hAnsiTheme="minorEastAsia" w:eastAsiaTheme="minorEastAsia" w:cstheme="minorEastAsia"/>
          <w:b/>
          <w:bCs/>
          <w:color w:val="auto"/>
          <w:sz w:val="44"/>
          <w:szCs w:val="44"/>
        </w:rPr>
        <w:t>须知</w:t>
      </w:r>
      <w:bookmarkEnd w:id="15"/>
    </w:p>
    <w:bookmarkEnd w:id="13"/>
    <w:bookmarkEnd w:id="14"/>
    <w:tbl>
      <w:tblPr>
        <w:tblStyle w:val="39"/>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537"/>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条款名称</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vMerge w:val="restart"/>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天水市行政事业单位2023-2024年度公务用车框架协议采购项目（</w:t>
            </w:r>
            <w:r>
              <w:rPr>
                <w:rFonts w:hint="eastAsia" w:asciiTheme="minorEastAsia" w:hAnsiTheme="minorEastAsia" w:eastAsiaTheme="minorEastAsia" w:cstheme="minorEastAsia"/>
                <w:color w:val="auto"/>
                <w:sz w:val="24"/>
                <w:szCs w:val="24"/>
                <w:lang w:val="en-US" w:eastAsia="zh-CN"/>
              </w:rPr>
              <w:t>第五包</w:t>
            </w:r>
            <w:r>
              <w:rPr>
                <w:rFonts w:hint="eastAsia" w:asciiTheme="minorEastAsia" w:hAnsiTheme="minorEastAsia" w:eastAsiaTheme="minorEastAsia" w:cs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vMerge w:val="continue"/>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采购预算</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vMerge w:val="continue"/>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采购方式</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封闭式框架协议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vMerge w:val="continue"/>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公告媒体</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甘肃省政府采购网、天水市公共资源交易中心</w:t>
            </w:r>
            <w:r>
              <w:rPr>
                <w:rFonts w:hint="eastAsia" w:asciiTheme="minorEastAsia" w:hAnsiTheme="minorEastAsia" w:eastAsiaTheme="minorEastAsia" w:cstheme="minorEastAsia"/>
                <w:color w:val="auto"/>
                <w:sz w:val="24"/>
                <w:szCs w:val="24"/>
                <w:lang w:val="en-US" w:eastAsia="zh-CN"/>
              </w:rPr>
              <w:t>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eastAsia="zh-CN"/>
              </w:rPr>
              <w:t>征集</w:t>
            </w:r>
            <w:r>
              <w:rPr>
                <w:rFonts w:hint="eastAsia" w:asciiTheme="minorEastAsia" w:hAnsiTheme="minorEastAsia" w:eastAsiaTheme="minorEastAsia" w:cstheme="minorEastAsia"/>
                <w:color w:val="auto"/>
                <w:kern w:val="0"/>
                <w:sz w:val="24"/>
                <w:szCs w:val="24"/>
              </w:rPr>
              <w:t>人</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征 集 人：天水市财政局</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lang w:val="en-US" w:eastAsia="zh-CN" w:bidi="ar-SA"/>
              </w:rPr>
              <w:t>联 系 人：</w:t>
            </w:r>
            <w:r>
              <w:rPr>
                <w:rFonts w:hint="eastAsia" w:asciiTheme="minorEastAsia" w:hAnsiTheme="minorEastAsia" w:eastAsiaTheme="minorEastAsia" w:cstheme="minorEastAsia"/>
                <w:color w:val="auto"/>
                <w:sz w:val="24"/>
                <w:szCs w:val="24"/>
                <w:lang w:val="en-US" w:eastAsia="zh-CN"/>
              </w:rPr>
              <w:t>冯哲</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联系电话：0938-8214987</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kern w:val="0"/>
                <w:sz w:val="24"/>
                <w:szCs w:val="24"/>
                <w:lang w:val="en-US" w:eastAsia="zh-CN" w:bidi="ar-SA"/>
              </w:rPr>
              <w:t>地    址：</w:t>
            </w:r>
            <w:r>
              <w:rPr>
                <w:rFonts w:hint="eastAsia" w:asciiTheme="minorEastAsia" w:hAnsiTheme="minorEastAsia" w:eastAsiaTheme="minorEastAsia" w:cstheme="minorEastAsia"/>
                <w:color w:val="auto"/>
                <w:sz w:val="24"/>
                <w:lang w:eastAsia="zh-CN"/>
              </w:rPr>
              <w:t>天水市秦州区滨河东路桃李春风8号财经大厦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集采机构</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单位名称：天水市公共资源交易中心</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地址：天水市秦州区建设路185号</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电话：0938-</w:t>
            </w:r>
            <w:r>
              <w:rPr>
                <w:rFonts w:hint="eastAsia" w:asciiTheme="minorEastAsia" w:hAnsiTheme="minorEastAsia" w:eastAsiaTheme="minorEastAsia" w:cstheme="minorEastAsia"/>
                <w:color w:val="auto"/>
                <w:kern w:val="0"/>
                <w:sz w:val="24"/>
                <w:szCs w:val="24"/>
                <w:lang w:val="en-US" w:eastAsia="zh-CN"/>
              </w:rPr>
              <w:t>8330335</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0"/>
                <w:sz w:val="24"/>
                <w:szCs w:val="24"/>
              </w:rPr>
              <w:t>联系人：</w:t>
            </w:r>
            <w:r>
              <w:rPr>
                <w:rFonts w:hint="eastAsia" w:asciiTheme="minorEastAsia" w:hAnsiTheme="minorEastAsia" w:eastAsiaTheme="minorEastAsia" w:cstheme="minorEastAsia"/>
                <w:color w:val="auto"/>
                <w:kern w:val="0"/>
                <w:sz w:val="24"/>
                <w:szCs w:val="24"/>
                <w:lang w:val="en-US" w:eastAsia="zh-CN"/>
              </w:rPr>
              <w:t>贾常惠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资格条件</w:t>
            </w:r>
          </w:p>
        </w:tc>
        <w:tc>
          <w:tcPr>
            <w:tcW w:w="7668" w:type="dxa"/>
            <w:tcBorders>
              <w:tl2br w:val="nil"/>
              <w:tr2bl w:val="nil"/>
            </w:tcBorders>
            <w:vAlign w:val="center"/>
          </w:tcPr>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符合《中华人民共和国政府采购法》第二十二条规定和《中华人民共和国政府采购法》实施条例第十七条规定</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营业执照、税务登记证、组织机构代码证或已作三证合一</w:t>
            </w:r>
            <w:r>
              <w:rPr>
                <w:rFonts w:hint="eastAsia" w:asciiTheme="minorEastAsia" w:hAnsiTheme="minorEastAsia" w:eastAsiaTheme="minorEastAsia" w:cstheme="minorEastAsia"/>
                <w:color w:val="auto"/>
                <w:sz w:val="24"/>
                <w:szCs w:val="24"/>
                <w:lang w:val="en-US" w:eastAsia="zh-CN"/>
              </w:rPr>
              <w:t>或者五</w:t>
            </w:r>
            <w:r>
              <w:rPr>
                <w:rFonts w:hint="eastAsia" w:asciiTheme="minorEastAsia" w:hAnsiTheme="minorEastAsia" w:eastAsiaTheme="minorEastAsia" w:cstheme="minorEastAsia"/>
                <w:color w:val="auto"/>
                <w:sz w:val="24"/>
                <w:szCs w:val="24"/>
              </w:rPr>
              <w:t>证合一的提供统一社会信用代码的营业执照及开户许可证；</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（三）具有良好的商业信誉和健全的财务会计制度：</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财务状况报告（202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年度以来财务审计报告或银行出具的近两个月的银行资信证明）（复印件或原件扫描件），2023 年新成立公司可不提供；</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四</w:t>
            </w:r>
            <w:r>
              <w:rPr>
                <w:rFonts w:hint="eastAsia" w:asciiTheme="minorEastAsia" w:hAnsiTheme="minorEastAsia" w:eastAsiaTheme="minorEastAsia" w:cstheme="minorEastAsia"/>
                <w:color w:val="auto"/>
                <w:sz w:val="24"/>
                <w:szCs w:val="24"/>
              </w:rPr>
              <w:t>）具有依法缴纳税收和社会保障资金的良好记录：</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体要求：提供2022年1月（含）至响应文件提交截止时间止任意三个月缴纳税收和社会保障资金的证明材料复印件加盖供应商公章（依法免税或不需要缴纳社保资金的供应商须提供相应证明文件复印件加盖供应商公章）</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（五）具有履行合同所必需的设备和专业技术能力：</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具体要求：供应商自行承诺具有履行合同所必需的设备和专业技术能力（提供承诺函格式自拟）；</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须为未被列入“中国裁判文书网”网站（http://wenshu.court.gov.cn）记录综合查询被执行人；</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本项目实行资格后审，由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及集中采购机构</w:t>
            </w:r>
            <w:r>
              <w:rPr>
                <w:rFonts w:hint="eastAsia" w:asciiTheme="minorEastAsia" w:hAnsiTheme="minorEastAsia" w:eastAsiaTheme="minorEastAsia" w:cstheme="minorEastAsia"/>
                <w:color w:val="auto"/>
                <w:sz w:val="24"/>
                <w:szCs w:val="24"/>
              </w:rPr>
              <w:t>对供应商进行资格性审查</w:t>
            </w:r>
            <w:r>
              <w:rPr>
                <w:rFonts w:hint="eastAsia" w:asciiTheme="minorEastAsia" w:hAnsiTheme="minorEastAsia" w:eastAsiaTheme="minorEastAsia" w:cs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5</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小微企业（监狱企业视同小微企业）价格扣除和失信企业报价加成或者扣分</w:t>
            </w:r>
          </w:p>
        </w:tc>
        <w:tc>
          <w:tcPr>
            <w:tcW w:w="7668" w:type="dxa"/>
            <w:tcBorders>
              <w:tl2br w:val="nil"/>
              <w:tr2bl w:val="nil"/>
            </w:tcBorders>
            <w:vAlign w:val="center"/>
          </w:tcPr>
          <w:p>
            <w:pPr>
              <w:keepNext w:val="0"/>
              <w:keepLines w:val="0"/>
              <w:pageBreakBefore w:val="0"/>
              <w:widowControl w:val="0"/>
              <w:numPr>
                <w:ilvl w:val="0"/>
                <w:numId w:val="7"/>
              </w:numPr>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根据财政部发布的《政府采购促进中小企业发展管理办法》</w:t>
            </w:r>
            <w:r>
              <w:rPr>
                <w:rFonts w:hint="eastAsia" w:asciiTheme="minorEastAsia" w:hAnsiTheme="minorEastAsia" w:eastAsiaTheme="minorEastAsia" w:cstheme="minorEastAsia"/>
                <w:color w:val="auto"/>
                <w:kern w:val="0"/>
                <w:sz w:val="24"/>
                <w:szCs w:val="24"/>
                <w:lang w:eastAsia="zh-CN"/>
              </w:rPr>
              <w:t>（财库〔2020〕46</w:t>
            </w:r>
            <w:r>
              <w:rPr>
                <w:rFonts w:hint="eastAsia" w:asciiTheme="minorEastAsia" w:hAnsiTheme="minorEastAsia" w:eastAsiaTheme="minorEastAsia" w:cstheme="minorEastAsia"/>
                <w:color w:val="auto"/>
                <w:kern w:val="0"/>
                <w:sz w:val="24"/>
                <w:szCs w:val="24"/>
                <w:lang w:val="en-US" w:eastAsia="zh-CN"/>
              </w:rPr>
              <w:t>号</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、《关于进一步加大政府采购支持中小企业力度的通知》（财库[2022]19号）和《甘肃省财政厅关于进一步加大政府采购支持中小企业力度的通知》（甘财采〔2022〕16 号）规定，对货物和服务采购项目小微企业的价格给予10%的扣除；</w:t>
            </w:r>
          </w:p>
          <w:p>
            <w:pPr>
              <w:keepNext w:val="0"/>
              <w:keepLines w:val="0"/>
              <w:pageBreakBefore w:val="0"/>
              <w:widowControl w:val="0"/>
              <w:numPr>
                <w:ilvl w:val="0"/>
                <w:numId w:val="7"/>
              </w:numPr>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根据财政部发布的《关于政府采购支持监狱企业发展有关问题的通知》规定，本项目对监狱企业产品的价格给予10%的扣除；</w:t>
            </w:r>
          </w:p>
          <w:p>
            <w:pPr>
              <w:keepNext w:val="0"/>
              <w:keepLines w:val="0"/>
              <w:pageBreakBefore w:val="0"/>
              <w:widowControl w:val="0"/>
              <w:numPr>
                <w:ilvl w:val="0"/>
                <w:numId w:val="7"/>
              </w:numPr>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根据财政部、民政部、中国残疾人联合会发布的《关于促进残疾人就业政府采购政策的通知》规定，本项目对残疾人福利性单位产品的价格给予10%的扣除。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投标保证金</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eastAsia="zh-CN"/>
              </w:rPr>
              <w:t>是否专门面向中小企业采购</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分公司投标</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除银行、保险、电力、电信、移动、联通等特殊行业外，本项目不接受</w:t>
            </w:r>
            <w:r>
              <w:rPr>
                <w:rFonts w:hint="eastAsia" w:asciiTheme="minorEastAsia" w:hAnsiTheme="minorEastAsia" w:eastAsiaTheme="minorEastAsia" w:cstheme="minorEastAsia"/>
                <w:color w:val="auto"/>
                <w:sz w:val="24"/>
                <w:szCs w:val="24"/>
                <w:lang w:val="en-US" w:eastAsia="zh-CN"/>
              </w:rPr>
              <w:t>其他</w:t>
            </w:r>
            <w:r>
              <w:rPr>
                <w:rFonts w:hint="eastAsia" w:asciiTheme="minorEastAsia" w:hAnsiTheme="minorEastAsia" w:eastAsiaTheme="minorEastAsia" w:cstheme="minorEastAsia"/>
                <w:color w:val="auto"/>
                <w:sz w:val="24"/>
                <w:szCs w:val="24"/>
                <w:lang w:val="zh-CN"/>
              </w:rPr>
              <w:t>非独立法人单位分公司的投标。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确定入围供应商</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淘汰率不低于20%。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服务期</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本框架协议签订期限为1年。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eastAsia="zh-CN" w:bidi="ar-SA"/>
              </w:rPr>
              <w:t>付款方式</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由项目实际采购人根据第一阶段入围供应商及入围最高限价，结合采购需求、项目特征从第一阶段入围供应商中通过直接选定确定第二阶段成交供应商，签订第二阶段采购合同，</w:t>
            </w:r>
            <w:r>
              <w:rPr>
                <w:rFonts w:hint="eastAsia" w:asciiTheme="minorEastAsia" w:hAnsiTheme="minorEastAsia" w:eastAsiaTheme="minorEastAsia" w:cstheme="minorEastAsia"/>
                <w:color w:val="auto"/>
                <w:sz w:val="24"/>
                <w:szCs w:val="24"/>
                <w:lang w:val="zh-CN" w:eastAsia="zh-CN"/>
              </w:rPr>
              <w:t>并按第二阶段合同约定支付费用。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电子征集响应文件份数</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加密的电子征集响应文件1份。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签字盖章</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供应商必须按照征集文件的规定和要求签字、盖章或电子签章（法人代表的签字可用具有法定效力的签字章或电子章）。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电子征集响应文件提交方式</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本项目采用网上电子投标方式，不接受投标供应商递交的纸质版标书。</w:t>
            </w:r>
          </w:p>
          <w:p>
            <w:pPr>
              <w:keepNext w:val="0"/>
              <w:keepLines w:val="0"/>
              <w:pageBreakBefore w:val="0"/>
              <w:widowControl w:val="0"/>
              <w:kinsoku/>
              <w:wordWrap w:val="0"/>
              <w:overflowPunct/>
              <w:topLinePunct w:val="0"/>
              <w:autoSpaceDE/>
              <w:autoSpaceDN/>
              <w:bidi w:val="0"/>
              <w:adjustRightInd/>
              <w:snapToGrid/>
              <w:spacing w:line="400" w:lineRule="exact"/>
              <w:ind w:right="0" w:rightChars="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因天水市公共资源交易系统优化升级，系统升级为：（http://47.96.171.185/UserLogin.aspx），天水市行政事业单位2023-2024年度公务用车框架协议采购项目的开评标活动改变为通过“甘肃中工国际不见面开标大厅”（网址：http://gsztb.cn/BidOpeningHall/bidopeninghallaction/hall/login）进行，请投标人在开标前登录系统，并使用“甘肃中工国际投标文件编制工具”生成的.ZGSF或.ZGTF加密投标文件上传至天水市公共资源交易电子服务系统2.0（网址：http：//ggzyjy.tianshui.gov.cn/f）,逾期未上传到指定的网络开标系统的投标文件不予受理。</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开标前投标人须登录“甘肃中工国际不见面开标大厅”进行签到。若在开标截止时间前没有签到则视为放弃投标。网上开标时间：同递交投标文件截止时间一致。</w:t>
            </w:r>
          </w:p>
          <w:p>
            <w:pPr>
              <w:widowControl/>
              <w:spacing w:line="410" w:lineRule="exact"/>
              <w:ind w:firstLine="480" w:firstLineChars="200"/>
              <w:textAlignment w:val="baseline"/>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val="0"/>
                <w:bCs/>
                <w:color w:val="auto"/>
                <w:sz w:val="24"/>
              </w:rPr>
              <w:t>开标时，投标人采用网上远程异地解密时，请用CA证书登录“甘肃中工国际不见面开标大厅”，进入本项目开标大厅点击解密来完成投标文件的解密工作。每位投标人的解密时间从开始时间起30分钟内完成，超过规定时间解密的投标文件不予接受。</w:t>
            </w:r>
            <w:r>
              <w:rPr>
                <w:rFonts w:hint="eastAsia" w:asciiTheme="minorEastAsia" w:hAnsiTheme="minorEastAsia" w:eastAsiaTheme="minorEastAsia" w:cstheme="minorEastAsia"/>
                <w:b/>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采购文件咨询</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zh-CN"/>
              </w:rPr>
              <w:t>联系人：</w:t>
            </w:r>
            <w:r>
              <w:rPr>
                <w:rFonts w:hint="eastAsia" w:asciiTheme="minorEastAsia" w:hAnsiTheme="minorEastAsia" w:eastAsiaTheme="minorEastAsia" w:cstheme="minorEastAsia"/>
                <w:color w:val="auto"/>
                <w:kern w:val="0"/>
                <w:sz w:val="24"/>
                <w:szCs w:val="24"/>
                <w:lang w:val="en-US" w:eastAsia="zh-CN"/>
              </w:rPr>
              <w:t>贾常惠</w:t>
            </w:r>
            <w:r>
              <w:rPr>
                <w:rFonts w:hint="eastAsia" w:asciiTheme="minorEastAsia" w:hAnsiTheme="minorEastAsia" w:eastAsiaTheme="minorEastAsia" w:cstheme="minorEastAsia"/>
                <w:color w:val="auto"/>
                <w:kern w:val="0"/>
                <w:sz w:val="24"/>
                <w:szCs w:val="24"/>
                <w:lang w:val="zh-CN"/>
              </w:rPr>
              <w:t xml:space="preserve">      联系电话：</w:t>
            </w:r>
            <w:r>
              <w:rPr>
                <w:rFonts w:hint="eastAsia" w:asciiTheme="minorEastAsia" w:hAnsiTheme="minorEastAsia" w:eastAsiaTheme="minorEastAsia" w:cstheme="minorEastAsia"/>
                <w:color w:val="auto"/>
                <w:sz w:val="24"/>
                <w:szCs w:val="24"/>
              </w:rPr>
              <w:t xml:space="preserve"> 0938-8330335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投标截止时间</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2023年</w:t>
            </w:r>
            <w:r>
              <w:rPr>
                <w:rFonts w:hint="eastAsia" w:asciiTheme="minorEastAsia" w:hAnsiTheme="minorEastAsia" w:eastAsiaTheme="minorEastAsia" w:cstheme="minorEastAsia"/>
                <w:color w:val="auto"/>
                <w:kern w:val="0"/>
                <w:sz w:val="24"/>
                <w:szCs w:val="24"/>
                <w:lang w:val="en-US" w:eastAsia="zh-CN"/>
              </w:rPr>
              <w:t>11</w:t>
            </w:r>
            <w:r>
              <w:rPr>
                <w:rFonts w:hint="eastAsia" w:asciiTheme="minorEastAsia" w:hAnsiTheme="minorEastAsia" w:eastAsiaTheme="minorEastAsia" w:cstheme="minorEastAsia"/>
                <w:color w:val="auto"/>
                <w:kern w:val="0"/>
                <w:sz w:val="24"/>
                <w:szCs w:val="24"/>
                <w:lang w:val="zh-CN"/>
              </w:rPr>
              <w:t>月</w:t>
            </w:r>
            <w:r>
              <w:rPr>
                <w:rFonts w:hint="eastAsia" w:asciiTheme="minorEastAsia" w:hAnsiTheme="minorEastAsia" w:eastAsiaTheme="minorEastAsia" w:cstheme="minorEastAsia"/>
                <w:color w:val="auto"/>
                <w:kern w:val="0"/>
                <w:sz w:val="24"/>
                <w:szCs w:val="24"/>
                <w:lang w:val="en-US" w:eastAsia="zh-CN"/>
              </w:rPr>
              <w:t>17</w:t>
            </w:r>
            <w:r>
              <w:rPr>
                <w:rFonts w:hint="eastAsia" w:asciiTheme="minorEastAsia" w:hAnsiTheme="minorEastAsia" w:eastAsiaTheme="minorEastAsia" w:cstheme="minorEastAsia"/>
                <w:color w:val="auto"/>
                <w:kern w:val="0"/>
                <w:sz w:val="24"/>
                <w:szCs w:val="24"/>
                <w:lang w:val="zh-CN"/>
              </w:rPr>
              <w:t>日</w:t>
            </w:r>
            <w:r>
              <w:rPr>
                <w:rFonts w:hint="eastAsia" w:asciiTheme="minorEastAsia" w:hAnsiTheme="minorEastAsia" w:eastAsiaTheme="minorEastAsia" w:cstheme="minorEastAsia"/>
                <w:color w:val="auto"/>
                <w:kern w:val="0"/>
                <w:sz w:val="24"/>
                <w:szCs w:val="24"/>
                <w:lang w:val="en-US" w:eastAsia="zh-CN"/>
              </w:rPr>
              <w:t>9</w:t>
            </w:r>
            <w:r>
              <w:rPr>
                <w:rFonts w:hint="eastAsia" w:asciiTheme="minorEastAsia" w:hAnsiTheme="minorEastAsia" w:eastAsiaTheme="minorEastAsia" w:cstheme="minorEastAsia"/>
                <w:color w:val="auto"/>
                <w:kern w:val="0"/>
                <w:sz w:val="24"/>
                <w:szCs w:val="24"/>
                <w:lang w:val="zh-CN"/>
              </w:rPr>
              <w:t>时</w:t>
            </w:r>
            <w:r>
              <w:rPr>
                <w:rFonts w:hint="eastAsia" w:asciiTheme="minorEastAsia" w:hAnsiTheme="minorEastAsia" w:eastAsiaTheme="minorEastAsia" w:cstheme="minorEastAsia"/>
                <w:color w:val="auto"/>
                <w:kern w:val="0"/>
                <w:sz w:val="24"/>
                <w:szCs w:val="24"/>
                <w:lang w:val="en-US" w:eastAsia="zh-CN"/>
              </w:rPr>
              <w:t>00分</w:t>
            </w:r>
            <w:r>
              <w:rPr>
                <w:rFonts w:hint="eastAsia" w:asciiTheme="minorEastAsia" w:hAnsiTheme="minorEastAsia" w:eastAsiaTheme="minorEastAsia" w:cstheme="minorEastAsia"/>
                <w:color w:val="auto"/>
                <w:kern w:val="0"/>
                <w:sz w:val="24"/>
                <w:szCs w:val="24"/>
                <w:lang w:val="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17</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开标时间和地点</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开标时间：同投标截止时间。</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sz w:val="24"/>
                <w:szCs w:val="24"/>
              </w:rPr>
              <w:t>开标地点：天水市公共资源交易中心第</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18</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评标情况公告</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评标结果将在甘肃省政府采购网上和天水市公共资源交易中心网上采购结果公告栏中予以公告。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19</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中标通知书领取</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中标公告在甘肃省政府采购网和天水市公共资源中心网站公示后，请中标供应商</w:t>
            </w:r>
            <w:r>
              <w:rPr>
                <w:rFonts w:hint="eastAsia" w:asciiTheme="minorEastAsia" w:hAnsiTheme="minorEastAsia" w:eastAsiaTheme="minorEastAsia" w:cstheme="minorEastAsia"/>
                <w:color w:val="auto"/>
                <w:kern w:val="0"/>
                <w:sz w:val="24"/>
                <w:szCs w:val="24"/>
                <w:lang w:val="zh-CN"/>
              </w:rPr>
              <w:t>天水市公共资源中心</w:t>
            </w:r>
            <w:r>
              <w:rPr>
                <w:rFonts w:hint="eastAsia" w:asciiTheme="minorEastAsia" w:hAnsiTheme="minorEastAsia" w:eastAsiaTheme="minorEastAsia" w:cstheme="minorEastAsia"/>
                <w:color w:val="auto"/>
                <w:kern w:val="0"/>
                <w:sz w:val="24"/>
                <w:szCs w:val="24"/>
              </w:rPr>
              <w:t>领取中标通知书。</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zh-CN" w:eastAsia="zh-CN"/>
              </w:rPr>
            </w:pPr>
            <w:r>
              <w:rPr>
                <w:rFonts w:hint="eastAsia" w:asciiTheme="minorEastAsia" w:hAnsiTheme="minorEastAsia" w:eastAsiaTheme="minorEastAsia" w:cstheme="minorEastAsia"/>
                <w:color w:val="auto"/>
                <w:kern w:val="0"/>
                <w:sz w:val="24"/>
                <w:szCs w:val="24"/>
                <w:lang w:val="zh-CN"/>
              </w:rPr>
              <w:t>联系人：</w:t>
            </w:r>
            <w:r>
              <w:rPr>
                <w:rFonts w:hint="eastAsia" w:asciiTheme="minorEastAsia" w:hAnsiTheme="minorEastAsia" w:eastAsiaTheme="minorEastAsia" w:cstheme="minorEastAsia"/>
                <w:color w:val="auto"/>
                <w:kern w:val="0"/>
                <w:sz w:val="24"/>
                <w:szCs w:val="24"/>
                <w:lang w:val="en-US" w:eastAsia="zh-CN"/>
              </w:rPr>
              <w:t>贾常惠</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联系电话：</w:t>
            </w:r>
            <w:r>
              <w:rPr>
                <w:rFonts w:hint="eastAsia" w:asciiTheme="minorEastAsia" w:hAnsiTheme="minorEastAsia" w:eastAsiaTheme="minorEastAsia" w:cstheme="minorEastAsia"/>
                <w:color w:val="auto"/>
                <w:kern w:val="0"/>
                <w:sz w:val="24"/>
                <w:szCs w:val="24"/>
              </w:rPr>
              <w:t>0938-8330335</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kern w:val="0"/>
                <w:sz w:val="24"/>
                <w:szCs w:val="24"/>
                <w:lang w:val="zh-CN"/>
              </w:rPr>
              <w:t>地址： 天水市秦州区建设路185号。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供应商投诉</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投诉受理单位：即</w:t>
            </w:r>
            <w:r>
              <w:rPr>
                <w:rFonts w:hint="eastAsia" w:asciiTheme="minorEastAsia" w:hAnsiTheme="minorEastAsia" w:eastAsiaTheme="minorEastAsia" w:cstheme="minorEastAsia"/>
                <w:color w:val="auto"/>
                <w:kern w:val="0"/>
                <w:sz w:val="24"/>
                <w:szCs w:val="24"/>
                <w:lang w:eastAsia="zh-CN"/>
              </w:rPr>
              <w:t>天水市财政局</w:t>
            </w:r>
            <w:r>
              <w:rPr>
                <w:rFonts w:hint="eastAsia" w:asciiTheme="minorEastAsia" w:hAnsiTheme="minorEastAsia" w:eastAsiaTheme="minorEastAsia" w:cstheme="minorEastAsia"/>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21</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zh-CN"/>
              </w:rPr>
              <w:t>框架协议</w:t>
            </w:r>
            <w:r>
              <w:rPr>
                <w:rFonts w:hint="eastAsia" w:asciiTheme="minorEastAsia" w:hAnsiTheme="minorEastAsia" w:eastAsiaTheme="minorEastAsia" w:cstheme="minorEastAsia"/>
                <w:color w:val="auto"/>
                <w:kern w:val="0"/>
                <w:sz w:val="24"/>
                <w:szCs w:val="24"/>
                <w:lang w:val="en-US" w:eastAsia="zh-CN"/>
              </w:rPr>
              <w:t>采购人</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全市政机关、事业单位、团体组织。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22</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zh-CN"/>
              </w:rPr>
              <w:t>框架协议</w:t>
            </w:r>
            <w:r>
              <w:rPr>
                <w:rFonts w:hint="eastAsia" w:asciiTheme="minorEastAsia" w:hAnsiTheme="minorEastAsia" w:eastAsiaTheme="minorEastAsia" w:cstheme="minorEastAsia"/>
                <w:color w:val="auto"/>
                <w:kern w:val="0"/>
                <w:sz w:val="24"/>
                <w:szCs w:val="24"/>
                <w:lang w:val="en-US" w:eastAsia="zh-CN"/>
              </w:rPr>
              <w:t>履行范围</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天水市范围内。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23</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rPr>
              <w:t>入围产品升级换代规则</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供应商入围后，征集人不接受入围产品升级换代</w:t>
            </w:r>
            <w:r>
              <w:rPr>
                <w:rFonts w:hint="eastAsia" w:asciiTheme="minorEastAsia" w:hAnsiTheme="minorEastAsia" w:eastAsiaTheme="minorEastAsia" w:cstheme="minorEastAsia"/>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24</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公告备案</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签订之日起2个工作日内，政府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将在甘肃省政府采购网公示；政府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签订之日起</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个工作日内</w:t>
            </w:r>
            <w:r>
              <w:rPr>
                <w:rFonts w:hint="eastAsia" w:asciiTheme="minorEastAsia" w:hAnsiTheme="minorEastAsia" w:eastAsiaTheme="minorEastAsia" w:cstheme="minorEastAsia"/>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25</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相同品牌的处理方式</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采用最低评标价法的采购项目，提供相同品牌产品的不同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参加同一合同项下投标的，以其中通过资格审查、符合性审查且报价最低的参加评标；报价相同的，由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委托评标委员会按照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规定的方式确定一个参加评标的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未规定的采取随机抽取方式确定，其他投标无效。</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使用综合评分法的采购项目，提供相同品牌产品且通过资格审查、符合性审查的不同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参加同一合同项下投标的，按一家</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计算，评审后得分最高的同品牌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获得</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推荐资格；评审得分相同的，由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委托评标委员会按照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规定的方式确定一个</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获得</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推荐资格，</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未规定的采取随机抽取方式确定，其他同品牌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不作为中标候选人。</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非单一产品采购项目，</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应当根据采购项目技术构成、产品价格比重等合理确定核心产品，并在</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中载明。多家</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提供的核心产品品牌相同的，按前两款规定处理。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26</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投标供应商利害关系处理</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作为无效处理。</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两家以上的供应商不得在同一合同项下的采购项目中，同时委托同一个自然人、同一家庭的人员、同一单位的人员作为其代理人，否则，其</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27</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其他注意事项</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highlight w:val="red"/>
                <w:lang w:eastAsia="zh-CN"/>
              </w:rPr>
            </w:pPr>
            <w:r>
              <w:rPr>
                <w:rFonts w:hint="eastAsia" w:asciiTheme="minorEastAsia" w:hAnsiTheme="minorEastAsia" w:eastAsiaTheme="minorEastAsia" w:cstheme="minorEastAsia"/>
                <w:color w:val="auto"/>
                <w:sz w:val="24"/>
                <w:szCs w:val="24"/>
              </w:rPr>
              <w:t>按照《中华人民共和国政府采购法实施条例》第七十四条规定，有下列情形之一的，属于恶意串通，对供应商依照政府采购法第七十七条第一款的规定追究法律 责任，对采购人、</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及其工作人员依照政府采购法第七十二条的规定 追究法律责任：（一）供应商直接或者间接从采购人或者</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处获得其他供应商的相关 情况并修改其投标文件或者响应文件；（二）供应商按照采购人或者</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的授意撤换、修改投标文件或者响应 文件；（三）供应商之间协商报价、技术方案等投标文件或者响应文件的实质性内容；（四）属于同一集团、协会、商会等组织成员的供应商按照该组织要求协同参加 政府采购活动；（五）供应商之间事先约定由某一特定供应商中标、成交；（六）供应商之间商定部分供应商放弃参加政府采购活动或者放弃中标、成交； 供应商与采购人或者</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之间、供应商相互之间，为谋求特定供应商中 标、成交或者排斥其他供应商的其他串通行为。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28</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勘查</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本项目不组织勘查现场。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default" w:asciiTheme="minorEastAsia" w:hAnsiTheme="minorEastAsia" w:eastAsiaTheme="minorEastAsia" w:cstheme="minorEastAsia"/>
                <w:color w:val="auto"/>
                <w:kern w:val="2"/>
                <w:sz w:val="24"/>
                <w:szCs w:val="24"/>
                <w:lang w:val="en-US" w:eastAsia="zh-CN" w:bidi="ar-SA"/>
              </w:rPr>
            </w:pPr>
            <w:bookmarkStart w:id="16" w:name="_Toc24859"/>
            <w:bookmarkStart w:id="17" w:name="_Toc30731"/>
            <w:r>
              <w:rPr>
                <w:rFonts w:hint="eastAsia" w:asciiTheme="minorEastAsia" w:hAnsiTheme="minorEastAsia" w:eastAsiaTheme="minorEastAsia" w:cstheme="minorEastAsia"/>
                <w:color w:val="auto"/>
                <w:sz w:val="24"/>
                <w:szCs w:val="24"/>
                <w:lang w:val="en-US" w:eastAsia="zh-CN"/>
              </w:rPr>
              <w:t>29</w:t>
            </w:r>
          </w:p>
        </w:tc>
        <w:tc>
          <w:tcPr>
            <w:tcW w:w="1537" w:type="dxa"/>
            <w:tcBorders>
              <w:tl2br w:val="nil"/>
              <w:tr2bl w:val="nil"/>
            </w:tcBorders>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线上数字证书办理</w:t>
            </w:r>
          </w:p>
        </w:tc>
        <w:tc>
          <w:tcPr>
            <w:tcW w:w="7668" w:type="dxa"/>
            <w:tcBorders>
              <w:tl2br w:val="nil"/>
              <w:tr2bl w:val="nil"/>
            </w:tcBorders>
            <w:vAlign w:val="center"/>
          </w:tcPr>
          <w:p>
            <w:pPr>
              <w:spacing w:line="400" w:lineRule="exact"/>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lang w:val="en-US" w:eastAsia="zh-CN"/>
              </w:rPr>
              <w:t>投标单位</w:t>
            </w:r>
            <w:r>
              <w:rPr>
                <w:rFonts w:hint="eastAsia" w:asciiTheme="minorEastAsia" w:hAnsiTheme="minorEastAsia" w:eastAsiaTheme="minorEastAsia" w:cstheme="minorEastAsia"/>
                <w:color w:val="auto"/>
                <w:sz w:val="24"/>
              </w:rPr>
              <w:t>无法到达现场进行办理的，可以申请线上办理，具体联系如下：</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成兴CA证书：陆  超  18193893603   </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法正CA证书：李敏玲  18093862231</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中工CA证书：金  珠  18394248602</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文锐CA证书：武小兰  18993852885</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（四家运营单位的CA证书互联互通，办理其中一家即可。已拥有CA证书的投标企业，请留意CA证书的运行期限是否到期，若到期后请联系所办CA证书的运营单位。）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w:t>
            </w:r>
          </w:p>
        </w:tc>
        <w:tc>
          <w:tcPr>
            <w:tcW w:w="1537" w:type="dxa"/>
            <w:tcBorders>
              <w:tl2br w:val="nil"/>
              <w:tr2bl w:val="nil"/>
            </w:tcBorders>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rPr>
              <w:t>投标供应商电脑运营环境</w:t>
            </w:r>
          </w:p>
        </w:tc>
        <w:tc>
          <w:tcPr>
            <w:tcW w:w="7668" w:type="dxa"/>
            <w:tcBorders>
              <w:tl2br w:val="nil"/>
              <w:tr2bl w:val="nil"/>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请在电脑上安装windows10系统，并使用IE11浏览器。电脑要求内存4G及以上，且需配套麦克风、音箱等，并确保其均能正常运转。添加兼容性视图、可信任站点设置。</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rPr>
              <w:t>甘肃中工国际售后服务人员电话：18394218602</w:t>
            </w:r>
          </w:p>
        </w:tc>
      </w:tr>
    </w:tbl>
    <w:p>
      <w:pPr>
        <w:rPr>
          <w:rFonts w:hint="eastAsia" w:asciiTheme="minorEastAsia" w:hAnsiTheme="minorEastAsia" w:eastAsiaTheme="minorEastAsia" w:cstheme="minorEastAsia"/>
          <w:color w:val="auto"/>
        </w:rPr>
      </w:pPr>
    </w:p>
    <w:bookmarkEnd w:id="16"/>
    <w:bookmarkEnd w:id="17"/>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314" w:beforeLines="100" w:after="314" w:afterLines="100" w:line="700" w:lineRule="exact"/>
        <w:ind w:leftChars="0"/>
        <w:jc w:val="center"/>
        <w:textAlignment w:val="baseline"/>
        <w:outlineLvl w:val="0"/>
        <w:rPr>
          <w:rFonts w:hint="eastAsia" w:asciiTheme="minorEastAsia" w:hAnsiTheme="minorEastAsia" w:eastAsiaTheme="minorEastAsia" w:cstheme="minorEastAsia"/>
          <w:b/>
          <w:bCs/>
          <w:color w:val="auto"/>
          <w:sz w:val="44"/>
          <w:szCs w:val="44"/>
        </w:rPr>
      </w:pPr>
      <w:bookmarkStart w:id="18" w:name="_Toc11373"/>
      <w:bookmarkStart w:id="19" w:name="_Toc183582205"/>
      <w:bookmarkStart w:id="20" w:name="_Toc183682342"/>
      <w:bookmarkStart w:id="21" w:name="_Toc217446034"/>
      <w:bookmarkStart w:id="22" w:name="_Toc11143"/>
      <w:bookmarkStart w:id="23" w:name="_Toc8667"/>
      <w:r>
        <w:rPr>
          <w:rFonts w:hint="eastAsia" w:asciiTheme="minorEastAsia" w:hAnsiTheme="minorEastAsia" w:eastAsiaTheme="minorEastAsia" w:cstheme="minorEastAsia"/>
          <w:b/>
          <w:bCs/>
          <w:color w:val="auto"/>
          <w:sz w:val="44"/>
          <w:szCs w:val="44"/>
          <w:lang w:val="en-US" w:eastAsia="zh-CN"/>
        </w:rPr>
        <w:t>第三部分 总  则</w:t>
      </w:r>
      <w:bookmarkEnd w:id="18"/>
    </w:p>
    <w:bookmarkEnd w:id="19"/>
    <w:bookmarkEnd w:id="20"/>
    <w:p>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24" w:name="_Toc32072"/>
      <w:bookmarkStart w:id="25" w:name="_Toc15986"/>
      <w:r>
        <w:rPr>
          <w:rFonts w:hint="eastAsia" w:asciiTheme="minorEastAsia" w:hAnsiTheme="minorEastAsia" w:eastAsiaTheme="minorEastAsia" w:cstheme="minorEastAsia"/>
          <w:b w:val="0"/>
          <w:bCs/>
          <w:color w:val="auto"/>
          <w:sz w:val="24"/>
          <w:szCs w:val="24"/>
          <w:lang w:val="en-US" w:eastAsia="zh-CN"/>
        </w:rPr>
        <w:t>一、</w:t>
      </w:r>
      <w:r>
        <w:rPr>
          <w:rFonts w:hint="eastAsia" w:asciiTheme="minorEastAsia" w:hAnsiTheme="minorEastAsia" w:eastAsiaTheme="minorEastAsia" w:cstheme="minorEastAsia"/>
          <w:b w:val="0"/>
          <w:bCs/>
          <w:color w:val="auto"/>
          <w:sz w:val="24"/>
          <w:szCs w:val="24"/>
        </w:rPr>
        <w:t>适用范围</w:t>
      </w:r>
      <w:bookmarkEnd w:id="21"/>
      <w:bookmarkEnd w:id="22"/>
      <w:bookmarkEnd w:id="23"/>
      <w:bookmarkEnd w:id="24"/>
      <w:bookmarkEnd w:id="25"/>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仅适用于天水市行政事业单位2023-2024年度公务用车框架协议采购项目。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26" w:name="_Toc217446035"/>
      <w:bookmarkStart w:id="27" w:name="_Toc2850"/>
      <w:bookmarkStart w:id="28" w:name="_Toc14681"/>
      <w:bookmarkStart w:id="29" w:name="_Toc8609"/>
      <w:bookmarkStart w:id="30" w:name="_Toc2667"/>
      <w:r>
        <w:rPr>
          <w:rFonts w:hint="eastAsia" w:asciiTheme="minorEastAsia" w:hAnsiTheme="minorEastAsia" w:eastAsiaTheme="minorEastAsia" w:cstheme="minorEastAsia"/>
          <w:b w:val="0"/>
          <w:bCs/>
          <w:color w:val="auto"/>
          <w:sz w:val="24"/>
          <w:szCs w:val="24"/>
          <w:lang w:val="en-US" w:eastAsia="zh-CN"/>
        </w:rPr>
        <w:t>二、</w:t>
      </w:r>
      <w:r>
        <w:rPr>
          <w:rFonts w:hint="eastAsia" w:asciiTheme="minorEastAsia" w:hAnsiTheme="minorEastAsia" w:eastAsiaTheme="minorEastAsia" w:cstheme="minorEastAsia"/>
          <w:b w:val="0"/>
          <w:bCs/>
          <w:color w:val="auto"/>
          <w:sz w:val="24"/>
          <w:szCs w:val="24"/>
        </w:rPr>
        <w:t>有关定义</w:t>
      </w:r>
      <w:bookmarkEnd w:id="26"/>
      <w:bookmarkEnd w:id="27"/>
      <w:bookmarkEnd w:id="28"/>
      <w:bookmarkEnd w:id="29"/>
      <w:bookmarkEnd w:id="30"/>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征集人</w:t>
      </w:r>
      <w:r>
        <w:rPr>
          <w:rFonts w:hint="eastAsia" w:asciiTheme="minorEastAsia" w:hAnsiTheme="minorEastAsia" w:eastAsiaTheme="minorEastAsia" w:cstheme="minorEastAsia"/>
          <w:color w:val="auto"/>
          <w:sz w:val="24"/>
          <w:szCs w:val="24"/>
        </w:rPr>
        <w:t>”指依法进行政府采购的国家机关、事业单位、团体组织。本次</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人是</w:t>
      </w:r>
      <w:r>
        <w:rPr>
          <w:rFonts w:hint="eastAsia" w:asciiTheme="minorEastAsia" w:hAnsiTheme="minorEastAsia" w:eastAsiaTheme="minorEastAsia" w:cstheme="minorEastAsia"/>
          <w:color w:val="auto"/>
          <w:sz w:val="24"/>
          <w:szCs w:val="24"/>
          <w:lang w:eastAsia="zh-CN"/>
        </w:rPr>
        <w:t>天水市财政局</w:t>
      </w:r>
      <w:r>
        <w:rPr>
          <w:rFonts w:hint="eastAsia" w:asciiTheme="minorEastAsia" w:hAnsiTheme="minorEastAsia" w:eastAsiaTheme="minorEastAsia" w:cstheme="minorEastAsia"/>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“集采机构”指根据</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人的委托依法办理</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事宜的采购机构。本次</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的集采机构是天水市公共资源交易中心。</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采购单位”指“</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人”和“集采机构”的统称。</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”是指下载了</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拟参加</w:t>
      </w:r>
      <w:r>
        <w:rPr>
          <w:rFonts w:hint="eastAsia" w:asciiTheme="minorEastAsia" w:hAnsiTheme="minorEastAsia" w:eastAsiaTheme="minorEastAsia" w:cstheme="minorEastAsia"/>
          <w:color w:val="auto"/>
          <w:sz w:val="24"/>
          <w:szCs w:val="24"/>
          <w:lang w:val="en-US" w:eastAsia="zh-CN"/>
        </w:rPr>
        <w:t>框架协议征集项目</w:t>
      </w:r>
      <w:r>
        <w:rPr>
          <w:rFonts w:hint="eastAsia" w:asciiTheme="minorEastAsia" w:hAnsiTheme="minorEastAsia" w:eastAsiaTheme="minorEastAsia" w:cstheme="minorEastAsia"/>
          <w:color w:val="auto"/>
          <w:sz w:val="24"/>
          <w:szCs w:val="24"/>
        </w:rPr>
        <w:t>，以</w:t>
      </w:r>
      <w:r>
        <w:rPr>
          <w:rFonts w:hint="eastAsia" w:asciiTheme="minorEastAsia" w:hAnsiTheme="minorEastAsia" w:eastAsiaTheme="minorEastAsia" w:cstheme="minorEastAsia"/>
          <w:color w:val="auto"/>
          <w:sz w:val="24"/>
          <w:szCs w:val="24"/>
          <w:lang w:val="en-US" w:eastAsia="zh-CN"/>
        </w:rPr>
        <w:t>入围</w:t>
      </w:r>
      <w:r>
        <w:rPr>
          <w:rFonts w:hint="eastAsia" w:asciiTheme="minorEastAsia" w:hAnsiTheme="minorEastAsia" w:eastAsiaTheme="minorEastAsia" w:cstheme="minorEastAsia"/>
          <w:color w:val="auto"/>
          <w:sz w:val="24"/>
          <w:szCs w:val="24"/>
        </w:rPr>
        <w:t>为目的响应</w:t>
      </w:r>
      <w:r>
        <w:rPr>
          <w:rFonts w:hint="eastAsia" w:asciiTheme="minorEastAsia" w:hAnsiTheme="minorEastAsia" w:eastAsiaTheme="minorEastAsia" w:cstheme="minorEastAsia"/>
          <w:color w:val="auto"/>
          <w:sz w:val="24"/>
          <w:szCs w:val="24"/>
          <w:lang w:val="en-US" w:eastAsia="zh-CN"/>
        </w:rPr>
        <w:t>框架协议征集</w:t>
      </w:r>
      <w:r>
        <w:rPr>
          <w:rFonts w:hint="eastAsia" w:asciiTheme="minorEastAsia" w:hAnsiTheme="minorEastAsia" w:eastAsiaTheme="minorEastAsia" w:cstheme="minorEastAsia"/>
          <w:color w:val="auto"/>
          <w:sz w:val="24"/>
          <w:szCs w:val="24"/>
        </w:rPr>
        <w:t>参与竞争的法人或其他组织,并向集采机构提交电子</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的供应商。</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rPr>
        <w:t>“征集文件”是指由征集人发出的征集文本、文件，包括全部章节和附件及其他</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“征集响应文件”是指供应商根据本征集文件向征集人提交的全部文件。</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“框架协议档案”是指包括采购活动记录、采购预算、征集文件、</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、评标标准、评标报告、定标文件、合同文本、验收证明、质疑答复、投诉处理决定及其他有关文件、资料。</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货物</w:t>
      </w:r>
      <w:r>
        <w:rPr>
          <w:rFonts w:hint="eastAsia" w:asciiTheme="minorEastAsia" w:hAnsiTheme="minorEastAsia" w:eastAsiaTheme="minorEastAsia" w:cstheme="minorEastAsia"/>
          <w:color w:val="auto"/>
          <w:sz w:val="24"/>
          <w:szCs w:val="24"/>
        </w:rPr>
        <w:t>”是指供应商中标后根据征集文件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征集响应文件</w:t>
      </w:r>
      <w:r>
        <w:rPr>
          <w:rFonts w:hint="eastAsia" w:asciiTheme="minorEastAsia" w:hAnsiTheme="minorEastAsia" w:eastAsiaTheme="minorEastAsia" w:cstheme="minorEastAsia"/>
          <w:color w:val="auto"/>
          <w:sz w:val="24"/>
          <w:szCs w:val="24"/>
        </w:rPr>
        <w:t>和合同的规定</w:t>
      </w:r>
      <w:r>
        <w:rPr>
          <w:rFonts w:hint="eastAsia" w:asciiTheme="minorEastAsia" w:hAnsiTheme="minorEastAsia" w:eastAsiaTheme="minorEastAsia" w:cstheme="minorEastAsia"/>
          <w:color w:val="auto"/>
          <w:sz w:val="24"/>
          <w:szCs w:val="24"/>
          <w:lang w:val="en-US" w:eastAsia="zh-CN"/>
        </w:rPr>
        <w:t>提供的货物</w:t>
      </w:r>
      <w:r>
        <w:rPr>
          <w:rFonts w:hint="eastAsia" w:asciiTheme="minorEastAsia" w:hAnsiTheme="minorEastAsia" w:eastAsiaTheme="minorEastAsia" w:cstheme="minorEastAsia"/>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九</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“服务”是指供应商中标后根据征集文件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征集响应文件</w:t>
      </w:r>
      <w:r>
        <w:rPr>
          <w:rFonts w:hint="eastAsia" w:asciiTheme="minorEastAsia" w:hAnsiTheme="minorEastAsia" w:eastAsiaTheme="minorEastAsia" w:cstheme="minorEastAsia"/>
          <w:color w:val="auto"/>
          <w:sz w:val="24"/>
          <w:szCs w:val="24"/>
        </w:rPr>
        <w:t>和合同的规定承担的服务，包括</w:t>
      </w:r>
      <w:r>
        <w:rPr>
          <w:rFonts w:hint="eastAsia" w:asciiTheme="minorEastAsia" w:hAnsiTheme="minorEastAsia" w:eastAsiaTheme="minorEastAsia" w:cstheme="minorEastAsia"/>
          <w:color w:val="auto"/>
          <w:sz w:val="24"/>
          <w:szCs w:val="24"/>
          <w:lang w:val="en-US" w:eastAsia="zh-CN"/>
        </w:rPr>
        <w:t>产品伴随</w:t>
      </w:r>
      <w:r>
        <w:rPr>
          <w:rFonts w:hint="eastAsia" w:asciiTheme="minorEastAsia" w:hAnsiTheme="minorEastAsia" w:eastAsiaTheme="minorEastAsia" w:cstheme="minorEastAsia"/>
          <w:color w:val="auto"/>
          <w:sz w:val="24"/>
          <w:szCs w:val="24"/>
        </w:rPr>
        <w:t>服务和其它应承担的义务</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十</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“书面形式”是指任何手写、打印或印刷的各种函件，不包括电传、电报、传真、电子邮件。相关补充材料和相关变更内容。</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1"/>
        <w:rPr>
          <w:rFonts w:hint="eastAsia" w:asciiTheme="minorEastAsia" w:hAnsiTheme="minorEastAsia" w:eastAsiaTheme="minorEastAsia" w:cstheme="minorEastAsia"/>
          <w:b w:val="0"/>
          <w:bCs w:val="0"/>
          <w:color w:val="auto"/>
          <w:sz w:val="24"/>
          <w:szCs w:val="24"/>
        </w:rPr>
      </w:pPr>
      <w:bookmarkStart w:id="31" w:name="_Toc9772"/>
      <w:bookmarkStart w:id="32" w:name="_Toc17172"/>
      <w:r>
        <w:rPr>
          <w:rFonts w:hint="eastAsia" w:asciiTheme="minorEastAsia" w:hAnsiTheme="minorEastAsia" w:eastAsiaTheme="minorEastAsia" w:cstheme="minorEastAsia"/>
          <w:b w:val="0"/>
          <w:bCs w:val="0"/>
          <w:color w:val="auto"/>
          <w:sz w:val="24"/>
          <w:szCs w:val="24"/>
          <w:lang w:val="en-US" w:eastAsia="zh-CN"/>
        </w:rPr>
        <w:t>三、征集文件</w:t>
      </w:r>
      <w:bookmarkEnd w:id="31"/>
      <w:bookmarkEnd w:id="32"/>
      <w:r>
        <w:rPr>
          <w:rFonts w:hint="eastAsia" w:asciiTheme="minorEastAsia" w:hAnsiTheme="minorEastAsia" w:eastAsiaTheme="minorEastAsia" w:cstheme="minorEastAsia"/>
          <w:b w:val="0"/>
          <w:bCs w:val="0"/>
          <w:color w:val="auto"/>
          <w:sz w:val="24"/>
          <w:szCs w:val="24"/>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综合说明</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color w:val="auto"/>
          <w:sz w:val="24"/>
          <w:szCs w:val="24"/>
        </w:rPr>
        <w:t>本项目按照《中华人民共和国政府采购法》、《政府采购框架协议采购方式管理暂行办法》及相关法规，已办理行业主管部门</w:t>
      </w:r>
      <w:r>
        <w:rPr>
          <w:rFonts w:hint="eastAsia" w:asciiTheme="minorEastAsia" w:hAnsiTheme="minorEastAsia" w:eastAsiaTheme="minorEastAsia" w:cstheme="minorEastAsia"/>
          <w:color w:val="auto"/>
          <w:sz w:val="24"/>
          <w:szCs w:val="24"/>
          <w:lang w:val="en-US" w:eastAsia="zh-CN"/>
        </w:rPr>
        <w:t>采购计划备案</w:t>
      </w:r>
      <w:r>
        <w:rPr>
          <w:rFonts w:hint="eastAsia" w:asciiTheme="minorEastAsia" w:hAnsiTheme="minorEastAsia" w:eastAsiaTheme="minorEastAsia" w:cstheme="minorEastAsia"/>
          <w:color w:val="auto"/>
          <w:sz w:val="24"/>
          <w:szCs w:val="24"/>
        </w:rPr>
        <w:t>，现通过</w:t>
      </w:r>
      <w:r>
        <w:rPr>
          <w:rFonts w:hint="eastAsia" w:asciiTheme="minorEastAsia" w:hAnsiTheme="minorEastAsia" w:eastAsiaTheme="minorEastAsia" w:cstheme="minorEastAsia"/>
          <w:color w:val="auto"/>
          <w:sz w:val="24"/>
          <w:szCs w:val="24"/>
          <w:lang w:val="en-US" w:eastAsia="zh-CN"/>
        </w:rPr>
        <w:t>框架协议</w:t>
      </w:r>
      <w:r>
        <w:rPr>
          <w:rFonts w:hint="eastAsia" w:asciiTheme="minorEastAsia" w:hAnsiTheme="minorEastAsia" w:eastAsiaTheme="minorEastAsia" w:cstheme="minorEastAsia"/>
          <w:color w:val="auto"/>
          <w:sz w:val="24"/>
          <w:szCs w:val="24"/>
        </w:rPr>
        <w:t>来择优选定</w:t>
      </w:r>
      <w:r>
        <w:rPr>
          <w:rFonts w:hint="eastAsia" w:asciiTheme="minorEastAsia" w:hAnsiTheme="minorEastAsia" w:eastAsiaTheme="minorEastAsia" w:cstheme="minorEastAsia"/>
          <w:color w:val="auto"/>
          <w:sz w:val="24"/>
          <w:szCs w:val="24"/>
          <w:lang w:val="en-US" w:eastAsia="zh-CN"/>
        </w:rPr>
        <w:t>入围</w:t>
      </w:r>
      <w:r>
        <w:rPr>
          <w:rFonts w:hint="eastAsia" w:asciiTheme="minorEastAsia" w:hAnsiTheme="minorEastAsia" w:eastAsiaTheme="minorEastAsia" w:cstheme="minorEastAsia"/>
          <w:color w:val="auto"/>
          <w:sz w:val="24"/>
          <w:szCs w:val="24"/>
        </w:rPr>
        <w:t>供货商。本征集文件包括本文所列内容及按本须知发出的全部和补充资料。</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应认真阅读和充分理解本征集文件中所有的事项、格式、条款、技术规范等实质性的条件和要求。</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被视为充分熟悉本招标项目的全部内容及与履行合同有 关的全部内容，熟悉征集文件的格式、条件和范围。</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没有按照征集文件的要求提交相关资料，或者</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没有对征集文件相关内容都做出实质性响应是</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的风险，并可能导致其投标无效,其风险自行承担。</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二</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征集公告时间</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按照《政府采购信息公告管理办法》中华人民共和国财政部令第19 号第三章第十八条在各政府采购信息指定发布媒体上公告同一政府采购信息的时间不一致的，以在财政部指定的政府采购信息发布媒体上最早公告信息的时间为公告时间和政府采购当事人对有关事项应当知道的时间</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lang w:eastAsia="zh-CN"/>
        </w:rPr>
        <w:t>征集文件</w:t>
      </w:r>
      <w:r>
        <w:rPr>
          <w:rFonts w:hint="eastAsia" w:asciiTheme="minorEastAsia" w:hAnsiTheme="minorEastAsia" w:eastAsiaTheme="minorEastAsia" w:cstheme="minorEastAsia"/>
          <w:b/>
          <w:bCs/>
          <w:color w:val="auto"/>
          <w:sz w:val="24"/>
          <w:szCs w:val="24"/>
        </w:rPr>
        <w:t>构成</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征集文件用以阐明</w:t>
      </w:r>
      <w:r>
        <w:rPr>
          <w:rFonts w:hint="eastAsia" w:asciiTheme="minorEastAsia" w:hAnsiTheme="minorEastAsia" w:eastAsiaTheme="minorEastAsia" w:cstheme="minorEastAsia"/>
          <w:bCs/>
          <w:color w:val="auto"/>
          <w:sz w:val="24"/>
          <w:szCs w:val="24"/>
          <w:lang w:val="en-US" w:eastAsia="zh-CN"/>
        </w:rPr>
        <w:t>本</w:t>
      </w:r>
      <w:r>
        <w:rPr>
          <w:rFonts w:hint="eastAsia" w:asciiTheme="minorEastAsia" w:hAnsiTheme="minorEastAsia" w:eastAsiaTheme="minorEastAsia" w:cstheme="minorEastAsia"/>
          <w:bCs/>
          <w:color w:val="auto"/>
          <w:sz w:val="24"/>
          <w:szCs w:val="24"/>
          <w:lang w:eastAsia="zh-CN"/>
        </w:rPr>
        <w:t>框架协议</w:t>
      </w:r>
      <w:r>
        <w:rPr>
          <w:rFonts w:hint="eastAsia" w:asciiTheme="minorEastAsia" w:hAnsiTheme="minorEastAsia" w:eastAsiaTheme="minorEastAsia" w:cstheme="minorEastAsia"/>
          <w:bCs/>
          <w:color w:val="auto"/>
          <w:sz w:val="24"/>
          <w:szCs w:val="24"/>
          <w:lang w:val="en-US" w:eastAsia="zh-CN"/>
        </w:rPr>
        <w:t>采购</w:t>
      </w:r>
      <w:r>
        <w:rPr>
          <w:rFonts w:hint="eastAsia" w:asciiTheme="minorEastAsia" w:hAnsiTheme="minorEastAsia" w:eastAsiaTheme="minorEastAsia" w:cstheme="minorEastAsia"/>
          <w:bCs/>
          <w:color w:val="auto"/>
          <w:sz w:val="24"/>
          <w:szCs w:val="24"/>
        </w:rPr>
        <w:t>项目所需的资质、</w:t>
      </w:r>
      <w:r>
        <w:rPr>
          <w:rFonts w:hint="eastAsia" w:asciiTheme="minorEastAsia" w:hAnsiTheme="minorEastAsia" w:eastAsiaTheme="minorEastAsia" w:cstheme="minorEastAsia"/>
          <w:bCs/>
          <w:color w:val="auto"/>
          <w:sz w:val="24"/>
          <w:szCs w:val="24"/>
          <w:lang w:val="en-US" w:eastAsia="zh-CN"/>
        </w:rPr>
        <w:t>产品、</w:t>
      </w:r>
      <w:r>
        <w:rPr>
          <w:rFonts w:hint="eastAsia" w:asciiTheme="minorEastAsia" w:hAnsiTheme="minorEastAsia" w:eastAsiaTheme="minorEastAsia" w:cstheme="minorEastAsia"/>
          <w:bCs/>
          <w:color w:val="auto"/>
          <w:sz w:val="24"/>
          <w:szCs w:val="24"/>
        </w:rPr>
        <w:t>技术、服务及报价等要求、</w:t>
      </w:r>
      <w:r>
        <w:rPr>
          <w:rFonts w:hint="eastAsia" w:asciiTheme="minorEastAsia" w:hAnsiTheme="minorEastAsia" w:eastAsiaTheme="minorEastAsia" w:cstheme="minorEastAsia"/>
          <w:bCs/>
          <w:color w:val="auto"/>
          <w:sz w:val="24"/>
          <w:szCs w:val="24"/>
          <w:lang w:eastAsia="zh-CN"/>
        </w:rPr>
        <w:t>框架协议</w:t>
      </w:r>
      <w:r>
        <w:rPr>
          <w:rFonts w:hint="eastAsia" w:asciiTheme="minorEastAsia" w:hAnsiTheme="minorEastAsia" w:eastAsiaTheme="minorEastAsia" w:cstheme="minorEastAsia"/>
          <w:bCs/>
          <w:color w:val="auto"/>
          <w:sz w:val="24"/>
          <w:szCs w:val="24"/>
        </w:rPr>
        <w:t>投标程序、有关规定和注意事项以及合同主要条款等。本征集文件包括以下内容：</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（1）征集公告</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（2）供应商须知表</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（3）总则</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（4）征集内容</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（5）评标办法</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（6）框架协议合同范本</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（7）征集响应文件格式</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（8）需要落实的政府采购政策文件</w:t>
      </w:r>
      <w:r>
        <w:rPr>
          <w:rFonts w:hint="eastAsia" w:asciiTheme="minorEastAsia" w:hAnsiTheme="minorEastAsia" w:eastAsiaTheme="minorEastAsia" w:cstheme="minorEastAsia"/>
          <w:bCs/>
          <w:color w:val="auto"/>
          <w:sz w:val="24"/>
          <w:szCs w:val="24"/>
          <w:lang w:val="en-US" w:eastAsia="zh-CN"/>
        </w:rPr>
        <w:t>等。</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482" w:firstLineChars="200"/>
        <w:jc w:val="both"/>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lang w:eastAsia="zh-CN"/>
        </w:rPr>
        <w:t>）</w:t>
      </w:r>
      <w:bookmarkStart w:id="33" w:name="_Toc1038"/>
      <w:bookmarkStart w:id="34" w:name="_Toc11730"/>
      <w:bookmarkStart w:id="35" w:name="_Toc2928"/>
      <w:r>
        <w:rPr>
          <w:rFonts w:hint="eastAsia" w:asciiTheme="minorEastAsia" w:hAnsiTheme="minorEastAsia" w:eastAsiaTheme="minorEastAsia" w:cstheme="minorEastAsia"/>
          <w:b/>
          <w:bCs/>
          <w:color w:val="auto"/>
          <w:sz w:val="24"/>
          <w:szCs w:val="24"/>
        </w:rPr>
        <w:t>项目概况及</w:t>
      </w:r>
      <w:r>
        <w:rPr>
          <w:rFonts w:hint="eastAsia" w:asciiTheme="minorEastAsia" w:hAnsiTheme="minorEastAsia" w:eastAsiaTheme="minorEastAsia" w:cstheme="minorEastAsia"/>
          <w:b/>
          <w:bCs/>
          <w:color w:val="auto"/>
          <w:sz w:val="24"/>
          <w:szCs w:val="24"/>
          <w:lang w:eastAsia="zh-CN"/>
        </w:rPr>
        <w:t>供应商</w:t>
      </w:r>
      <w:r>
        <w:rPr>
          <w:rFonts w:hint="eastAsia" w:asciiTheme="minorEastAsia" w:hAnsiTheme="minorEastAsia" w:eastAsiaTheme="minorEastAsia" w:cstheme="minorEastAsia"/>
          <w:b/>
          <w:bCs/>
          <w:color w:val="auto"/>
          <w:sz w:val="24"/>
          <w:szCs w:val="24"/>
        </w:rPr>
        <w:t>资格要求</w:t>
      </w:r>
      <w:bookmarkEnd w:id="33"/>
      <w:bookmarkEnd w:id="34"/>
      <w:bookmarkEnd w:id="35"/>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textAlignment w:val="baseline"/>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项目</w:t>
      </w:r>
      <w:r>
        <w:rPr>
          <w:rFonts w:hint="eastAsia" w:asciiTheme="minorEastAsia" w:hAnsiTheme="minorEastAsia" w:eastAsiaTheme="minorEastAsia" w:cstheme="minorEastAsia"/>
          <w:b w:val="0"/>
          <w:bCs/>
          <w:color w:val="auto"/>
          <w:sz w:val="24"/>
          <w:szCs w:val="24"/>
          <w:lang w:val="en-US" w:eastAsia="zh-CN"/>
        </w:rPr>
        <w:t>概况</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详见征集文件第四部分采购需求。</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eastAsia="zh-CN"/>
        </w:rPr>
        <w:t>供应商</w:t>
      </w:r>
      <w:r>
        <w:rPr>
          <w:rFonts w:hint="eastAsia" w:asciiTheme="minorEastAsia" w:hAnsiTheme="minorEastAsia" w:eastAsiaTheme="minorEastAsia" w:cstheme="minorEastAsia"/>
          <w:b w:val="0"/>
          <w:bCs/>
          <w:color w:val="auto"/>
          <w:sz w:val="24"/>
          <w:szCs w:val="24"/>
          <w:highlight w:val="none"/>
        </w:rPr>
        <w:t>资格要求</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详见征集文件第二部分投标须知表。</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需要落实的政府采购政策</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详见征集文件第二部分投标须知表。</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2" w:firstLineChars="200"/>
        <w:jc w:val="both"/>
        <w:textAlignment w:val="baseline"/>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征集文件的</w:t>
      </w:r>
      <w:r>
        <w:rPr>
          <w:rFonts w:hint="eastAsia" w:asciiTheme="minorEastAsia" w:hAnsiTheme="minorEastAsia" w:eastAsiaTheme="minorEastAsia" w:cstheme="minorEastAsia"/>
          <w:b/>
          <w:bCs/>
          <w:color w:val="auto"/>
          <w:sz w:val="24"/>
          <w:szCs w:val="24"/>
          <w:lang w:val="en-US" w:eastAsia="zh-CN"/>
        </w:rPr>
        <w:t>澄清</w:t>
      </w:r>
      <w:r>
        <w:rPr>
          <w:rFonts w:hint="eastAsia" w:asciiTheme="minorEastAsia" w:hAnsiTheme="minorEastAsia" w:eastAsiaTheme="minorEastAsia" w:cstheme="minorEastAsia"/>
          <w:b/>
          <w:bCs/>
          <w:color w:val="auto"/>
          <w:sz w:val="24"/>
          <w:szCs w:val="24"/>
        </w:rPr>
        <w:t>与修改</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投标截止日期</w:t>
      </w:r>
      <w:r>
        <w:rPr>
          <w:rFonts w:hint="eastAsia" w:asciiTheme="minorEastAsia" w:hAnsiTheme="minorEastAsia" w:eastAsiaTheme="minorEastAsia" w:cstheme="minorEastAsia"/>
          <w:color w:val="auto"/>
          <w:spacing w:val="-61"/>
          <w:sz w:val="24"/>
          <w:szCs w:val="24"/>
        </w:rPr>
        <w:t xml:space="preserve"> </w:t>
      </w: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天前，无论出于何种原因，</w:t>
      </w:r>
      <w:r>
        <w:rPr>
          <w:rFonts w:hint="eastAsia" w:asciiTheme="minorEastAsia" w:hAnsiTheme="minorEastAsia" w:eastAsiaTheme="minorEastAsia" w:cstheme="minorEastAsia"/>
          <w:color w:val="auto"/>
          <w:sz w:val="24"/>
          <w:szCs w:val="24"/>
          <w:lang w:val="en-US" w:eastAsia="zh-CN"/>
        </w:rPr>
        <w:t>框</w:t>
      </w:r>
      <w:r>
        <w:rPr>
          <w:rFonts w:hint="eastAsia" w:asciiTheme="minorEastAsia" w:hAnsiTheme="minorEastAsia" w:eastAsiaTheme="minorEastAsia" w:cstheme="minorEastAsia"/>
          <w:bCs/>
          <w:color w:val="auto"/>
          <w:sz w:val="24"/>
          <w:szCs w:val="24"/>
          <w:lang w:eastAsia="zh-CN"/>
        </w:rPr>
        <w:t>架协议</w:t>
      </w:r>
      <w:r>
        <w:rPr>
          <w:rFonts w:hint="eastAsia" w:asciiTheme="minorEastAsia" w:hAnsiTheme="minorEastAsia" w:eastAsiaTheme="minorEastAsia" w:cstheme="minorEastAsia"/>
          <w:bCs/>
          <w:color w:val="auto"/>
          <w:sz w:val="24"/>
          <w:szCs w:val="24"/>
        </w:rPr>
        <w:t>采购单位</w:t>
      </w:r>
      <w:r>
        <w:rPr>
          <w:rFonts w:hint="eastAsia" w:asciiTheme="minorEastAsia" w:hAnsiTheme="minorEastAsia" w:eastAsiaTheme="minorEastAsia" w:cstheme="minorEastAsia"/>
          <w:color w:val="auto"/>
          <w:sz w:val="24"/>
          <w:szCs w:val="24"/>
        </w:rPr>
        <w:t>可</w:t>
      </w:r>
      <w:r>
        <w:rPr>
          <w:rFonts w:hint="eastAsia" w:asciiTheme="minorEastAsia" w:hAnsiTheme="minorEastAsia" w:eastAsiaTheme="minorEastAsia" w:cstheme="minorEastAsia"/>
          <w:color w:val="auto"/>
          <w:sz w:val="24"/>
          <w:szCs w:val="24"/>
          <w:lang w:val="en-US" w:eastAsia="zh-CN"/>
        </w:rPr>
        <w:t>以</w:t>
      </w:r>
      <w:r>
        <w:rPr>
          <w:rFonts w:hint="eastAsia" w:asciiTheme="minorEastAsia" w:hAnsiTheme="minorEastAsia" w:eastAsiaTheme="minorEastAsia" w:cstheme="minorEastAsia"/>
          <w:color w:val="auto"/>
          <w:sz w:val="24"/>
          <w:szCs w:val="24"/>
        </w:rPr>
        <w:t>主动或在解答</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提出的问题时对征集文件进行修改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Cs/>
          <w:color w:val="auto"/>
          <w:sz w:val="24"/>
          <w:szCs w:val="24"/>
        </w:rPr>
        <w:t>澄清或者修改的内容为</w:t>
      </w:r>
      <w:r>
        <w:rPr>
          <w:rFonts w:hint="eastAsia" w:asciiTheme="minorEastAsia" w:hAnsiTheme="minorEastAsia" w:eastAsiaTheme="minorEastAsia" w:cstheme="minorEastAsia"/>
          <w:bCs/>
          <w:color w:val="auto"/>
          <w:sz w:val="24"/>
          <w:szCs w:val="24"/>
          <w:lang w:eastAsia="zh-CN"/>
        </w:rPr>
        <w:t>征集文件</w:t>
      </w:r>
      <w:r>
        <w:rPr>
          <w:rFonts w:hint="eastAsia" w:asciiTheme="minorEastAsia" w:hAnsiTheme="minorEastAsia" w:eastAsiaTheme="minorEastAsia" w:cstheme="minorEastAsia"/>
          <w:bCs/>
          <w:color w:val="auto"/>
          <w:sz w:val="24"/>
          <w:szCs w:val="24"/>
        </w:rPr>
        <w:t>的组成部分。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框</w:t>
      </w:r>
      <w:r>
        <w:rPr>
          <w:rFonts w:hint="eastAsia" w:asciiTheme="minorEastAsia" w:hAnsiTheme="minorEastAsia" w:eastAsiaTheme="minorEastAsia" w:cstheme="minorEastAsia"/>
          <w:bCs/>
          <w:color w:val="auto"/>
          <w:sz w:val="24"/>
          <w:szCs w:val="24"/>
          <w:lang w:eastAsia="zh-CN"/>
        </w:rPr>
        <w:t>架协议</w:t>
      </w:r>
      <w:r>
        <w:rPr>
          <w:rFonts w:hint="eastAsia" w:asciiTheme="minorEastAsia" w:hAnsiTheme="minorEastAsia" w:eastAsiaTheme="minorEastAsia" w:cstheme="minorEastAsia"/>
          <w:bCs/>
          <w:color w:val="auto"/>
          <w:sz w:val="24"/>
          <w:szCs w:val="24"/>
        </w:rPr>
        <w:t>采购单位</w:t>
      </w:r>
      <w:r>
        <w:rPr>
          <w:rFonts w:hint="eastAsia" w:asciiTheme="minorEastAsia" w:hAnsiTheme="minorEastAsia" w:eastAsiaTheme="minorEastAsia" w:cstheme="minorEastAsia"/>
          <w:bCs/>
          <w:color w:val="auto"/>
          <w:sz w:val="24"/>
          <w:szCs w:val="24"/>
          <w:lang w:val="en-US" w:eastAsia="zh-CN"/>
        </w:rPr>
        <w:t>可以</w:t>
      </w:r>
      <w:r>
        <w:rPr>
          <w:rFonts w:hint="eastAsia" w:asciiTheme="minorEastAsia" w:hAnsiTheme="minorEastAsia" w:eastAsiaTheme="minorEastAsia" w:cstheme="minorEastAsia"/>
          <w:color w:val="auto"/>
          <w:sz w:val="24"/>
          <w:szCs w:val="24"/>
        </w:rPr>
        <w:t>对已发出的征集文件进行澄清或者修改，</w:t>
      </w:r>
      <w:r>
        <w:rPr>
          <w:rFonts w:hint="eastAsia" w:asciiTheme="minorEastAsia" w:hAnsiTheme="minorEastAsia" w:eastAsiaTheme="minorEastAsia" w:cstheme="minorEastAsia"/>
          <w:bCs/>
          <w:color w:val="auto"/>
          <w:sz w:val="24"/>
          <w:szCs w:val="24"/>
        </w:rPr>
        <w:t>澄清或者修改的内容可能影响</w:t>
      </w:r>
      <w:r>
        <w:rPr>
          <w:rFonts w:hint="eastAsia" w:asciiTheme="minorEastAsia" w:hAnsiTheme="minorEastAsia" w:eastAsiaTheme="minorEastAsia" w:cstheme="minorEastAsia"/>
          <w:bCs/>
          <w:color w:val="auto"/>
          <w:sz w:val="24"/>
          <w:szCs w:val="24"/>
          <w:lang w:eastAsia="zh-CN"/>
        </w:rPr>
        <w:t>征集响应文件</w:t>
      </w:r>
      <w:r>
        <w:rPr>
          <w:rFonts w:hint="eastAsia" w:asciiTheme="minorEastAsia" w:hAnsiTheme="minorEastAsia" w:eastAsiaTheme="minorEastAsia" w:cstheme="minorEastAsia"/>
          <w:bCs/>
          <w:color w:val="auto"/>
          <w:sz w:val="24"/>
          <w:szCs w:val="24"/>
        </w:rPr>
        <w:t>编制的，</w:t>
      </w:r>
      <w:r>
        <w:rPr>
          <w:rFonts w:hint="eastAsia" w:asciiTheme="minorEastAsia" w:hAnsiTheme="minorEastAsia" w:eastAsiaTheme="minorEastAsia" w:cstheme="minorEastAsia"/>
          <w:bCs/>
          <w:color w:val="auto"/>
          <w:sz w:val="24"/>
          <w:szCs w:val="24"/>
          <w:lang w:eastAsia="zh-CN"/>
        </w:rPr>
        <w:t>框架协议</w:t>
      </w:r>
      <w:r>
        <w:rPr>
          <w:rFonts w:hint="eastAsia" w:asciiTheme="minorEastAsia" w:hAnsiTheme="minorEastAsia" w:eastAsiaTheme="minorEastAsia" w:cstheme="minorEastAsia"/>
          <w:bCs/>
          <w:color w:val="auto"/>
          <w:sz w:val="24"/>
          <w:szCs w:val="24"/>
        </w:rPr>
        <w:t>采购单位</w:t>
      </w:r>
      <w:r>
        <w:rPr>
          <w:rFonts w:hint="eastAsia" w:asciiTheme="minorEastAsia" w:hAnsiTheme="minorEastAsia" w:eastAsiaTheme="minorEastAsia" w:cstheme="minorEastAsia"/>
          <w:color w:val="auto"/>
          <w:sz w:val="24"/>
          <w:szCs w:val="24"/>
        </w:rPr>
        <w:t>将在征集文件要求的提交</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截止时间15</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z w:val="24"/>
          <w:szCs w:val="24"/>
        </w:rPr>
        <w:t>日前进行，并以书面形式将澄清或者修改的内容通知所有购买了征集文件的供应商；不足15日的，</w:t>
      </w:r>
      <w:r>
        <w:rPr>
          <w:rFonts w:hint="eastAsia" w:asciiTheme="minorEastAsia" w:hAnsiTheme="minorEastAsia" w:eastAsiaTheme="minorEastAsia" w:cstheme="minorEastAsia"/>
          <w:color w:val="auto"/>
          <w:sz w:val="24"/>
          <w:szCs w:val="24"/>
          <w:lang w:eastAsia="zh-CN"/>
        </w:rPr>
        <w:t>框架协议采购单位</w:t>
      </w:r>
      <w:r>
        <w:rPr>
          <w:rFonts w:hint="eastAsia" w:asciiTheme="minorEastAsia" w:hAnsiTheme="minorEastAsia" w:eastAsiaTheme="minorEastAsia" w:cstheme="minorEastAsia"/>
          <w:color w:val="auto"/>
          <w:sz w:val="24"/>
          <w:szCs w:val="24"/>
        </w:rPr>
        <w:t>应当顺延提交</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的截止时间，</w:t>
      </w:r>
      <w:r>
        <w:rPr>
          <w:rFonts w:hint="eastAsia" w:asciiTheme="minorEastAsia" w:hAnsiTheme="minorEastAsia" w:eastAsiaTheme="minorEastAsia" w:cstheme="minorEastAsia"/>
          <w:bCs/>
          <w:color w:val="auto"/>
          <w:sz w:val="24"/>
          <w:szCs w:val="24"/>
        </w:rPr>
        <w:t>同时</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在天水市公共资源交易中心网站和甘肃政府采购网发布更正公告。</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在被告知、收到上述公告、通知或答疑书后，应立即</w:t>
      </w:r>
      <w:r>
        <w:rPr>
          <w:rFonts w:hint="eastAsia" w:asciiTheme="minorEastAsia" w:hAnsiTheme="minorEastAsia" w:eastAsiaTheme="minorEastAsia" w:cstheme="minorEastAsia"/>
          <w:bCs/>
          <w:color w:val="auto"/>
          <w:sz w:val="24"/>
          <w:szCs w:val="24"/>
        </w:rPr>
        <w:t>以信函、传真、电子邮件形式</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回函确认。未确认情况应当视为对征集文件修改的知晓，也将视为对修改内容接受的默认。对于未在</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响应文</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z w:val="24"/>
          <w:szCs w:val="24"/>
        </w:rPr>
        <w:t xml:space="preserve">件中对修改内容做实质性响应的，对其产生的不利因素由未确认者自行承担。 </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Cs/>
          <w:color w:val="auto"/>
          <w:sz w:val="24"/>
          <w:szCs w:val="24"/>
        </w:rPr>
        <w:t>任何要求对</w:t>
      </w:r>
      <w:r>
        <w:rPr>
          <w:rFonts w:hint="eastAsia" w:asciiTheme="minorEastAsia" w:hAnsiTheme="minorEastAsia" w:eastAsiaTheme="minorEastAsia" w:cstheme="minorEastAsia"/>
          <w:bCs/>
          <w:color w:val="auto"/>
          <w:sz w:val="24"/>
          <w:szCs w:val="24"/>
          <w:lang w:eastAsia="zh-CN"/>
        </w:rPr>
        <w:t>征集文件</w:t>
      </w:r>
      <w:r>
        <w:rPr>
          <w:rFonts w:hint="eastAsia" w:asciiTheme="minorEastAsia" w:hAnsiTheme="minorEastAsia" w:eastAsiaTheme="minorEastAsia" w:cstheme="minorEastAsia"/>
          <w:bCs/>
          <w:color w:val="auto"/>
          <w:sz w:val="24"/>
          <w:szCs w:val="24"/>
        </w:rPr>
        <w:t>进行澄清的</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，均应以书面形式通知集采机构，集采机构对按要求递交的任何澄清将以书面或网上公告的形式通知所有下载</w:t>
      </w:r>
      <w:r>
        <w:rPr>
          <w:rFonts w:hint="eastAsia" w:asciiTheme="minorEastAsia" w:hAnsiTheme="minorEastAsia" w:eastAsiaTheme="minorEastAsia" w:cstheme="minorEastAsia"/>
          <w:bCs/>
          <w:color w:val="auto"/>
          <w:sz w:val="24"/>
          <w:szCs w:val="24"/>
          <w:lang w:eastAsia="zh-CN"/>
        </w:rPr>
        <w:t>征集文件</w:t>
      </w:r>
      <w:r>
        <w:rPr>
          <w:rFonts w:hint="eastAsia" w:asciiTheme="minorEastAsia" w:hAnsiTheme="minorEastAsia" w:eastAsiaTheme="minorEastAsia" w:cstheme="minorEastAsia"/>
          <w:bCs/>
          <w:color w:val="auto"/>
          <w:sz w:val="24"/>
          <w:szCs w:val="24"/>
        </w:rPr>
        <w:t>的</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，并对其具有约束力。</w:t>
      </w:r>
      <w:r>
        <w:rPr>
          <w:rFonts w:hint="eastAsia" w:asciiTheme="minorEastAsia" w:hAnsiTheme="minorEastAsia" w:eastAsiaTheme="minorEastAsia" w:cstheme="minorEastAsia"/>
          <w:b w:val="0"/>
          <w:bCs/>
          <w:color w:val="auto"/>
          <w:sz w:val="24"/>
          <w:szCs w:val="24"/>
        </w:rPr>
        <w:t>如果</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未按</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lang w:val="en-US" w:eastAsia="zh-CN"/>
        </w:rPr>
        <w:t>或澄清、修改文件</w:t>
      </w:r>
      <w:r>
        <w:rPr>
          <w:rFonts w:hint="eastAsia" w:asciiTheme="minorEastAsia" w:hAnsiTheme="minorEastAsia" w:eastAsiaTheme="minorEastAsia" w:cstheme="minorEastAsia"/>
          <w:b w:val="0"/>
          <w:bCs/>
          <w:color w:val="auto"/>
          <w:sz w:val="24"/>
          <w:szCs w:val="24"/>
        </w:rPr>
        <w:t>要求提供全部资料或提交的</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没有对</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做出实质性响应，那么</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将承担其风险，并导致投标资格将被取消。</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color w:val="auto"/>
          <w:sz w:val="24"/>
          <w:szCs w:val="24"/>
          <w:lang w:val="en-US" w:eastAsia="zh-CN"/>
        </w:rPr>
      </w:pPr>
      <w:bookmarkStart w:id="36" w:name="_Toc23692"/>
      <w:r>
        <w:rPr>
          <w:rFonts w:hint="eastAsia" w:asciiTheme="minorEastAsia" w:hAnsiTheme="minorEastAsia" w:eastAsiaTheme="minorEastAsia" w:cstheme="minorEastAsia"/>
          <w:b/>
          <w:color w:val="auto"/>
          <w:sz w:val="24"/>
          <w:szCs w:val="24"/>
          <w:lang w:val="en-US" w:eastAsia="zh-CN"/>
        </w:rPr>
        <w:t>（七）现场勘查</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详见征集文件第二部分投标须知。</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1"/>
        <w:rPr>
          <w:rFonts w:hint="eastAsia" w:asciiTheme="minorEastAsia" w:hAnsiTheme="minorEastAsia" w:eastAsiaTheme="minorEastAsia" w:cstheme="minorEastAsia"/>
          <w:b/>
          <w:bCs/>
          <w:color w:val="auto"/>
          <w:sz w:val="24"/>
          <w:szCs w:val="24"/>
          <w:lang w:val="en-US"/>
        </w:rPr>
      </w:pPr>
      <w:bookmarkStart w:id="37" w:name="_Toc6985"/>
      <w:bookmarkStart w:id="38" w:name="_Toc3125"/>
      <w:r>
        <w:rPr>
          <w:rFonts w:hint="eastAsia" w:asciiTheme="minorEastAsia" w:hAnsiTheme="minorEastAsia" w:eastAsiaTheme="minorEastAsia" w:cstheme="minorEastAsia"/>
          <w:b/>
          <w:bCs/>
          <w:color w:val="auto"/>
          <w:sz w:val="24"/>
          <w:szCs w:val="24"/>
          <w:lang w:val="en-US" w:eastAsia="zh-CN"/>
        </w:rPr>
        <w:t>四、征集响应</w:t>
      </w:r>
      <w:bookmarkEnd w:id="36"/>
      <w:r>
        <w:rPr>
          <w:rFonts w:hint="eastAsia" w:asciiTheme="minorEastAsia" w:hAnsiTheme="minorEastAsia" w:eastAsiaTheme="minorEastAsia" w:cstheme="minorEastAsia"/>
          <w:b/>
          <w:bCs/>
          <w:color w:val="auto"/>
          <w:sz w:val="24"/>
          <w:szCs w:val="24"/>
          <w:lang w:val="en-US" w:eastAsia="zh-CN"/>
        </w:rPr>
        <w:t>文件</w:t>
      </w:r>
      <w:bookmarkEnd w:id="37"/>
      <w:bookmarkEnd w:id="38"/>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outlineLvl w:val="9"/>
        <w:rPr>
          <w:rFonts w:hint="eastAsia" w:asciiTheme="minorEastAsia" w:hAnsiTheme="minorEastAsia" w:eastAsiaTheme="minorEastAsia" w:cstheme="minorEastAsia"/>
          <w:b w:val="0"/>
          <w:color w:val="auto"/>
          <w:sz w:val="24"/>
          <w:szCs w:val="24"/>
          <w:lang w:val="en-US" w:eastAsia="zh-CN"/>
        </w:rPr>
      </w:pPr>
      <w:bookmarkStart w:id="39" w:name="_Toc943"/>
      <w:bookmarkStart w:id="40" w:name="_Toc12036"/>
      <w:bookmarkStart w:id="41" w:name="_Toc14733"/>
      <w:bookmarkStart w:id="42" w:name="_Toc217446043"/>
      <w:bookmarkStart w:id="43" w:name="_Toc183682352"/>
      <w:bookmarkStart w:id="44" w:name="_Toc183582215"/>
      <w:bookmarkStart w:id="45" w:name="_Toc31087"/>
      <w:bookmarkStart w:id="46" w:name="_Toc26661"/>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综合</w:t>
      </w:r>
      <w:bookmarkEnd w:id="39"/>
      <w:bookmarkEnd w:id="40"/>
      <w:bookmarkEnd w:id="41"/>
      <w:r>
        <w:rPr>
          <w:rFonts w:hint="eastAsia" w:asciiTheme="minorEastAsia" w:hAnsiTheme="minorEastAsia" w:eastAsiaTheme="minorEastAsia" w:cstheme="minorEastAsia"/>
          <w:color w:val="auto"/>
          <w:sz w:val="24"/>
          <w:szCs w:val="24"/>
          <w:lang w:val="en-US" w:eastAsia="zh-CN"/>
        </w:rPr>
        <w:t>说明</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lang w:val="en-US" w:eastAsia="zh-CN"/>
        </w:rPr>
        <w:t>框架协议征集项目</w:t>
      </w:r>
      <w:r>
        <w:rPr>
          <w:rFonts w:hint="eastAsia" w:asciiTheme="minorEastAsia" w:hAnsiTheme="minorEastAsia" w:eastAsiaTheme="minorEastAsia" w:cstheme="minorEastAsia"/>
          <w:color w:val="auto"/>
          <w:sz w:val="24"/>
          <w:szCs w:val="24"/>
        </w:rPr>
        <w:t>只能报一个方案进行</w:t>
      </w:r>
      <w:r>
        <w:rPr>
          <w:rFonts w:hint="eastAsia" w:asciiTheme="minorEastAsia" w:hAnsiTheme="minorEastAsia" w:eastAsiaTheme="minorEastAsia" w:cstheme="minorEastAsia"/>
          <w:color w:val="auto"/>
          <w:sz w:val="24"/>
          <w:szCs w:val="24"/>
          <w:lang w:val="en-US" w:eastAsia="zh-CN"/>
        </w:rPr>
        <w:t>响应</w:t>
      </w:r>
      <w:r>
        <w:rPr>
          <w:rFonts w:hint="eastAsia" w:asciiTheme="minorEastAsia" w:hAnsiTheme="minorEastAsia" w:eastAsiaTheme="minorEastAsia" w:cstheme="minorEastAsia"/>
          <w:color w:val="auto"/>
          <w:sz w:val="24"/>
          <w:szCs w:val="24"/>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对</w:t>
      </w:r>
      <w:r>
        <w:rPr>
          <w:rFonts w:hint="eastAsia" w:asciiTheme="minorEastAsia" w:hAnsiTheme="minorEastAsia" w:eastAsiaTheme="minorEastAsia" w:cstheme="minorEastAsia"/>
          <w:color w:val="auto"/>
          <w:sz w:val="24"/>
          <w:szCs w:val="24"/>
          <w:highlight w:val="none"/>
          <w:lang w:val="en-US" w:eastAsia="zh-CN"/>
        </w:rPr>
        <w:t>所投产品</w:t>
      </w:r>
      <w:r>
        <w:rPr>
          <w:rFonts w:hint="eastAsia" w:asciiTheme="minorEastAsia" w:hAnsiTheme="minorEastAsia" w:eastAsiaTheme="minorEastAsia" w:cstheme="minorEastAsia"/>
          <w:color w:val="auto"/>
          <w:sz w:val="24"/>
          <w:szCs w:val="24"/>
          <w:highlight w:val="none"/>
        </w:rPr>
        <w:t>技</w:t>
      </w:r>
      <w:r>
        <w:rPr>
          <w:rFonts w:hint="eastAsia" w:asciiTheme="minorEastAsia" w:hAnsiTheme="minorEastAsia" w:eastAsiaTheme="minorEastAsia" w:cstheme="minorEastAsia"/>
          <w:color w:val="auto"/>
          <w:sz w:val="24"/>
          <w:szCs w:val="24"/>
        </w:rPr>
        <w:t>术性能</w:t>
      </w:r>
      <w:r>
        <w:rPr>
          <w:rFonts w:hint="eastAsia" w:asciiTheme="minorEastAsia" w:hAnsiTheme="minorEastAsia" w:eastAsiaTheme="minorEastAsia" w:cstheme="minorEastAsia"/>
          <w:color w:val="auto"/>
          <w:sz w:val="24"/>
          <w:szCs w:val="24"/>
          <w:lang w:val="en-US" w:eastAsia="zh-CN"/>
        </w:rPr>
        <w:t>或伴随服务</w:t>
      </w:r>
      <w:r>
        <w:rPr>
          <w:rFonts w:hint="eastAsia" w:asciiTheme="minorEastAsia" w:hAnsiTheme="minorEastAsia" w:eastAsiaTheme="minorEastAsia" w:cstheme="minorEastAsia"/>
          <w:color w:val="auto"/>
          <w:sz w:val="24"/>
          <w:szCs w:val="24"/>
        </w:rPr>
        <w:t>的描述因欠缺或漏报而影响对</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响应文件的评比，不利后果由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自行承担；</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在本次</w:t>
      </w:r>
      <w:r>
        <w:rPr>
          <w:rFonts w:hint="eastAsia" w:asciiTheme="minorEastAsia" w:hAnsiTheme="minorEastAsia" w:eastAsiaTheme="minorEastAsia" w:cstheme="minorEastAsia"/>
          <w:color w:val="auto"/>
          <w:sz w:val="24"/>
          <w:szCs w:val="24"/>
          <w:lang w:val="en-US" w:eastAsia="zh-CN"/>
        </w:rPr>
        <w:t>框架协议征集</w:t>
      </w:r>
      <w:r>
        <w:rPr>
          <w:rFonts w:hint="eastAsia" w:asciiTheme="minorEastAsia" w:hAnsiTheme="minorEastAsia" w:eastAsiaTheme="minorEastAsia" w:cstheme="minorEastAsia"/>
          <w:color w:val="auto"/>
          <w:sz w:val="24"/>
          <w:szCs w:val="24"/>
        </w:rPr>
        <w:t>项目中所提供的</w:t>
      </w:r>
      <w:r>
        <w:rPr>
          <w:rFonts w:hint="eastAsia" w:asciiTheme="minorEastAsia" w:hAnsiTheme="minorEastAsia" w:eastAsiaTheme="minorEastAsia" w:cstheme="minorEastAsia"/>
          <w:color w:val="auto"/>
          <w:sz w:val="24"/>
          <w:szCs w:val="24"/>
          <w:lang w:val="en-US" w:eastAsia="zh-CN"/>
        </w:rPr>
        <w:t>产品及伴随服务</w:t>
      </w:r>
      <w:r>
        <w:rPr>
          <w:rFonts w:hint="eastAsia" w:asciiTheme="minorEastAsia" w:hAnsiTheme="minorEastAsia" w:eastAsiaTheme="minorEastAsia" w:cstheme="minorEastAsia"/>
          <w:color w:val="auto"/>
          <w:sz w:val="24"/>
          <w:szCs w:val="24"/>
        </w:rPr>
        <w:t>必须满足征集文件中的技术参数要求，否则视为无效投标；</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采购单位发现具有《政府采购法》第七十七条中第一至五项情形之一规定的情形的，有权宣布投标程序和结果无效，在涉标的公证性与违法问题的调查或检查中，入</w:t>
      </w:r>
      <w:r>
        <w:rPr>
          <w:rFonts w:hint="eastAsia" w:asciiTheme="minorEastAsia" w:hAnsiTheme="minorEastAsia" w:eastAsiaTheme="minorEastAsia" w:cstheme="minorEastAsia"/>
          <w:color w:val="auto"/>
          <w:spacing w:val="-5"/>
          <w:sz w:val="24"/>
          <w:szCs w:val="24"/>
        </w:rPr>
        <w:t>围供应商如拒绝有关部门的监督检查，视其情节，</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w:t>
      </w:r>
      <w:r>
        <w:rPr>
          <w:rFonts w:hint="eastAsia" w:asciiTheme="minorEastAsia" w:hAnsiTheme="minorEastAsia" w:eastAsiaTheme="minorEastAsia" w:cstheme="minorEastAsia"/>
          <w:color w:val="auto"/>
          <w:spacing w:val="-5"/>
          <w:sz w:val="24"/>
          <w:szCs w:val="24"/>
        </w:rPr>
        <w:t>也有权宣布中标结果视同无效</w:t>
      </w:r>
      <w:r>
        <w:rPr>
          <w:rFonts w:hint="eastAsia" w:asciiTheme="minorEastAsia" w:hAnsiTheme="minorEastAsia" w:eastAsiaTheme="minorEastAsia" w:cstheme="minorEastAsia"/>
          <w:color w:val="auto"/>
          <w:sz w:val="24"/>
          <w:szCs w:val="24"/>
        </w:rPr>
        <w:t>，并对投、入围供应商的损失不承担任何责任；</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应自行承担所有与准备和参加</w:t>
      </w:r>
      <w:r>
        <w:rPr>
          <w:rFonts w:hint="eastAsia" w:asciiTheme="minorEastAsia" w:hAnsiTheme="minorEastAsia" w:eastAsiaTheme="minorEastAsia" w:cstheme="minorEastAsia"/>
          <w:color w:val="auto"/>
          <w:sz w:val="24"/>
          <w:szCs w:val="24"/>
          <w:lang w:val="en-US" w:eastAsia="zh-CN"/>
        </w:rPr>
        <w:t>征集响应</w:t>
      </w:r>
      <w:r>
        <w:rPr>
          <w:rFonts w:hint="eastAsia" w:asciiTheme="minorEastAsia" w:hAnsiTheme="minorEastAsia" w:eastAsiaTheme="minorEastAsia" w:cstheme="minorEastAsia"/>
          <w:color w:val="auto"/>
          <w:sz w:val="24"/>
          <w:szCs w:val="24"/>
        </w:rPr>
        <w:t>有关的费用。不论</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的结果如何，</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采购单位无义务和责任承担相关费用；</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在制作</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时须按照资料内容编制目录。</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eastAsia="zh-CN"/>
        </w:rPr>
        <w:t>（</w:t>
      </w:r>
      <w:r>
        <w:rPr>
          <w:rFonts w:hint="eastAsia" w:asciiTheme="minorEastAsia" w:hAnsiTheme="minorEastAsia" w:eastAsiaTheme="minorEastAsia" w:cstheme="minorEastAsia"/>
          <w:b/>
          <w:bCs w:val="0"/>
          <w:color w:val="auto"/>
          <w:sz w:val="24"/>
          <w:szCs w:val="24"/>
          <w:lang w:val="en-US" w:eastAsia="zh-CN"/>
        </w:rPr>
        <w:t>二</w:t>
      </w:r>
      <w:r>
        <w:rPr>
          <w:rFonts w:hint="eastAsia" w:asciiTheme="minorEastAsia" w:hAnsiTheme="minorEastAsia" w:eastAsiaTheme="minorEastAsia" w:cstheme="minorEastAsia"/>
          <w:b/>
          <w:bCs w:val="0"/>
          <w:color w:val="auto"/>
          <w:sz w:val="24"/>
          <w:szCs w:val="24"/>
          <w:lang w:eastAsia="zh-CN"/>
        </w:rPr>
        <w:t>）征集响应文件</w:t>
      </w:r>
      <w:r>
        <w:rPr>
          <w:rFonts w:hint="eastAsia" w:asciiTheme="minorEastAsia" w:hAnsiTheme="minorEastAsia" w:eastAsiaTheme="minorEastAsia" w:cstheme="minorEastAsia"/>
          <w:b/>
          <w:bCs w:val="0"/>
          <w:color w:val="auto"/>
          <w:sz w:val="24"/>
          <w:szCs w:val="24"/>
        </w:rPr>
        <w:t>的语言</w:t>
      </w:r>
      <w:bookmarkEnd w:id="42"/>
      <w:bookmarkEnd w:id="43"/>
      <w:bookmarkEnd w:id="44"/>
      <w:r>
        <w:rPr>
          <w:rFonts w:hint="eastAsia" w:asciiTheme="minorEastAsia" w:hAnsiTheme="minorEastAsia" w:eastAsiaTheme="minorEastAsia" w:cstheme="minorEastAsia"/>
          <w:b/>
          <w:bCs w:val="0"/>
          <w:color w:val="auto"/>
          <w:sz w:val="24"/>
          <w:szCs w:val="24"/>
        </w:rPr>
        <w:t>（实质性要求）</w:t>
      </w:r>
      <w:bookmarkEnd w:id="45"/>
      <w:bookmarkEnd w:id="46"/>
    </w:p>
    <w:p>
      <w:pPr>
        <w:keepNext w:val="0"/>
        <w:keepLines w:val="0"/>
        <w:pageBreakBefore w:val="0"/>
        <w:widowControl w:val="0"/>
        <w:tabs>
          <w:tab w:val="left" w:pos="1134"/>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val="0"/>
          <w:color w:val="auto"/>
          <w:sz w:val="24"/>
          <w:szCs w:val="24"/>
        </w:rPr>
      </w:pPr>
      <w:bookmarkStart w:id="47" w:name="_Toc217446044"/>
      <w:bookmarkStart w:id="48" w:name="_Toc183682353"/>
      <w:bookmarkStart w:id="49" w:name="_Toc183582216"/>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提交的</w:t>
      </w:r>
      <w:r>
        <w:rPr>
          <w:rFonts w:hint="eastAsia" w:asciiTheme="minorEastAsia" w:hAnsiTheme="minorEastAsia" w:eastAsiaTheme="minorEastAsia" w:cstheme="minorEastAsia"/>
          <w:b w:val="0"/>
          <w:bCs w:val="0"/>
          <w:color w:val="auto"/>
          <w:sz w:val="24"/>
          <w:szCs w:val="24"/>
          <w:lang w:eastAsia="zh-CN"/>
        </w:rPr>
        <w:t>征集响应文件</w:t>
      </w:r>
      <w:r>
        <w:rPr>
          <w:rFonts w:hint="eastAsia" w:asciiTheme="minorEastAsia" w:hAnsiTheme="minorEastAsia" w:eastAsiaTheme="minorEastAsia" w:cstheme="minorEastAsia"/>
          <w:b w:val="0"/>
          <w:bCs w:val="0"/>
          <w:color w:val="auto"/>
          <w:sz w:val="24"/>
          <w:szCs w:val="24"/>
        </w:rPr>
        <w:t>以及</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与</w:t>
      </w:r>
      <w:r>
        <w:rPr>
          <w:rFonts w:hint="eastAsia" w:asciiTheme="minorEastAsia" w:hAnsiTheme="minorEastAsia" w:eastAsiaTheme="minorEastAsia" w:cstheme="minorEastAsia"/>
          <w:b w:val="0"/>
          <w:bCs w:val="0"/>
          <w:color w:val="auto"/>
          <w:sz w:val="24"/>
          <w:szCs w:val="24"/>
          <w:lang w:eastAsia="zh-CN"/>
        </w:rPr>
        <w:t>框架协议</w:t>
      </w:r>
      <w:r>
        <w:rPr>
          <w:rFonts w:hint="eastAsia" w:asciiTheme="minorEastAsia" w:hAnsiTheme="minorEastAsia" w:eastAsiaTheme="minorEastAsia" w:cstheme="minorEastAsia"/>
          <w:b w:val="0"/>
          <w:bCs w:val="0"/>
          <w:color w:val="auto"/>
          <w:sz w:val="24"/>
          <w:szCs w:val="24"/>
        </w:rPr>
        <w:t>采购单位就有关投标的所有来往书面文件均须使用中文。</w:t>
      </w:r>
      <w:r>
        <w:rPr>
          <w:rFonts w:hint="eastAsia" w:asciiTheme="minorEastAsia" w:hAnsiTheme="minorEastAsia" w:eastAsiaTheme="minorEastAsia" w:cstheme="minorEastAsia"/>
          <w:b w:val="0"/>
          <w:bCs w:val="0"/>
          <w:color w:val="auto"/>
          <w:sz w:val="24"/>
          <w:szCs w:val="24"/>
          <w:lang w:eastAsia="zh-CN"/>
        </w:rPr>
        <w:t>征集响应文件</w:t>
      </w:r>
      <w:r>
        <w:rPr>
          <w:rFonts w:hint="eastAsia" w:asciiTheme="minorEastAsia" w:hAnsiTheme="minorEastAsia" w:eastAsiaTheme="minorEastAsia" w:cstheme="minorEastAsia"/>
          <w:b w:val="0"/>
          <w:bCs w:val="0"/>
          <w:color w:val="auto"/>
          <w:sz w:val="24"/>
          <w:szCs w:val="24"/>
        </w:rPr>
        <w:t>中如附有外文资料，必须逐一对应翻译成中文并加盖</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公章后附在相关外文资料后面，否则，所提供的外文资料将可能被视为无效材料。（说明：供应商的法定代表人为外籍人士的，法定代表人的签字和护照除外。）</w:t>
      </w:r>
    </w:p>
    <w:p>
      <w:pPr>
        <w:keepNext w:val="0"/>
        <w:keepLines w:val="0"/>
        <w:pageBreakBefore w:val="0"/>
        <w:widowControl w:val="0"/>
        <w:tabs>
          <w:tab w:val="left" w:pos="1134"/>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翻译的中文资料与外文资料如果出现差异和矛盾时，以中文为准。涉嫌虚假响应的按照相关法律法规处理。</w:t>
      </w:r>
      <w:bookmarkStart w:id="50" w:name="_Toc32090"/>
      <w:bookmarkStart w:id="51" w:name="_Toc31489"/>
    </w:p>
    <w:p>
      <w:pPr>
        <w:keepNext w:val="0"/>
        <w:keepLines w:val="0"/>
        <w:pageBreakBefore w:val="0"/>
        <w:widowControl w:val="0"/>
        <w:tabs>
          <w:tab w:val="left" w:pos="1134"/>
        </w:tabs>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计量单位</w:t>
      </w:r>
      <w:bookmarkEnd w:id="47"/>
      <w:bookmarkEnd w:id="48"/>
      <w:bookmarkEnd w:id="49"/>
      <w:r>
        <w:rPr>
          <w:rFonts w:hint="eastAsia" w:asciiTheme="minorEastAsia" w:hAnsiTheme="minorEastAsia" w:eastAsiaTheme="minorEastAsia" w:cstheme="minorEastAsia"/>
          <w:b/>
          <w:bCs/>
          <w:color w:val="auto"/>
          <w:sz w:val="24"/>
          <w:szCs w:val="24"/>
        </w:rPr>
        <w:t>（实质性要求）</w:t>
      </w:r>
      <w:bookmarkEnd w:id="50"/>
      <w:bookmarkEnd w:id="51"/>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除</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中另有规定外，本次</w:t>
      </w:r>
      <w:r>
        <w:rPr>
          <w:rFonts w:hint="eastAsia" w:asciiTheme="minorEastAsia" w:hAnsiTheme="minorEastAsia" w:eastAsiaTheme="minorEastAsia" w:cstheme="minorEastAsia"/>
          <w:color w:val="auto"/>
          <w:sz w:val="24"/>
          <w:szCs w:val="24"/>
          <w:lang w:val="en-US" w:eastAsia="zh-CN"/>
        </w:rPr>
        <w:t>框架协议</w:t>
      </w:r>
      <w:r>
        <w:rPr>
          <w:rFonts w:hint="eastAsia" w:asciiTheme="minorEastAsia" w:hAnsiTheme="minorEastAsia" w:eastAsiaTheme="minorEastAsia" w:cstheme="minorEastAsia"/>
          <w:color w:val="auto"/>
          <w:sz w:val="24"/>
          <w:szCs w:val="24"/>
        </w:rPr>
        <w:t>采购项目所有合同项下均采用国家法定的计量单位。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52" w:name="_Toc217446045"/>
      <w:bookmarkStart w:id="53" w:name="_Toc15577"/>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投标货币</w:t>
      </w:r>
      <w:bookmarkEnd w:id="52"/>
      <w:r>
        <w:rPr>
          <w:rFonts w:hint="eastAsia" w:asciiTheme="minorEastAsia" w:hAnsiTheme="minorEastAsia" w:eastAsiaTheme="minorEastAsia" w:cstheme="minorEastAsia"/>
          <w:b/>
          <w:bCs/>
          <w:color w:val="auto"/>
          <w:sz w:val="24"/>
          <w:szCs w:val="24"/>
        </w:rPr>
        <w:t>（实质性要求）</w:t>
      </w:r>
      <w:bookmarkEnd w:id="53"/>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本次</w:t>
      </w:r>
      <w:r>
        <w:rPr>
          <w:rFonts w:hint="eastAsia" w:asciiTheme="minorEastAsia" w:hAnsiTheme="minorEastAsia" w:eastAsiaTheme="minorEastAsia" w:cstheme="minorEastAsia"/>
          <w:color w:val="auto"/>
          <w:sz w:val="24"/>
          <w:szCs w:val="24"/>
          <w:lang w:val="en-US" w:eastAsia="zh-CN"/>
        </w:rPr>
        <w:t>框架协议征集</w:t>
      </w:r>
      <w:r>
        <w:rPr>
          <w:rFonts w:hint="eastAsia" w:asciiTheme="minorEastAsia" w:hAnsiTheme="minorEastAsia" w:eastAsiaTheme="minorEastAsia" w:cstheme="minorEastAsia"/>
          <w:color w:val="auto"/>
          <w:sz w:val="24"/>
          <w:szCs w:val="24"/>
        </w:rPr>
        <w:t>项目的投标均以人民币报价。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54" w:name="_Toc217446046"/>
      <w:bookmarkStart w:id="55" w:name="_Toc31452"/>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联合体投标</w:t>
      </w:r>
      <w:bookmarkEnd w:id="54"/>
      <w:bookmarkEnd w:id="55"/>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highlight w:val="none"/>
        </w:rPr>
      </w:pPr>
      <w:bookmarkStart w:id="56" w:name="_Toc217446047"/>
      <w:r>
        <w:rPr>
          <w:rFonts w:hint="eastAsia" w:asciiTheme="minorEastAsia" w:hAnsiTheme="minorEastAsia" w:eastAsiaTheme="minorEastAsia" w:cstheme="minorEastAsia"/>
          <w:b w:val="0"/>
          <w:bCs/>
          <w:color w:val="auto"/>
          <w:sz w:val="24"/>
          <w:szCs w:val="24"/>
          <w:highlight w:val="none"/>
          <w:lang w:val="en-US" w:eastAsia="zh-CN"/>
        </w:rPr>
        <w:t>本项目不接受联合体投标。</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57" w:name="_Toc308164797"/>
      <w:bookmarkStart w:id="58" w:name="_Toc28832"/>
      <w:bookmarkStart w:id="59" w:name="_Toc16240"/>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知识产权</w:t>
      </w:r>
      <w:bookmarkEnd w:id="56"/>
      <w:bookmarkEnd w:id="57"/>
      <w:r>
        <w:rPr>
          <w:rFonts w:hint="eastAsia" w:asciiTheme="minorEastAsia" w:hAnsiTheme="minorEastAsia" w:eastAsiaTheme="minorEastAsia" w:cstheme="minorEastAsia"/>
          <w:b/>
          <w:bCs/>
          <w:color w:val="auto"/>
          <w:sz w:val="24"/>
          <w:szCs w:val="24"/>
        </w:rPr>
        <w:t>（实质性要求）</w:t>
      </w:r>
      <w:bookmarkEnd w:id="58"/>
      <w:bookmarkEnd w:id="59"/>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承担所有相关责任。</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如欲在项目实施过程中采用自有知识成果，需在</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中声明，并提供相关知识产权证明文件。使用该知识成果后，</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需提供</w:t>
      </w:r>
      <w:r>
        <w:rPr>
          <w:rFonts w:hint="eastAsia" w:asciiTheme="minorEastAsia" w:hAnsiTheme="minorEastAsia" w:eastAsiaTheme="minorEastAsia" w:cstheme="minorEastAsia"/>
          <w:color w:val="auto"/>
          <w:sz w:val="24"/>
          <w:szCs w:val="24"/>
          <w:lang w:val="en-US" w:eastAsia="zh-CN"/>
        </w:rPr>
        <w:t>技术</w:t>
      </w:r>
      <w:r>
        <w:rPr>
          <w:rFonts w:hint="eastAsia" w:asciiTheme="minorEastAsia" w:hAnsiTheme="minorEastAsia" w:eastAsiaTheme="minorEastAsia" w:cstheme="minorEastAsia"/>
          <w:color w:val="auto"/>
          <w:sz w:val="24"/>
          <w:szCs w:val="24"/>
        </w:rPr>
        <w:t>手册等文档，并承诺提供无限期技术支持，</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享有永久使用权（含</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所属预算单位后期</w:t>
      </w:r>
      <w:r>
        <w:rPr>
          <w:rFonts w:hint="eastAsia" w:asciiTheme="minorEastAsia" w:hAnsiTheme="minorEastAsia" w:eastAsiaTheme="minorEastAsia" w:cstheme="minorEastAsia"/>
          <w:color w:val="auto"/>
          <w:sz w:val="24"/>
          <w:szCs w:val="24"/>
        </w:rPr>
        <w:t>的使用权）。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如采用</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所不拥有的知识产权，则在</w:t>
      </w:r>
      <w:r>
        <w:rPr>
          <w:rFonts w:hint="eastAsia" w:asciiTheme="minorEastAsia" w:hAnsiTheme="minorEastAsia" w:eastAsiaTheme="minorEastAsia" w:cstheme="minorEastAsia"/>
          <w:color w:val="auto"/>
          <w:sz w:val="24"/>
          <w:szCs w:val="24"/>
          <w:lang w:val="en-US" w:eastAsia="zh-CN"/>
        </w:rPr>
        <w:t>征集响应</w:t>
      </w:r>
      <w:r>
        <w:rPr>
          <w:rFonts w:hint="eastAsia" w:asciiTheme="minorEastAsia" w:hAnsiTheme="minorEastAsia" w:eastAsiaTheme="minorEastAsia" w:cstheme="minorEastAsia"/>
          <w:color w:val="auto"/>
          <w:sz w:val="24"/>
          <w:szCs w:val="24"/>
        </w:rPr>
        <w:t>报价中必须包括合法获取该知识产权的相关费用。</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60" w:name="_Toc308164798"/>
      <w:bookmarkStart w:id="61" w:name="_Toc4255"/>
      <w:bookmarkStart w:id="62" w:name="_Toc183582217"/>
      <w:bookmarkStart w:id="63" w:name="_Toc217446048"/>
      <w:bookmarkStart w:id="64" w:name="_Toc183682354"/>
      <w:bookmarkStart w:id="65" w:name="_Toc14081"/>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lang w:eastAsia="zh-CN"/>
        </w:rPr>
        <w:t>）征集响应文件</w:t>
      </w:r>
      <w:r>
        <w:rPr>
          <w:rFonts w:hint="eastAsia" w:asciiTheme="minorEastAsia" w:hAnsiTheme="minorEastAsia" w:eastAsiaTheme="minorEastAsia" w:cstheme="minorEastAsia"/>
          <w:b/>
          <w:bCs/>
          <w:color w:val="auto"/>
          <w:sz w:val="24"/>
          <w:szCs w:val="24"/>
        </w:rPr>
        <w:t>的组成</w:t>
      </w:r>
      <w:bookmarkEnd w:id="60"/>
      <w:bookmarkEnd w:id="61"/>
      <w:bookmarkEnd w:id="62"/>
      <w:bookmarkEnd w:id="63"/>
      <w:bookmarkEnd w:id="64"/>
      <w:bookmarkEnd w:id="65"/>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的规定和要求编制</w:t>
      </w:r>
      <w:r>
        <w:rPr>
          <w:rFonts w:hint="eastAsia" w:asciiTheme="minorEastAsia" w:hAnsiTheme="minorEastAsia" w:eastAsiaTheme="minorEastAsia" w:cstheme="minorEastAsia"/>
          <w:color w:val="auto"/>
          <w:sz w:val="24"/>
          <w:szCs w:val="24"/>
          <w:lang w:eastAsia="zh-CN"/>
        </w:rPr>
        <w:t>征集响应文件，供应商</w:t>
      </w:r>
      <w:r>
        <w:rPr>
          <w:rFonts w:hint="eastAsia" w:asciiTheme="minorEastAsia" w:hAnsiTheme="minorEastAsia" w:eastAsiaTheme="minorEastAsia" w:cstheme="minorEastAsia"/>
          <w:color w:val="auto"/>
          <w:sz w:val="24"/>
          <w:szCs w:val="24"/>
        </w:rPr>
        <w:t>编写的</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应包括下列部分：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报价部分。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lang w:val="en-US" w:eastAsia="zh-CN"/>
        </w:rPr>
        <w:t>应</w:t>
      </w:r>
      <w:r>
        <w:rPr>
          <w:rFonts w:hint="eastAsia" w:asciiTheme="minorEastAsia" w:hAnsiTheme="minorEastAsia" w:eastAsiaTheme="minorEastAsia" w:cstheme="minorEastAsia"/>
          <w:color w:val="auto"/>
          <w:sz w:val="24"/>
          <w:szCs w:val="24"/>
        </w:rPr>
        <w:t>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要求填写的“开标一览表”及“报价明细表”。本次</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报价要求：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的报价是</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响应</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项目要求的全部工作内容的价格体现，包括</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完成本项目所需的一切费用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实质性要求</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每种货物</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只允许有一个报价，并且在合同履行过程中是固定不变的，任何有选择或可调整的报价将不予接受，并按无效投标处理（实质性要求）</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（3）在本次投标之前一周年内，</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本次投标中对同一品牌同一型号相同配置的产品报价与其在中国境内其他地方的最低报价比例不得高于</w:t>
      </w:r>
      <w:r>
        <w:rPr>
          <w:rFonts w:hint="eastAsia" w:asciiTheme="minorEastAsia" w:hAnsiTheme="minorEastAsia" w:eastAsiaTheme="minorEastAsia" w:cstheme="minorEastAsia"/>
          <w:color w:val="auto"/>
          <w:sz w:val="24"/>
          <w:szCs w:val="24"/>
          <w:lang w:val="zh-CN"/>
        </w:rPr>
        <w:t>10</w:t>
      </w:r>
      <w:r>
        <w:rPr>
          <w:rFonts w:hint="eastAsia" w:asciiTheme="minorEastAsia" w:hAnsiTheme="minorEastAsia" w:eastAsiaTheme="minorEastAsia" w:cstheme="minorEastAsia"/>
          <w:color w:val="auto"/>
          <w:sz w:val="24"/>
          <w:szCs w:val="24"/>
        </w:rPr>
        <w:t>%（实质性要求）。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2.</w:t>
      </w:r>
      <w:r>
        <w:rPr>
          <w:rFonts w:hint="eastAsia" w:asciiTheme="minorEastAsia" w:hAnsiTheme="minorEastAsia" w:eastAsiaTheme="minorEastAsia" w:cstheme="minorEastAsia"/>
          <w:b/>
          <w:bCs w:val="0"/>
          <w:color w:val="auto"/>
          <w:sz w:val="24"/>
          <w:szCs w:val="24"/>
        </w:rPr>
        <w:t>技术</w:t>
      </w:r>
      <w:r>
        <w:rPr>
          <w:rFonts w:hint="eastAsia" w:asciiTheme="minorEastAsia" w:hAnsiTheme="minorEastAsia" w:eastAsiaTheme="minorEastAsia" w:cstheme="minorEastAsia"/>
          <w:b/>
          <w:bCs w:val="0"/>
          <w:color w:val="auto"/>
          <w:sz w:val="24"/>
          <w:szCs w:val="24"/>
          <w:lang w:eastAsia="zh-CN"/>
        </w:rPr>
        <w:t>（服务）</w:t>
      </w:r>
      <w:r>
        <w:rPr>
          <w:rFonts w:hint="eastAsia" w:asciiTheme="minorEastAsia" w:hAnsiTheme="minorEastAsia" w:eastAsiaTheme="minorEastAsia" w:cstheme="minorEastAsia"/>
          <w:b/>
          <w:bCs w:val="0"/>
          <w:color w:val="auto"/>
          <w:sz w:val="24"/>
          <w:szCs w:val="24"/>
        </w:rPr>
        <w:t>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按照</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要求做出的技术应答，主要是针对</w:t>
      </w:r>
      <w:r>
        <w:rPr>
          <w:rFonts w:hint="eastAsia" w:asciiTheme="minorEastAsia" w:hAnsiTheme="minorEastAsia" w:eastAsiaTheme="minorEastAsia" w:cstheme="minorEastAsia"/>
          <w:b w:val="0"/>
          <w:bCs/>
          <w:color w:val="auto"/>
          <w:sz w:val="24"/>
          <w:szCs w:val="24"/>
          <w:lang w:eastAsia="zh-CN"/>
        </w:rPr>
        <w:t>框架协议</w:t>
      </w:r>
      <w:r>
        <w:rPr>
          <w:rFonts w:hint="eastAsia" w:asciiTheme="minorEastAsia" w:hAnsiTheme="minorEastAsia" w:eastAsiaTheme="minorEastAsia" w:cstheme="minorEastAsia"/>
          <w:b w:val="0"/>
          <w:bCs/>
          <w:color w:val="auto"/>
          <w:sz w:val="24"/>
          <w:szCs w:val="24"/>
        </w:rPr>
        <w:t>项目的</w:t>
      </w:r>
      <w:r>
        <w:rPr>
          <w:rFonts w:hint="eastAsia" w:asciiTheme="minorEastAsia" w:hAnsiTheme="minorEastAsia" w:eastAsiaTheme="minorEastAsia" w:cstheme="minorEastAsia"/>
          <w:b w:val="0"/>
          <w:bCs/>
          <w:color w:val="auto"/>
          <w:sz w:val="24"/>
          <w:szCs w:val="24"/>
          <w:lang w:val="en-US" w:eastAsia="zh-CN"/>
        </w:rPr>
        <w:t>产品质量、</w:t>
      </w:r>
      <w:r>
        <w:rPr>
          <w:rFonts w:hint="eastAsia" w:asciiTheme="minorEastAsia" w:hAnsiTheme="minorEastAsia" w:eastAsiaTheme="minorEastAsia" w:cstheme="minorEastAsia"/>
          <w:b w:val="0"/>
          <w:bCs/>
          <w:color w:val="auto"/>
          <w:sz w:val="24"/>
          <w:szCs w:val="24"/>
        </w:rPr>
        <w:t>技术指标、参数和技术要求做出的实质性响应和满足。</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的技术应答包括下列内容：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lang w:eastAsia="zh-CN"/>
        </w:rPr>
        <w:t>）保修场地</w:t>
      </w:r>
      <w:r>
        <w:rPr>
          <w:rFonts w:hint="eastAsia" w:asciiTheme="minorEastAsia" w:hAnsiTheme="minorEastAsia" w:eastAsiaTheme="minorEastAsia" w:cstheme="minorEastAsia"/>
          <w:b w:val="0"/>
          <w:bCs/>
          <w:color w:val="auto"/>
          <w:sz w:val="24"/>
          <w:szCs w:val="24"/>
          <w:lang w:val="en-US" w:eastAsia="zh-CN"/>
        </w:rPr>
        <w:t>的文件</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项目实施方案；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经营场所证明材料</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产品验收标准和验收方法；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3.商务部分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供应商</w:t>
      </w:r>
      <w:r>
        <w:rPr>
          <w:rFonts w:hint="eastAsia" w:asciiTheme="minorEastAsia" w:hAnsiTheme="minorEastAsia" w:eastAsiaTheme="minorEastAsia" w:cstheme="minorEastAsia"/>
          <w:b w:val="0"/>
          <w:bCs/>
          <w:color w:val="auto"/>
          <w:sz w:val="24"/>
          <w:szCs w:val="24"/>
          <w:highlight w:val="none"/>
        </w:rPr>
        <w:t>按照</w:t>
      </w:r>
      <w:r>
        <w:rPr>
          <w:rFonts w:hint="eastAsia" w:asciiTheme="minorEastAsia" w:hAnsiTheme="minorEastAsia" w:eastAsiaTheme="minorEastAsia" w:cstheme="minorEastAsia"/>
          <w:b w:val="0"/>
          <w:bCs/>
          <w:color w:val="auto"/>
          <w:sz w:val="24"/>
          <w:szCs w:val="24"/>
          <w:highlight w:val="none"/>
          <w:lang w:eastAsia="zh-CN"/>
        </w:rPr>
        <w:t>征集文件</w:t>
      </w:r>
      <w:r>
        <w:rPr>
          <w:rFonts w:hint="eastAsia" w:asciiTheme="minorEastAsia" w:hAnsiTheme="minorEastAsia" w:eastAsiaTheme="minorEastAsia" w:cstheme="minorEastAsia"/>
          <w:b w:val="0"/>
          <w:bCs/>
          <w:color w:val="auto"/>
          <w:sz w:val="24"/>
          <w:szCs w:val="24"/>
          <w:highlight w:val="none"/>
        </w:rPr>
        <w:t>要求提供的有关文件及优惠承诺。包括以下内容：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投标报价一览表</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价格</w:t>
      </w:r>
      <w:r>
        <w:rPr>
          <w:rFonts w:hint="eastAsia" w:asciiTheme="minorEastAsia" w:hAnsiTheme="minorEastAsia" w:eastAsiaTheme="minorEastAsia" w:cstheme="minorEastAsia"/>
          <w:color w:val="auto"/>
          <w:sz w:val="24"/>
          <w:szCs w:val="24"/>
          <w:highlight w:val="none"/>
          <w:lang w:eastAsia="zh-CN"/>
        </w:rPr>
        <w:t>明细表</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商务条款偏离表；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售后服务承诺</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具备法律、行政法规规定的其他条件的证明材</w:t>
      </w:r>
      <w:r>
        <w:rPr>
          <w:rFonts w:hint="eastAsia" w:asciiTheme="minorEastAsia" w:hAnsiTheme="minorEastAsia" w:eastAsiaTheme="minorEastAsia" w:cstheme="minorEastAsia"/>
          <w:b w:val="0"/>
          <w:bCs/>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lang w:eastAsia="zh-CN"/>
        </w:rPr>
        <w:t>）中小企业声明函；</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）其他</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认为需要提供的文件和资料</w:t>
      </w:r>
      <w:r>
        <w:rPr>
          <w:rFonts w:hint="eastAsia" w:asciiTheme="minorEastAsia" w:hAnsiTheme="minorEastAsia" w:eastAsiaTheme="minorEastAsia" w:cstheme="minorEastAsia"/>
          <w:color w:val="auto"/>
          <w:sz w:val="24"/>
          <w:szCs w:val="24"/>
          <w:highlight w:val="none"/>
          <w:lang w:val="en-US" w:eastAsia="zh-CN"/>
        </w:rPr>
        <w:t>等</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4.资格证明文件</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符合《中华人民共和国政府采购法》第二十二条规定和《中华人民共和国政府采购法》实施条例第十七条规定</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营业执照、税务登记证、组织机构代码证或已作三证合一</w:t>
      </w:r>
      <w:r>
        <w:rPr>
          <w:rFonts w:hint="eastAsia" w:asciiTheme="minorEastAsia" w:hAnsiTheme="minorEastAsia" w:eastAsiaTheme="minorEastAsia" w:cstheme="minorEastAsia"/>
          <w:color w:val="auto"/>
          <w:sz w:val="24"/>
          <w:szCs w:val="24"/>
          <w:lang w:val="en-US" w:eastAsia="zh-CN"/>
        </w:rPr>
        <w:t>或者五</w:t>
      </w:r>
      <w:r>
        <w:rPr>
          <w:rFonts w:hint="eastAsia" w:asciiTheme="minorEastAsia" w:hAnsiTheme="minorEastAsia" w:eastAsiaTheme="minorEastAsia" w:cstheme="minorEastAsia"/>
          <w:color w:val="auto"/>
          <w:sz w:val="24"/>
          <w:szCs w:val="24"/>
        </w:rPr>
        <w:t>证合一的提供统一社会信用代码的营业执照及开户许可证；</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（三）具有良好的商业信誉和健全的财务会计制度：</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财务状况报告（202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年度以来财务审计报告或银行出具的近两个月的银行资信证明）（复印件或原件扫描件），2023 年新成立公司可不提供；</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（四）具有依法缴纳税收和社会保障资金的良好记录：</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具体要求：提供2022年1月（含）至响应文件提交截止时间止任意三个月缴纳税收和社会保障资金的证明材料复印件加盖供应商公章（依法免税或不需要缴纳社保资金的供应商须提供相应证明文件复印件加盖供应商公章）</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（五）具有履行合同所必需的设备和专业技术能力：</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具体要求：供应商自行承诺具有履行合同所必需的设备和专业技术能力（提供承诺函格式自拟）；</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须为未被列入“中国裁判文书网”网站（http://wenshu.court.gov.cn）记录综合查询被执行人；</w:t>
      </w:r>
    </w:p>
    <w:p>
      <w:pPr>
        <w:pStyle w:val="9"/>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提供</w:t>
      </w:r>
      <w:r>
        <w:rPr>
          <w:rFonts w:hint="eastAsia" w:asciiTheme="minorEastAsia" w:hAnsiTheme="minorEastAsia" w:eastAsiaTheme="minorEastAsia" w:cstheme="minorEastAsia"/>
          <w:color w:val="auto"/>
          <w:sz w:val="24"/>
          <w:szCs w:val="24"/>
          <w:highlight w:val="none"/>
          <w:lang w:eastAsia="zh-CN"/>
        </w:rPr>
        <w:t>投标人是否为被列入中国政府采购网、“信用甘肃”、信用中国（甘肃天水）记录失信被执行人等</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val="0"/>
          <w:color w:val="auto"/>
          <w:kern w:val="2"/>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val="0"/>
          <w:color w:val="auto"/>
          <w:kern w:val="2"/>
          <w:sz w:val="24"/>
          <w:szCs w:val="24"/>
          <w:highlight w:val="none"/>
        </w:rPr>
        <w:t>售后要求</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按照招标文件中售后服务要求作出的积极响应和承诺。包括以下内容：</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rPr>
        <w:t>主要防止因</w:t>
      </w:r>
      <w:r>
        <w:rPr>
          <w:rFonts w:hint="eastAsia" w:asciiTheme="minorEastAsia" w:hAnsiTheme="minorEastAsia" w:eastAsiaTheme="minorEastAsia" w:cstheme="minorEastAsia"/>
          <w:b w:val="0"/>
          <w:bCs w:val="0"/>
          <w:color w:val="auto"/>
          <w:sz w:val="24"/>
          <w:szCs w:val="24"/>
          <w:highlight w:val="none"/>
          <w:lang w:val="en-US" w:eastAsia="zh-CN"/>
        </w:rPr>
        <w:t>质量问题</w:t>
      </w:r>
      <w:r>
        <w:rPr>
          <w:rFonts w:hint="eastAsia" w:asciiTheme="minorEastAsia" w:hAnsiTheme="minorEastAsia" w:eastAsiaTheme="minorEastAsia" w:cstheme="minorEastAsia"/>
          <w:b w:val="0"/>
          <w:bCs w:val="0"/>
          <w:color w:val="auto"/>
          <w:sz w:val="24"/>
          <w:szCs w:val="24"/>
          <w:highlight w:val="none"/>
          <w:lang w:val="en-US"/>
        </w:rPr>
        <w:t>或</w:t>
      </w:r>
      <w:r>
        <w:rPr>
          <w:rFonts w:hint="eastAsia" w:asciiTheme="minorEastAsia" w:hAnsiTheme="minorEastAsia" w:eastAsiaTheme="minorEastAsia" w:cstheme="minorEastAsia"/>
          <w:b w:val="0"/>
          <w:bCs w:val="0"/>
          <w:color w:val="auto"/>
          <w:sz w:val="24"/>
          <w:szCs w:val="24"/>
          <w:highlight w:val="none"/>
          <w:lang w:val="en-US" w:eastAsia="zh-CN"/>
        </w:rPr>
        <w:t>其他</w:t>
      </w:r>
      <w:r>
        <w:rPr>
          <w:rFonts w:hint="eastAsia" w:asciiTheme="minorEastAsia" w:hAnsiTheme="minorEastAsia" w:eastAsiaTheme="minorEastAsia" w:cstheme="minorEastAsia"/>
          <w:b w:val="0"/>
          <w:bCs w:val="0"/>
          <w:color w:val="auto"/>
          <w:sz w:val="24"/>
          <w:szCs w:val="24"/>
          <w:highlight w:val="none"/>
          <w:lang w:val="en-US"/>
        </w:rPr>
        <w:t>影响</w:t>
      </w:r>
      <w:r>
        <w:rPr>
          <w:rFonts w:hint="eastAsia" w:asciiTheme="minorEastAsia" w:hAnsiTheme="minorEastAsia" w:eastAsiaTheme="minorEastAsia" w:cstheme="minorEastAsia"/>
          <w:b w:val="0"/>
          <w:bCs w:val="0"/>
          <w:color w:val="auto"/>
          <w:sz w:val="24"/>
          <w:szCs w:val="24"/>
          <w:highlight w:val="none"/>
          <w:lang w:val="en-US" w:eastAsia="zh-CN"/>
        </w:rPr>
        <w:t>采购单位</w:t>
      </w:r>
      <w:r>
        <w:rPr>
          <w:rFonts w:hint="eastAsia" w:asciiTheme="minorEastAsia" w:hAnsiTheme="minorEastAsia" w:eastAsiaTheme="minorEastAsia" w:cstheme="minorEastAsia"/>
          <w:b w:val="0"/>
          <w:bCs w:val="0"/>
          <w:color w:val="auto"/>
          <w:sz w:val="24"/>
          <w:szCs w:val="24"/>
          <w:highlight w:val="none"/>
          <w:lang w:val="en-US"/>
        </w:rPr>
        <w:t>正常使用</w:t>
      </w:r>
      <w:r>
        <w:rPr>
          <w:rFonts w:hint="eastAsia" w:asciiTheme="minorEastAsia" w:hAnsiTheme="minorEastAsia" w:eastAsiaTheme="minorEastAsia" w:cstheme="minorEastAsia"/>
          <w:b w:val="0"/>
          <w:bCs w:val="0"/>
          <w:color w:val="auto"/>
          <w:sz w:val="24"/>
          <w:szCs w:val="24"/>
          <w:highlight w:val="none"/>
          <w:lang w:val="en-US" w:eastAsia="zh-CN"/>
        </w:rPr>
        <w:t>；</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（2）保证产品的质量符合国家标准及质量保证期；</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val="en-US"/>
        </w:rPr>
        <w:t>免费维护期</w:t>
      </w:r>
      <w:r>
        <w:rPr>
          <w:rFonts w:hint="eastAsia" w:asciiTheme="minorEastAsia" w:hAnsiTheme="minorEastAsia" w:eastAsiaTheme="minorEastAsia" w:cstheme="minorEastAsia"/>
          <w:b w:val="0"/>
          <w:bCs w:val="0"/>
          <w:color w:val="auto"/>
          <w:sz w:val="24"/>
          <w:szCs w:val="24"/>
          <w:highlight w:val="none"/>
          <w:lang w:val="en-US" w:eastAsia="zh-CN"/>
        </w:rPr>
        <w:t>限</w:t>
      </w:r>
      <w:r>
        <w:rPr>
          <w:rFonts w:hint="eastAsia" w:asciiTheme="minorEastAsia" w:hAnsiTheme="minorEastAsia" w:eastAsiaTheme="minorEastAsia" w:cstheme="minorEastAsia"/>
          <w:b w:val="0"/>
          <w:bCs w:val="0"/>
          <w:color w:val="auto"/>
          <w:sz w:val="24"/>
          <w:szCs w:val="24"/>
          <w:highlight w:val="none"/>
          <w:lang w:val="en-US"/>
        </w:rPr>
        <w:t>。</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6.</w:t>
      </w:r>
      <w:r>
        <w:rPr>
          <w:rFonts w:hint="eastAsia" w:asciiTheme="minorEastAsia" w:hAnsiTheme="minorEastAsia" w:eastAsiaTheme="minorEastAsia" w:cstheme="minorEastAsia"/>
          <w:b/>
          <w:bCs/>
          <w:color w:val="auto"/>
          <w:kern w:val="2"/>
          <w:sz w:val="24"/>
          <w:szCs w:val="24"/>
          <w:highlight w:val="none"/>
        </w:rPr>
        <w:t>工期</w:t>
      </w:r>
      <w:r>
        <w:rPr>
          <w:rFonts w:hint="eastAsia" w:asciiTheme="minorEastAsia" w:hAnsiTheme="minorEastAsia" w:eastAsiaTheme="minorEastAsia" w:cstheme="minorEastAsia"/>
          <w:b/>
          <w:bCs/>
          <w:color w:val="auto"/>
          <w:kern w:val="2"/>
          <w:sz w:val="24"/>
          <w:szCs w:val="24"/>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供应商需</w:t>
      </w:r>
      <w:r>
        <w:rPr>
          <w:rFonts w:hint="eastAsia" w:asciiTheme="minorEastAsia" w:hAnsiTheme="minorEastAsia" w:eastAsiaTheme="minorEastAsia" w:cstheme="minorEastAsia"/>
          <w:color w:val="auto"/>
          <w:sz w:val="24"/>
          <w:szCs w:val="24"/>
          <w:highlight w:val="none"/>
          <w:lang w:val="en-US" w:eastAsia="zh-CN"/>
        </w:rPr>
        <w:t>按照采购单位的需求情况，</w:t>
      </w:r>
      <w:r>
        <w:rPr>
          <w:rFonts w:hint="eastAsia" w:asciiTheme="minorEastAsia" w:hAnsiTheme="minorEastAsia" w:eastAsiaTheme="minorEastAsia" w:cstheme="minorEastAsia"/>
          <w:color w:val="auto"/>
          <w:sz w:val="24"/>
          <w:szCs w:val="24"/>
          <w:highlight w:val="none"/>
          <w:lang w:val="zh-CN"/>
        </w:rPr>
        <w:t>在</w:t>
      </w:r>
      <w:r>
        <w:rPr>
          <w:rFonts w:hint="eastAsia" w:asciiTheme="minorEastAsia" w:hAnsiTheme="minorEastAsia" w:eastAsiaTheme="minorEastAsia" w:cstheme="minorEastAsia"/>
          <w:color w:val="auto"/>
          <w:sz w:val="24"/>
          <w:szCs w:val="24"/>
          <w:highlight w:val="none"/>
          <w:lang w:val="en-US" w:eastAsia="zh-CN"/>
        </w:rPr>
        <w:t>所</w:t>
      </w:r>
      <w:r>
        <w:rPr>
          <w:rFonts w:hint="eastAsia" w:asciiTheme="minorEastAsia" w:hAnsiTheme="minorEastAsia" w:eastAsiaTheme="minorEastAsia" w:cstheme="minorEastAsia"/>
          <w:color w:val="auto"/>
          <w:sz w:val="24"/>
          <w:szCs w:val="24"/>
          <w:highlight w:val="none"/>
          <w:lang w:val="zh-CN"/>
        </w:rPr>
        <w:t>签订</w:t>
      </w:r>
      <w:r>
        <w:rPr>
          <w:rFonts w:hint="eastAsia" w:asciiTheme="minorEastAsia" w:hAnsiTheme="minorEastAsia" w:eastAsiaTheme="minorEastAsia" w:cstheme="minorEastAsia"/>
          <w:color w:val="auto"/>
          <w:sz w:val="24"/>
          <w:szCs w:val="24"/>
          <w:highlight w:val="none"/>
          <w:lang w:val="en-US" w:eastAsia="zh-CN"/>
        </w:rPr>
        <w:t>合同后按规定时限完成供货，并提供响应的伴随服务</w:t>
      </w:r>
      <w:r>
        <w:rPr>
          <w:rFonts w:hint="eastAsia" w:asciiTheme="minorEastAsia" w:hAnsiTheme="minorEastAsia" w:eastAsiaTheme="minorEastAsia" w:cstheme="minorEastAsia"/>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before="0" w:line="400" w:lineRule="exact"/>
        <w:ind w:left="0" w:leftChars="0" w:firstLine="482" w:firstLineChars="200"/>
        <w:jc w:val="both"/>
        <w:textAlignment w:val="auto"/>
        <w:outlineLvl w:val="9"/>
        <w:rPr>
          <w:rFonts w:hint="eastAsia" w:asciiTheme="minorEastAsia" w:hAnsiTheme="minorEastAsia" w:eastAsiaTheme="minorEastAsia" w:cstheme="minorEastAsia"/>
          <w:b/>
          <w:bCs/>
          <w:color w:val="auto"/>
          <w:kern w:val="2"/>
          <w:sz w:val="24"/>
          <w:szCs w:val="24"/>
          <w:highlight w:val="none"/>
        </w:rPr>
      </w:pPr>
      <w:r>
        <w:rPr>
          <w:rFonts w:hint="eastAsia" w:asciiTheme="minorEastAsia" w:hAnsiTheme="minorEastAsia" w:eastAsiaTheme="minorEastAsia" w:cstheme="minorEastAsia"/>
          <w:b/>
          <w:bCs/>
          <w:color w:val="auto"/>
          <w:kern w:val="2"/>
          <w:sz w:val="24"/>
          <w:szCs w:val="24"/>
          <w:highlight w:val="none"/>
          <w:lang w:val="en-US" w:eastAsia="zh-CN"/>
        </w:rPr>
        <w:t>7.</w:t>
      </w:r>
      <w:r>
        <w:rPr>
          <w:rFonts w:hint="eastAsia" w:asciiTheme="minorEastAsia" w:hAnsiTheme="minorEastAsia" w:eastAsiaTheme="minorEastAsia" w:cstheme="minorEastAsia"/>
          <w:b/>
          <w:bCs/>
          <w:color w:val="auto"/>
          <w:kern w:val="2"/>
          <w:sz w:val="24"/>
          <w:szCs w:val="24"/>
          <w:highlight w:val="none"/>
        </w:rPr>
        <w:t>质保期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供应商必须承诺</w:t>
      </w:r>
      <w:r>
        <w:rPr>
          <w:rFonts w:hint="eastAsia" w:asciiTheme="minorEastAsia" w:hAnsiTheme="minorEastAsia" w:eastAsiaTheme="minorEastAsia" w:cstheme="minorEastAsia"/>
          <w:color w:val="auto"/>
          <w:sz w:val="24"/>
          <w:szCs w:val="24"/>
          <w:highlight w:val="none"/>
          <w:lang w:val="en-US" w:eastAsia="zh-CN"/>
        </w:rPr>
        <w:t>质量保证期及</w:t>
      </w:r>
      <w:r>
        <w:rPr>
          <w:rFonts w:hint="eastAsia" w:asciiTheme="minorEastAsia" w:hAnsiTheme="minorEastAsia" w:eastAsiaTheme="minorEastAsia" w:cstheme="minorEastAsia"/>
          <w:color w:val="auto"/>
          <w:sz w:val="24"/>
          <w:szCs w:val="24"/>
          <w:highlight w:val="none"/>
          <w:lang w:val="zh-CN"/>
        </w:rPr>
        <w:t>技术</w:t>
      </w:r>
      <w:r>
        <w:rPr>
          <w:rFonts w:hint="eastAsia" w:asciiTheme="minorEastAsia" w:hAnsiTheme="minorEastAsia" w:eastAsiaTheme="minorEastAsia" w:cstheme="minorEastAsia"/>
          <w:color w:val="auto"/>
          <w:sz w:val="24"/>
          <w:szCs w:val="24"/>
          <w:highlight w:val="none"/>
          <w:lang w:val="en-US" w:eastAsia="zh-CN"/>
        </w:rPr>
        <w:t>售后</w:t>
      </w:r>
      <w:r>
        <w:rPr>
          <w:rFonts w:hint="eastAsia" w:asciiTheme="minorEastAsia" w:hAnsiTheme="minorEastAsia" w:eastAsiaTheme="minorEastAsia" w:cstheme="minorEastAsia"/>
          <w:color w:val="auto"/>
          <w:sz w:val="24"/>
          <w:szCs w:val="24"/>
          <w:highlight w:val="none"/>
          <w:lang w:val="zh-CN"/>
        </w:rPr>
        <w:t>支持，为</w:t>
      </w:r>
      <w:r>
        <w:rPr>
          <w:rFonts w:hint="eastAsia" w:asciiTheme="minorEastAsia" w:hAnsiTheme="minorEastAsia" w:eastAsiaTheme="minorEastAsia" w:cstheme="minorEastAsia"/>
          <w:color w:val="auto"/>
          <w:sz w:val="24"/>
          <w:szCs w:val="24"/>
          <w:highlight w:val="none"/>
          <w:lang w:val="en-US" w:eastAsia="zh-CN"/>
        </w:rPr>
        <w:t>采购单位</w:t>
      </w:r>
      <w:r>
        <w:rPr>
          <w:rFonts w:hint="eastAsia" w:asciiTheme="minorEastAsia" w:hAnsiTheme="minorEastAsia" w:eastAsiaTheme="minorEastAsia" w:cstheme="minorEastAsia"/>
          <w:color w:val="auto"/>
          <w:sz w:val="24"/>
          <w:szCs w:val="24"/>
          <w:highlight w:val="none"/>
          <w:lang w:val="zh-CN"/>
        </w:rPr>
        <w:t>在验收完毕后使用过程中提供免费技术支持。</w:t>
      </w:r>
    </w:p>
    <w:p>
      <w:pPr>
        <w:keepNext w:val="0"/>
        <w:keepLines w:val="0"/>
        <w:pageBreakBefore w:val="0"/>
        <w:widowControl w:val="0"/>
        <w:kinsoku/>
        <w:wordWrap/>
        <w:overflowPunct/>
        <w:topLinePunct w:val="0"/>
        <w:autoSpaceDE/>
        <w:autoSpaceDN/>
        <w:bidi w:val="0"/>
        <w:adjustRightInd/>
        <w:snapToGrid/>
        <w:spacing w:before="0" w:line="400" w:lineRule="exact"/>
        <w:ind w:left="0" w:leftChars="0" w:firstLine="482" w:firstLineChars="200"/>
        <w:jc w:val="both"/>
        <w:textAlignment w:val="auto"/>
        <w:outlineLvl w:val="9"/>
        <w:rPr>
          <w:rFonts w:hint="eastAsia" w:asciiTheme="minorEastAsia" w:hAnsiTheme="minorEastAsia" w:eastAsiaTheme="minorEastAsia" w:cstheme="minorEastAsia"/>
          <w:b/>
          <w:bCs/>
          <w:color w:val="auto"/>
          <w:kern w:val="2"/>
          <w:sz w:val="24"/>
          <w:szCs w:val="24"/>
          <w:highlight w:val="none"/>
        </w:rPr>
      </w:pPr>
      <w:r>
        <w:rPr>
          <w:rFonts w:hint="eastAsia" w:asciiTheme="minorEastAsia" w:hAnsiTheme="minorEastAsia" w:eastAsiaTheme="minorEastAsia" w:cstheme="minorEastAsia"/>
          <w:b/>
          <w:bCs/>
          <w:color w:val="auto"/>
          <w:kern w:val="2"/>
          <w:sz w:val="24"/>
          <w:szCs w:val="24"/>
          <w:highlight w:val="none"/>
          <w:lang w:val="en-US" w:eastAsia="zh-CN"/>
        </w:rPr>
        <w:t>8.</w:t>
      </w:r>
      <w:r>
        <w:rPr>
          <w:rFonts w:hint="eastAsia" w:asciiTheme="minorEastAsia" w:hAnsiTheme="minorEastAsia" w:eastAsiaTheme="minorEastAsia" w:cstheme="minorEastAsia"/>
          <w:b/>
          <w:bCs/>
          <w:color w:val="auto"/>
          <w:kern w:val="2"/>
          <w:sz w:val="24"/>
          <w:szCs w:val="24"/>
          <w:highlight w:val="none"/>
        </w:rPr>
        <w:t>验收要求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验收的主要依据包括本</w:t>
      </w:r>
      <w:r>
        <w:rPr>
          <w:rFonts w:hint="eastAsia" w:asciiTheme="minorEastAsia" w:hAnsiTheme="minorEastAsia" w:eastAsiaTheme="minorEastAsia" w:cstheme="minorEastAsia"/>
          <w:color w:val="auto"/>
          <w:sz w:val="24"/>
          <w:szCs w:val="24"/>
          <w:highlight w:val="none"/>
          <w:lang w:val="en-US" w:eastAsia="zh-CN"/>
        </w:rPr>
        <w:t>项目征集文件、征集响应文件</w:t>
      </w:r>
      <w:r>
        <w:rPr>
          <w:rFonts w:hint="eastAsia" w:asciiTheme="minorEastAsia" w:hAnsiTheme="minorEastAsia" w:eastAsiaTheme="minorEastAsia" w:cstheme="minorEastAsia"/>
          <w:color w:val="auto"/>
          <w:sz w:val="24"/>
          <w:szCs w:val="24"/>
          <w:highlight w:val="none"/>
          <w:lang w:val="zh-CN"/>
        </w:rPr>
        <w:t>、合同文件，以及用户需求说明书，将</w:t>
      </w:r>
      <w:r>
        <w:rPr>
          <w:rFonts w:hint="eastAsia" w:asciiTheme="minorEastAsia" w:hAnsiTheme="minorEastAsia" w:eastAsiaTheme="minorEastAsia" w:cstheme="minorEastAsia"/>
          <w:color w:val="auto"/>
          <w:sz w:val="24"/>
          <w:szCs w:val="24"/>
          <w:highlight w:val="none"/>
          <w:lang w:val="en-US" w:eastAsia="zh-CN"/>
        </w:rPr>
        <w:t>产品</w:t>
      </w:r>
      <w:r>
        <w:rPr>
          <w:rFonts w:hint="eastAsia" w:asciiTheme="minorEastAsia" w:hAnsiTheme="minorEastAsia" w:eastAsiaTheme="minorEastAsia" w:cstheme="minorEastAsia"/>
          <w:color w:val="auto"/>
          <w:sz w:val="24"/>
          <w:szCs w:val="24"/>
          <w:highlight w:val="none"/>
          <w:lang w:val="zh-CN"/>
        </w:rPr>
        <w:t>安装并调试至最佳状态。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项目所有工作内容完成以后，由供应商提交验收申请，由采购人组织验收小组，负责对项目进行全面验收，项目验收依次序对照执行标准为：①符合中华人民共和国相关质量标准、行业技术规范标准；②符合采购文件和响应承诺中各方共同认可的各项要求；③双方约定的其他验收标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rPr>
        <w:t>其他部分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按照</w:t>
      </w:r>
      <w:r>
        <w:rPr>
          <w:rFonts w:hint="eastAsia" w:asciiTheme="minorEastAsia" w:hAnsiTheme="minorEastAsia" w:eastAsiaTheme="minorEastAsia" w:cstheme="minorEastAsia"/>
          <w:bCs/>
          <w:color w:val="auto"/>
          <w:sz w:val="24"/>
          <w:szCs w:val="24"/>
          <w:highlight w:val="none"/>
          <w:lang w:eastAsia="zh-CN"/>
        </w:rPr>
        <w:t>征集文件</w:t>
      </w:r>
      <w:r>
        <w:rPr>
          <w:rFonts w:hint="eastAsia" w:asciiTheme="minorEastAsia" w:hAnsiTheme="minorEastAsia" w:eastAsiaTheme="minorEastAsia" w:cstheme="minorEastAsia"/>
          <w:bCs/>
          <w:color w:val="auto"/>
          <w:sz w:val="24"/>
          <w:szCs w:val="24"/>
          <w:highlight w:val="none"/>
        </w:rPr>
        <w:t>要求作出的其他应答和承诺。</w:t>
      </w:r>
    </w:p>
    <w:p>
      <w:pPr>
        <w:keepNext w:val="0"/>
        <w:keepLines w:val="0"/>
        <w:pageBreakBefore w:val="0"/>
        <w:widowControl w:val="0"/>
        <w:tabs>
          <w:tab w:val="left" w:pos="3480"/>
        </w:tabs>
        <w:kinsoku/>
        <w:wordWrap/>
        <w:overflowPunct/>
        <w:topLinePunct w:val="0"/>
        <w:autoSpaceDE/>
        <w:autoSpaceDN/>
        <w:bidi w:val="0"/>
        <w:adjustRightInd/>
        <w:snapToGrid/>
        <w:spacing w:before="0" w:after="0"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66" w:name="_Toc217446049"/>
      <w:bookmarkStart w:id="67" w:name="_Toc25088"/>
      <w:bookmarkStart w:id="68" w:name="_Toc183682355"/>
      <w:bookmarkStart w:id="69" w:name="_Toc3586"/>
      <w:bookmarkStart w:id="70" w:name="_Toc308164799"/>
      <w:bookmarkStart w:id="71" w:name="_Toc183582218"/>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八</w:t>
      </w:r>
      <w:r>
        <w:rPr>
          <w:rFonts w:hint="eastAsia" w:asciiTheme="minorEastAsia" w:hAnsiTheme="minorEastAsia" w:eastAsiaTheme="minorEastAsia" w:cstheme="minorEastAsia"/>
          <w:b/>
          <w:bCs/>
          <w:color w:val="auto"/>
          <w:sz w:val="24"/>
          <w:szCs w:val="24"/>
          <w:lang w:eastAsia="zh-CN"/>
        </w:rPr>
        <w:t>）征集响应文件</w:t>
      </w:r>
      <w:r>
        <w:rPr>
          <w:rFonts w:hint="eastAsia" w:asciiTheme="minorEastAsia" w:hAnsiTheme="minorEastAsia" w:eastAsiaTheme="minorEastAsia" w:cstheme="minorEastAsia"/>
          <w:b/>
          <w:bCs/>
          <w:color w:val="auto"/>
          <w:sz w:val="24"/>
          <w:szCs w:val="24"/>
        </w:rPr>
        <w:t>格式</w:t>
      </w:r>
      <w:bookmarkEnd w:id="66"/>
      <w:bookmarkEnd w:id="67"/>
      <w:bookmarkEnd w:id="68"/>
      <w:bookmarkEnd w:id="69"/>
      <w:bookmarkEnd w:id="70"/>
      <w:bookmarkEnd w:id="71"/>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应执行</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lang w:val="en-US" w:eastAsia="zh-CN"/>
        </w:rPr>
        <w:t>第七章</w:t>
      </w:r>
      <w:r>
        <w:rPr>
          <w:rFonts w:hint="eastAsia" w:asciiTheme="minorEastAsia" w:hAnsiTheme="minorEastAsia" w:eastAsiaTheme="minorEastAsia" w:cstheme="minorEastAsia"/>
          <w:color w:val="auto"/>
          <w:sz w:val="24"/>
          <w:szCs w:val="24"/>
        </w:rPr>
        <w:t>规定</w:t>
      </w:r>
      <w:r>
        <w:rPr>
          <w:rFonts w:hint="eastAsia" w:asciiTheme="minorEastAsia" w:hAnsiTheme="minorEastAsia" w:eastAsiaTheme="minorEastAsia" w:cstheme="minorEastAsia"/>
          <w:color w:val="auto"/>
          <w:sz w:val="24"/>
          <w:szCs w:val="24"/>
          <w:lang w:val="en-US" w:eastAsia="zh-CN"/>
        </w:rPr>
        <w:t>的格式填写相关内容</w:t>
      </w:r>
      <w:r>
        <w:rPr>
          <w:rFonts w:hint="eastAsia" w:asciiTheme="minorEastAsia" w:hAnsiTheme="minorEastAsia" w:eastAsiaTheme="minorEastAsia" w:cstheme="minorEastAsia"/>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对于没有格式要求的</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自行编写。</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2" w:firstLineChars="200"/>
        <w:jc w:val="both"/>
        <w:outlineLvl w:val="9"/>
        <w:rPr>
          <w:rFonts w:hint="eastAsia" w:asciiTheme="minorEastAsia" w:hAnsiTheme="minorEastAsia" w:eastAsiaTheme="minorEastAsia" w:cstheme="minorEastAsia"/>
          <w:b/>
          <w:bCs w:val="0"/>
          <w:color w:val="auto"/>
          <w:sz w:val="24"/>
          <w:szCs w:val="24"/>
        </w:rPr>
      </w:pPr>
      <w:bookmarkStart w:id="72" w:name="_Toc217446051"/>
      <w:bookmarkStart w:id="73" w:name="_Toc308164801"/>
      <w:bookmarkStart w:id="74" w:name="_Toc183582224"/>
      <w:bookmarkStart w:id="75" w:name="_Toc183682361"/>
      <w:bookmarkStart w:id="76" w:name="_Toc22156"/>
      <w:bookmarkStart w:id="77" w:name="_Toc10834"/>
      <w:r>
        <w:rPr>
          <w:rFonts w:hint="eastAsia" w:asciiTheme="minorEastAsia" w:hAnsiTheme="minorEastAsia" w:eastAsiaTheme="minorEastAsia" w:cstheme="minorEastAsia"/>
          <w:b/>
          <w:bCs w:val="0"/>
          <w:color w:val="auto"/>
          <w:sz w:val="24"/>
          <w:szCs w:val="24"/>
          <w:lang w:eastAsia="zh-CN"/>
        </w:rPr>
        <w:t>（</w:t>
      </w:r>
      <w:r>
        <w:rPr>
          <w:rFonts w:hint="eastAsia" w:asciiTheme="minorEastAsia" w:hAnsiTheme="minorEastAsia" w:eastAsiaTheme="minorEastAsia" w:cstheme="minorEastAsia"/>
          <w:b/>
          <w:bCs w:val="0"/>
          <w:color w:val="auto"/>
          <w:sz w:val="24"/>
          <w:szCs w:val="24"/>
          <w:lang w:val="en-US" w:eastAsia="zh-CN"/>
        </w:rPr>
        <w:t>九</w:t>
      </w:r>
      <w:r>
        <w:rPr>
          <w:rFonts w:hint="eastAsia" w:asciiTheme="minorEastAsia" w:hAnsiTheme="minorEastAsia" w:eastAsiaTheme="minorEastAsia" w:cstheme="minorEastAsia"/>
          <w:b/>
          <w:bCs w:val="0"/>
          <w:color w:val="auto"/>
          <w:sz w:val="24"/>
          <w:szCs w:val="24"/>
          <w:lang w:eastAsia="zh-CN"/>
        </w:rPr>
        <w:t>）</w:t>
      </w:r>
      <w:r>
        <w:rPr>
          <w:rFonts w:hint="eastAsia" w:asciiTheme="minorEastAsia" w:hAnsiTheme="minorEastAsia" w:eastAsiaTheme="minorEastAsia" w:cstheme="minorEastAsia"/>
          <w:b/>
          <w:bCs w:val="0"/>
          <w:color w:val="auto"/>
          <w:sz w:val="24"/>
          <w:szCs w:val="24"/>
        </w:rPr>
        <w:t>投标有效期</w:t>
      </w:r>
      <w:bookmarkEnd w:id="72"/>
      <w:bookmarkEnd w:id="73"/>
      <w:bookmarkEnd w:id="74"/>
      <w:bookmarkEnd w:id="75"/>
      <w:r>
        <w:rPr>
          <w:rFonts w:hint="eastAsia" w:asciiTheme="minorEastAsia" w:hAnsiTheme="minorEastAsia" w:eastAsiaTheme="minorEastAsia" w:cstheme="minorEastAsia"/>
          <w:b/>
          <w:bCs w:val="0"/>
          <w:color w:val="auto"/>
          <w:sz w:val="24"/>
          <w:szCs w:val="24"/>
        </w:rPr>
        <w:t>（实质性要求）</w:t>
      </w:r>
      <w:bookmarkEnd w:id="76"/>
      <w:bookmarkEnd w:id="77"/>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本项目投标有效期为投标截止时间届满后60天。</w:t>
      </w:r>
      <w:r>
        <w:rPr>
          <w:rFonts w:hint="eastAsia" w:asciiTheme="minorEastAsia" w:hAnsiTheme="minorEastAsia" w:eastAsiaTheme="minorEastAsia" w:cstheme="minorEastAsia"/>
          <w:b/>
          <w:bCs w:val="0"/>
          <w:color w:val="auto"/>
          <w:sz w:val="24"/>
          <w:szCs w:val="24"/>
          <w:highlight w:val="none"/>
          <w:lang w:eastAsia="zh-CN"/>
        </w:rPr>
        <w:t>供应商征集响应文件</w:t>
      </w:r>
      <w:r>
        <w:rPr>
          <w:rFonts w:hint="eastAsia" w:asciiTheme="minorEastAsia" w:hAnsiTheme="minorEastAsia" w:eastAsiaTheme="minorEastAsia" w:cstheme="minorEastAsia"/>
          <w:b/>
          <w:bCs w:val="0"/>
          <w:color w:val="auto"/>
          <w:sz w:val="24"/>
          <w:szCs w:val="24"/>
          <w:highlight w:val="none"/>
        </w:rPr>
        <w:t>中必须载明投标有效期，</w:t>
      </w:r>
      <w:r>
        <w:rPr>
          <w:rFonts w:hint="eastAsia" w:asciiTheme="minorEastAsia" w:hAnsiTheme="minorEastAsia" w:eastAsiaTheme="minorEastAsia" w:cstheme="minorEastAsia"/>
          <w:b/>
          <w:bCs w:val="0"/>
          <w:color w:val="auto"/>
          <w:sz w:val="24"/>
          <w:szCs w:val="24"/>
          <w:highlight w:val="none"/>
          <w:lang w:eastAsia="zh-CN"/>
        </w:rPr>
        <w:t>征集响应文件</w:t>
      </w:r>
      <w:r>
        <w:rPr>
          <w:rFonts w:hint="eastAsia" w:asciiTheme="minorEastAsia" w:hAnsiTheme="minorEastAsia" w:eastAsiaTheme="minorEastAsia" w:cstheme="minorEastAsia"/>
          <w:b/>
          <w:bCs w:val="0"/>
          <w:color w:val="auto"/>
          <w:sz w:val="24"/>
          <w:szCs w:val="24"/>
          <w:highlight w:val="none"/>
        </w:rPr>
        <w:t>中载明的投标有效期可以长于</w:t>
      </w:r>
      <w:r>
        <w:rPr>
          <w:rFonts w:hint="eastAsia" w:asciiTheme="minorEastAsia" w:hAnsiTheme="minorEastAsia" w:eastAsiaTheme="minorEastAsia" w:cstheme="minorEastAsia"/>
          <w:b/>
          <w:bCs w:val="0"/>
          <w:color w:val="auto"/>
          <w:sz w:val="24"/>
          <w:szCs w:val="24"/>
          <w:highlight w:val="none"/>
          <w:lang w:eastAsia="zh-CN"/>
        </w:rPr>
        <w:t>征集文件</w:t>
      </w:r>
      <w:r>
        <w:rPr>
          <w:rFonts w:hint="eastAsia" w:asciiTheme="minorEastAsia" w:hAnsiTheme="minorEastAsia" w:eastAsiaTheme="minorEastAsia" w:cstheme="minorEastAsia"/>
          <w:b/>
          <w:bCs w:val="0"/>
          <w:color w:val="auto"/>
          <w:sz w:val="24"/>
          <w:szCs w:val="24"/>
          <w:highlight w:val="none"/>
        </w:rPr>
        <w:t>规定的期限，但不得短于</w:t>
      </w:r>
      <w:r>
        <w:rPr>
          <w:rFonts w:hint="eastAsia" w:asciiTheme="minorEastAsia" w:hAnsiTheme="minorEastAsia" w:eastAsiaTheme="minorEastAsia" w:cstheme="minorEastAsia"/>
          <w:b/>
          <w:bCs w:val="0"/>
          <w:color w:val="auto"/>
          <w:sz w:val="24"/>
          <w:szCs w:val="24"/>
          <w:highlight w:val="none"/>
          <w:lang w:eastAsia="zh-CN"/>
        </w:rPr>
        <w:t>征集文件</w:t>
      </w:r>
      <w:r>
        <w:rPr>
          <w:rFonts w:hint="eastAsia" w:asciiTheme="minorEastAsia" w:hAnsiTheme="minorEastAsia" w:eastAsiaTheme="minorEastAsia" w:cstheme="minorEastAsia"/>
          <w:b/>
          <w:bCs w:val="0"/>
          <w:color w:val="auto"/>
          <w:sz w:val="24"/>
          <w:szCs w:val="24"/>
          <w:highlight w:val="none"/>
        </w:rPr>
        <w:t>规定的期限。否则，其</w:t>
      </w:r>
      <w:r>
        <w:rPr>
          <w:rFonts w:hint="eastAsia" w:asciiTheme="minorEastAsia" w:hAnsiTheme="minorEastAsia" w:eastAsiaTheme="minorEastAsia" w:cstheme="minorEastAsia"/>
          <w:b/>
          <w:bCs w:val="0"/>
          <w:color w:val="auto"/>
          <w:sz w:val="24"/>
          <w:szCs w:val="24"/>
          <w:highlight w:val="none"/>
          <w:lang w:eastAsia="zh-CN"/>
        </w:rPr>
        <w:t>征集响应文件</w:t>
      </w:r>
      <w:r>
        <w:rPr>
          <w:rFonts w:hint="eastAsia" w:asciiTheme="minorEastAsia" w:hAnsiTheme="minorEastAsia" w:eastAsiaTheme="minorEastAsia" w:cstheme="minorEastAsia"/>
          <w:b/>
          <w:bCs w:val="0"/>
          <w:color w:val="auto"/>
          <w:sz w:val="24"/>
          <w:szCs w:val="24"/>
          <w:highlight w:val="none"/>
        </w:rPr>
        <w:t>将作为无效投标处理。</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Cs/>
          <w:color w:val="auto"/>
          <w:sz w:val="24"/>
          <w:szCs w:val="24"/>
        </w:rPr>
        <w:t>因不可抗力事件，</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可于投标有效期届满之前与</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协商延长投标有效期。</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拒绝延长投标有效期的，不得再参与该项目后续采购活动，但由此给</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造成的损失，</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可以自主决定是否可以给予适当补偿。</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同意延长投标有效期的，不能修改</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lang w:val="en-US" w:eastAsia="zh-CN"/>
        </w:rPr>
      </w:pPr>
      <w:bookmarkStart w:id="78" w:name="_Toc8726"/>
      <w:r>
        <w:rPr>
          <w:rFonts w:hint="eastAsia" w:asciiTheme="minorEastAsia" w:hAnsiTheme="minorEastAsia" w:eastAsiaTheme="minorEastAsia" w:cstheme="minorEastAsia"/>
          <w:b/>
          <w:bCs/>
          <w:color w:val="auto"/>
          <w:sz w:val="24"/>
          <w:szCs w:val="24"/>
          <w:lang w:val="en-US" w:eastAsia="zh-CN"/>
        </w:rPr>
        <w:t>（十）投标保证金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本项目不收取投标保证金。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十一</w:t>
      </w:r>
      <w:r>
        <w:rPr>
          <w:rFonts w:hint="eastAsia" w:asciiTheme="minorEastAsia" w:hAnsiTheme="minorEastAsia" w:eastAsiaTheme="minorEastAsia" w:cstheme="minorEastAsia"/>
          <w:b/>
          <w:bCs/>
          <w:color w:val="auto"/>
          <w:sz w:val="24"/>
          <w:szCs w:val="24"/>
          <w:lang w:eastAsia="zh-CN"/>
        </w:rPr>
        <w:t>）征集响应文件</w:t>
      </w:r>
      <w:r>
        <w:rPr>
          <w:rFonts w:hint="eastAsia" w:asciiTheme="minorEastAsia" w:hAnsiTheme="minorEastAsia" w:eastAsiaTheme="minorEastAsia" w:cstheme="minorEastAsia"/>
          <w:b/>
          <w:bCs/>
          <w:color w:val="auto"/>
          <w:sz w:val="24"/>
          <w:szCs w:val="24"/>
        </w:rPr>
        <w:t>的密封和递交</w:t>
      </w:r>
      <w:bookmarkEnd w:id="78"/>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应按“</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须知前附表”要求提供加密的电子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1份。</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加密的电子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应保证能正常读取，否则造成的一切后果由</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自行承担。</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的书写应清楚工整，任何行间插字、涂改或增删，必须由</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的法定代表人或其委托代理人签字或</w:t>
      </w:r>
      <w:r>
        <w:rPr>
          <w:rFonts w:hint="eastAsia" w:asciiTheme="minorEastAsia" w:hAnsiTheme="minorEastAsia" w:eastAsiaTheme="minorEastAsia" w:cstheme="minorEastAsia"/>
          <w:b w:val="0"/>
          <w:bCs/>
          <w:color w:val="auto"/>
          <w:sz w:val="24"/>
          <w:szCs w:val="24"/>
          <w:lang w:val="en-US" w:eastAsia="zh-CN"/>
        </w:rPr>
        <w:t>加盖个人印章</w:t>
      </w:r>
      <w:r>
        <w:rPr>
          <w:rFonts w:hint="eastAsia" w:asciiTheme="minorEastAsia" w:hAnsiTheme="minorEastAsia" w:eastAsiaTheme="minorEastAsia" w:cstheme="minorEastAsia"/>
          <w:b w:val="0"/>
          <w:bCs/>
          <w:color w:val="auto"/>
          <w:sz w:val="24"/>
          <w:szCs w:val="24"/>
        </w:rPr>
        <w:t>。字迹潦草、表达不清或可能导致非唯一理解的电子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lang w:val="en-US" w:eastAsia="zh-CN"/>
        </w:rPr>
        <w:t>则被</w:t>
      </w:r>
      <w:r>
        <w:rPr>
          <w:rFonts w:hint="eastAsia" w:asciiTheme="minorEastAsia" w:hAnsiTheme="minorEastAsia" w:eastAsiaTheme="minorEastAsia" w:cstheme="minorEastAsia"/>
          <w:b w:val="0"/>
          <w:bCs/>
          <w:color w:val="auto"/>
          <w:sz w:val="24"/>
          <w:szCs w:val="24"/>
        </w:rPr>
        <w:t>视为无效投标。</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应根据</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的要求制作，签署、盖章和内容应完整，</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由法定代表人或经其正式授权的代表签字。授权代表须将以书面形式出具的《法定代表人授权书》附在</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中。</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的每一页都应由法定代表人或其授权代表签字并加盖供应商公章，如有遗漏，将被视为无效投标。</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统一用A4幅面编制。</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必须提供法定代表人和其委托代理人的身份证复印件，其委托代理人如在评标过程中进行必要的澄清或答疑时还必须出示身份证原件以确认其有效身份，否则将视为无效投标。</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的递交</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本项目采用“甘肃中工国际不见面开标大厅”网上电子投标方式，投标供应商将加密加密的电子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按</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要求成功上传提交到“甘肃中工国际不见面开标大厅”。对于在开标截止时间前没有进行网上签到则视为放弃投标。</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8</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本次</w:t>
      </w:r>
      <w:r>
        <w:rPr>
          <w:rFonts w:hint="eastAsia" w:asciiTheme="minorEastAsia" w:hAnsiTheme="minorEastAsia" w:eastAsiaTheme="minorEastAsia" w:cstheme="minorEastAsia"/>
          <w:b w:val="0"/>
          <w:bCs/>
          <w:color w:val="auto"/>
          <w:sz w:val="24"/>
          <w:szCs w:val="24"/>
          <w:lang w:eastAsia="zh-CN"/>
        </w:rPr>
        <w:t>框架协议</w:t>
      </w:r>
      <w:r>
        <w:rPr>
          <w:rFonts w:hint="eastAsia" w:asciiTheme="minorEastAsia" w:hAnsiTheme="minorEastAsia" w:eastAsiaTheme="minorEastAsia" w:cstheme="minorEastAsia"/>
          <w:b w:val="0"/>
          <w:bCs/>
          <w:color w:val="auto"/>
          <w:sz w:val="24"/>
          <w:szCs w:val="24"/>
        </w:rPr>
        <w:t>不接受邮寄的电子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9</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的修改和撤回</w:t>
      </w:r>
      <w:r>
        <w:rPr>
          <w:rFonts w:hint="eastAsia" w:asciiTheme="minorEastAsia" w:hAnsiTheme="minorEastAsia" w:eastAsiaTheme="minorEastAsia" w:cstheme="minorEastAsia"/>
          <w:b w:val="0"/>
          <w:bCs/>
          <w:color w:val="auto"/>
          <w:sz w:val="24"/>
          <w:szCs w:val="24"/>
          <w:lang w:eastAsia="zh-CN"/>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在投标截止时间前，可以对所递交的电子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进行补充、修改或者撤回，但集采机构必须在规定的投标截止时间之前收到该修改或撤回的书面通知。补充、修改的内容应当按照投标须知第21条规定要求签署、盖章、密封后，作为电子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的组成部分。</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在投标截止时间之后，</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不得对其提交的电子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做任何修改或撤回投标。</w:t>
      </w:r>
    </w:p>
    <w:p>
      <w:pPr>
        <w:keepNext w:val="0"/>
        <w:keepLines w:val="0"/>
        <w:pageBreakBefore w:val="0"/>
        <w:widowControl w:val="0"/>
        <w:tabs>
          <w:tab w:val="center" w:pos="4231"/>
          <w:tab w:val="left" w:pos="6000"/>
        </w:tabs>
        <w:kinsoku/>
        <w:wordWrap/>
        <w:overflowPunct/>
        <w:topLinePunct w:val="0"/>
        <w:autoSpaceDE/>
        <w:autoSpaceDN/>
        <w:bidi w:val="0"/>
        <w:adjustRightInd/>
        <w:snapToGrid/>
        <w:spacing w:line="400" w:lineRule="exact"/>
        <w:ind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79" w:name="_Toc26062"/>
      <w:bookmarkStart w:id="80" w:name="_Toc17483"/>
      <w:r>
        <w:rPr>
          <w:rFonts w:hint="eastAsia" w:asciiTheme="minorEastAsia" w:hAnsiTheme="minorEastAsia" w:eastAsiaTheme="minorEastAsia" w:cstheme="minorEastAsia"/>
          <w:b w:val="0"/>
          <w:bCs/>
          <w:color w:val="auto"/>
          <w:sz w:val="24"/>
          <w:szCs w:val="24"/>
          <w:lang w:val="en-US" w:eastAsia="zh-CN"/>
        </w:rPr>
        <w:t>五、</w:t>
      </w:r>
      <w:r>
        <w:rPr>
          <w:rFonts w:hint="eastAsia" w:asciiTheme="minorEastAsia" w:hAnsiTheme="minorEastAsia" w:eastAsiaTheme="minorEastAsia" w:cstheme="minorEastAsia"/>
          <w:b w:val="0"/>
          <w:bCs/>
          <w:color w:val="auto"/>
          <w:sz w:val="24"/>
          <w:szCs w:val="24"/>
        </w:rPr>
        <w:t>开标</w:t>
      </w:r>
      <w:r>
        <w:rPr>
          <w:rFonts w:hint="eastAsia" w:asciiTheme="minorEastAsia" w:hAnsiTheme="minorEastAsia" w:eastAsiaTheme="minorEastAsia" w:cstheme="minorEastAsia"/>
          <w:b w:val="0"/>
          <w:bCs/>
          <w:color w:val="auto"/>
          <w:sz w:val="24"/>
          <w:szCs w:val="24"/>
          <w:lang w:val="en-US" w:eastAsia="zh-CN"/>
        </w:rPr>
        <w:t>与</w:t>
      </w:r>
      <w:r>
        <w:rPr>
          <w:rFonts w:hint="eastAsia" w:asciiTheme="minorEastAsia" w:hAnsiTheme="minorEastAsia" w:eastAsiaTheme="minorEastAsia" w:cstheme="minorEastAsia"/>
          <w:b w:val="0"/>
          <w:bCs/>
          <w:color w:val="auto"/>
          <w:sz w:val="24"/>
          <w:szCs w:val="24"/>
        </w:rPr>
        <w:t>评标</w:t>
      </w:r>
      <w:bookmarkEnd w:id="79"/>
      <w:bookmarkEnd w:id="80"/>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（一）</w:t>
      </w:r>
      <w:r>
        <w:rPr>
          <w:rFonts w:hint="eastAsia" w:asciiTheme="minorEastAsia" w:hAnsiTheme="minorEastAsia" w:eastAsiaTheme="minorEastAsia" w:cstheme="minorEastAsia"/>
          <w:b/>
          <w:bCs w:val="0"/>
          <w:color w:val="auto"/>
          <w:sz w:val="24"/>
          <w:szCs w:val="24"/>
        </w:rPr>
        <w:t>开标</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1.集采机构在招标文件规定的时间和地点组织公开开标，征集人、集采机构、供应商代表须通过“甘肃中工国际不见面开标大厅”参加开标会议，开标和评标全过程电子监控。</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开标会议由</w:t>
      </w:r>
      <w:r>
        <w:rPr>
          <w:rFonts w:hint="eastAsia" w:asciiTheme="minorEastAsia" w:hAnsiTheme="minorEastAsia" w:eastAsiaTheme="minorEastAsia" w:cstheme="minorEastAsia"/>
          <w:color w:val="auto"/>
          <w:sz w:val="24"/>
          <w:szCs w:val="24"/>
          <w:highlight w:val="none"/>
          <w:lang w:eastAsia="zh-CN"/>
        </w:rPr>
        <w:t>征集人</w:t>
      </w:r>
      <w:r>
        <w:rPr>
          <w:rFonts w:hint="eastAsia" w:asciiTheme="minorEastAsia" w:hAnsiTheme="minorEastAsia" w:eastAsiaTheme="minorEastAsia" w:cstheme="minorEastAsia"/>
          <w:color w:val="auto"/>
          <w:sz w:val="24"/>
          <w:szCs w:val="24"/>
          <w:highlight w:val="none"/>
        </w:rPr>
        <w:t>组织并主持，</w:t>
      </w:r>
      <w:r>
        <w:rPr>
          <w:rFonts w:hint="eastAsia" w:asciiTheme="minorEastAsia" w:hAnsiTheme="minorEastAsia" w:eastAsiaTheme="minorEastAsia" w:cstheme="minorEastAsia"/>
          <w:color w:val="auto"/>
          <w:sz w:val="24"/>
          <w:szCs w:val="24"/>
          <w:highlight w:val="none"/>
          <w:lang w:val="en-US" w:eastAsia="zh-CN"/>
        </w:rPr>
        <w:t>采用“甘肃中工国际不见面开标大厅”电子语音方式进行唱标，包括供应商名称、投标价格和招标文件规定的需要公开的其他内容。供应商不足 3 家的，不得开标。</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开标后，将由</w:t>
      </w:r>
      <w:r>
        <w:rPr>
          <w:rFonts w:hint="eastAsia" w:asciiTheme="minorEastAsia" w:hAnsiTheme="minorEastAsia" w:eastAsiaTheme="minorEastAsia" w:cstheme="minorEastAsia"/>
          <w:color w:val="auto"/>
          <w:sz w:val="24"/>
          <w:szCs w:val="24"/>
          <w:highlight w:val="none"/>
          <w:lang w:eastAsia="zh-CN"/>
        </w:rPr>
        <w:t>征集人</w:t>
      </w:r>
      <w:r>
        <w:rPr>
          <w:rFonts w:hint="eastAsia" w:asciiTheme="minorEastAsia" w:hAnsiTheme="minorEastAsia" w:eastAsiaTheme="minorEastAsia" w:cstheme="minorEastAsia"/>
          <w:color w:val="auto"/>
          <w:sz w:val="24"/>
          <w:szCs w:val="24"/>
          <w:highlight w:val="none"/>
        </w:rPr>
        <w:t>按照递交</w:t>
      </w:r>
      <w:r>
        <w:rPr>
          <w:rFonts w:hint="eastAsia" w:asciiTheme="minorEastAsia" w:hAnsiTheme="minorEastAsia" w:eastAsiaTheme="minorEastAsia" w:cstheme="minorEastAsia"/>
          <w:color w:val="auto"/>
          <w:sz w:val="24"/>
          <w:szCs w:val="24"/>
          <w:highlight w:val="none"/>
          <w:lang w:eastAsia="zh-CN"/>
        </w:rPr>
        <w:t>征集响应文件</w:t>
      </w:r>
      <w:r>
        <w:rPr>
          <w:rFonts w:hint="eastAsia" w:asciiTheme="minorEastAsia" w:hAnsiTheme="minorEastAsia" w:eastAsiaTheme="minorEastAsia" w:cstheme="minorEastAsia"/>
          <w:color w:val="auto"/>
          <w:sz w:val="24"/>
          <w:szCs w:val="24"/>
          <w:highlight w:val="none"/>
        </w:rPr>
        <w:t>的逆顺序，公开宣读有效</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的开标一览表所有内容，以及</w:t>
      </w:r>
      <w:r>
        <w:rPr>
          <w:rFonts w:hint="eastAsia" w:asciiTheme="minorEastAsia" w:hAnsiTheme="minorEastAsia" w:eastAsiaTheme="minorEastAsia" w:cstheme="minorEastAsia"/>
          <w:color w:val="auto"/>
          <w:sz w:val="24"/>
          <w:szCs w:val="24"/>
          <w:highlight w:val="none"/>
          <w:lang w:eastAsia="zh-CN"/>
        </w:rPr>
        <w:t>征集人</w:t>
      </w:r>
      <w:r>
        <w:rPr>
          <w:rFonts w:hint="eastAsia" w:asciiTheme="minorEastAsia" w:hAnsiTheme="minorEastAsia" w:eastAsiaTheme="minorEastAsia" w:cstheme="minorEastAsia"/>
          <w:color w:val="auto"/>
          <w:sz w:val="24"/>
          <w:szCs w:val="24"/>
          <w:highlight w:val="none"/>
        </w:rPr>
        <w:t xml:space="preserve">认为必要的其它内容。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在开标现场，</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必须对唱标的内容在网上进行确认。</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征集人</w:t>
      </w:r>
      <w:r>
        <w:rPr>
          <w:rFonts w:hint="eastAsia" w:asciiTheme="minorEastAsia" w:hAnsiTheme="minorEastAsia" w:eastAsiaTheme="minorEastAsia" w:cstheme="minorEastAsia"/>
          <w:color w:val="auto"/>
          <w:sz w:val="24"/>
          <w:szCs w:val="24"/>
          <w:highlight w:val="none"/>
        </w:rPr>
        <w:t>有权就</w:t>
      </w:r>
      <w:r>
        <w:rPr>
          <w:rFonts w:hint="eastAsia" w:asciiTheme="minorEastAsia" w:hAnsiTheme="minorEastAsia" w:eastAsiaTheme="minorEastAsia" w:cstheme="minorEastAsia"/>
          <w:color w:val="auto"/>
          <w:sz w:val="24"/>
          <w:szCs w:val="24"/>
          <w:highlight w:val="none"/>
          <w:lang w:eastAsia="zh-CN"/>
        </w:rPr>
        <w:t>征集响应文件</w:t>
      </w:r>
      <w:r>
        <w:rPr>
          <w:rFonts w:hint="eastAsia" w:asciiTheme="minorEastAsia" w:hAnsiTheme="minorEastAsia" w:eastAsiaTheme="minorEastAsia" w:cstheme="minorEastAsia"/>
          <w:color w:val="auto"/>
          <w:sz w:val="24"/>
          <w:szCs w:val="24"/>
          <w:highlight w:val="none"/>
        </w:rPr>
        <w:t>中含混之处向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提出询问或澄清要求。</w:t>
      </w:r>
      <w:r>
        <w:rPr>
          <w:rFonts w:hint="eastAsia" w:asciiTheme="minorEastAsia" w:hAnsiTheme="minorEastAsia" w:eastAsiaTheme="minorEastAsia" w:cstheme="minorEastAsia"/>
          <w:bCs/>
          <w:color w:val="auto"/>
          <w:sz w:val="24"/>
          <w:szCs w:val="24"/>
          <w:highlight w:val="none"/>
        </w:rPr>
        <w:t>对不同文字文本电子</w:t>
      </w:r>
      <w:r>
        <w:rPr>
          <w:rFonts w:hint="eastAsia" w:asciiTheme="minorEastAsia" w:hAnsiTheme="minorEastAsia" w:eastAsiaTheme="minorEastAsia" w:cstheme="minorEastAsia"/>
          <w:bCs/>
          <w:color w:val="auto"/>
          <w:sz w:val="24"/>
          <w:szCs w:val="24"/>
          <w:highlight w:val="none"/>
          <w:lang w:eastAsia="zh-CN"/>
        </w:rPr>
        <w:t>征集响应文件</w:t>
      </w:r>
      <w:r>
        <w:rPr>
          <w:rFonts w:hint="eastAsia" w:asciiTheme="minorEastAsia" w:hAnsiTheme="minorEastAsia" w:eastAsiaTheme="minorEastAsia" w:cstheme="minorEastAsia"/>
          <w:bCs/>
          <w:color w:val="auto"/>
          <w:sz w:val="24"/>
          <w:szCs w:val="24"/>
          <w:highlight w:val="none"/>
        </w:rPr>
        <w:t>的解释发生异议的，以中文文本为准。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公开开标后，直到向中标的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授予合同时止，凡与审查、澄清、评价和比较投标的有关资料以及授标意见等均不得向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 xml:space="preserve">及与投标无关的其他人透露。 </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7.</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代表对开标过程和开标记录有疑义，以及认为</w:t>
      </w:r>
      <w:r>
        <w:rPr>
          <w:rFonts w:hint="eastAsia" w:asciiTheme="minorEastAsia" w:hAnsiTheme="minorEastAsia" w:eastAsiaTheme="minorEastAsia" w:cstheme="minorEastAsia"/>
          <w:bCs/>
          <w:color w:val="auto"/>
          <w:sz w:val="24"/>
          <w:szCs w:val="24"/>
          <w:highlight w:val="none"/>
          <w:lang w:eastAsia="zh-CN"/>
        </w:rPr>
        <w:t>框架协议</w:t>
      </w:r>
      <w:r>
        <w:rPr>
          <w:rFonts w:hint="eastAsia" w:asciiTheme="minorEastAsia" w:hAnsiTheme="minorEastAsia" w:eastAsiaTheme="minorEastAsia" w:cstheme="minorEastAsia"/>
          <w:bCs/>
          <w:color w:val="auto"/>
          <w:sz w:val="24"/>
          <w:szCs w:val="24"/>
          <w:highlight w:val="none"/>
        </w:rPr>
        <w:t>采购单位相关工作人员有需要回避的情形的，应当场提出询问或者回避申请。</w:t>
      </w:r>
      <w:r>
        <w:rPr>
          <w:rFonts w:hint="eastAsia" w:asciiTheme="minorEastAsia" w:hAnsiTheme="minorEastAsia" w:eastAsiaTheme="minorEastAsia" w:cstheme="minorEastAsia"/>
          <w:bCs/>
          <w:color w:val="auto"/>
          <w:sz w:val="24"/>
          <w:szCs w:val="24"/>
          <w:highlight w:val="none"/>
          <w:lang w:eastAsia="zh-CN"/>
        </w:rPr>
        <w:t>框架协议</w:t>
      </w:r>
      <w:r>
        <w:rPr>
          <w:rFonts w:hint="eastAsia" w:asciiTheme="minorEastAsia" w:hAnsiTheme="minorEastAsia" w:eastAsiaTheme="minorEastAsia" w:cstheme="minorEastAsia"/>
          <w:bCs/>
          <w:color w:val="auto"/>
          <w:sz w:val="24"/>
          <w:szCs w:val="24"/>
          <w:highlight w:val="none"/>
        </w:rPr>
        <w:t>采购单位对</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代表提出的询问或者回避申请应当及时处理。</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未参加开标的，视同认可开标结果。</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（二）评标</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本项目评标工作由评标委员会按照框架协议征集文件第五章评标办法进行，并出具评标报告。</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81" w:name="_Toc16860"/>
      <w:bookmarkStart w:id="82" w:name="_Toc19415"/>
      <w:r>
        <w:rPr>
          <w:rFonts w:hint="eastAsia" w:asciiTheme="minorEastAsia" w:hAnsiTheme="minorEastAsia" w:eastAsiaTheme="minorEastAsia" w:cstheme="minorEastAsia"/>
          <w:b w:val="0"/>
          <w:bCs/>
          <w:color w:val="auto"/>
          <w:sz w:val="24"/>
          <w:szCs w:val="24"/>
          <w:lang w:val="en-US" w:eastAsia="zh-CN"/>
        </w:rPr>
        <w:t>六、定标</w:t>
      </w:r>
      <w:bookmarkEnd w:id="81"/>
      <w:bookmarkEnd w:id="82"/>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val="en-US" w:eastAsia="zh-CN"/>
        </w:rPr>
        <w:t>按照</w:t>
      </w:r>
      <w:r>
        <w:rPr>
          <w:rFonts w:hint="eastAsia" w:asciiTheme="minorEastAsia" w:hAnsiTheme="minorEastAsia" w:eastAsiaTheme="minorEastAsia" w:cstheme="minorEastAsia"/>
          <w:bCs/>
          <w:color w:val="auto"/>
          <w:sz w:val="24"/>
          <w:szCs w:val="24"/>
        </w:rPr>
        <w:t>评标委员会</w:t>
      </w:r>
      <w:r>
        <w:rPr>
          <w:rFonts w:hint="eastAsia" w:asciiTheme="minorEastAsia" w:hAnsiTheme="minorEastAsia" w:eastAsiaTheme="minorEastAsia" w:cstheme="minorEastAsia"/>
          <w:bCs/>
          <w:color w:val="auto"/>
          <w:sz w:val="24"/>
          <w:szCs w:val="24"/>
          <w:lang w:val="en-US" w:eastAsia="zh-CN"/>
        </w:rPr>
        <w:t>出具的</w:t>
      </w:r>
      <w:r>
        <w:rPr>
          <w:rFonts w:hint="eastAsia" w:asciiTheme="minorEastAsia" w:hAnsiTheme="minorEastAsia" w:eastAsiaTheme="minorEastAsia" w:cstheme="minorEastAsia"/>
          <w:bCs/>
          <w:color w:val="auto"/>
          <w:sz w:val="24"/>
          <w:szCs w:val="24"/>
        </w:rPr>
        <w:t>评标报告</w:t>
      </w:r>
      <w:r>
        <w:rPr>
          <w:rFonts w:hint="eastAsia" w:asciiTheme="minorEastAsia" w:hAnsiTheme="minorEastAsia" w:eastAsiaTheme="minorEastAsia" w:cstheme="minorEastAsia"/>
          <w:bCs/>
          <w:color w:val="auto"/>
          <w:sz w:val="24"/>
          <w:szCs w:val="24"/>
          <w:lang w:val="en-US" w:eastAsia="zh-CN"/>
        </w:rPr>
        <w:t>及推荐入围供应商名单，集采机构于评标结束后两个工作日内送征集人，征集人于收到评标结果5个工作日内确定第一阶段入围供应商</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自入围供应商确定之日起</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pacing w:val="-5"/>
          <w:sz w:val="24"/>
          <w:szCs w:val="24"/>
        </w:rPr>
        <w:t>个工作日内，在省级以上</w:t>
      </w:r>
      <w:r>
        <w:rPr>
          <w:rFonts w:hint="eastAsia" w:asciiTheme="minorEastAsia" w:hAnsiTheme="minorEastAsia" w:eastAsiaTheme="minorEastAsia" w:cstheme="minorEastAsia"/>
          <w:color w:val="auto"/>
          <w:sz w:val="24"/>
          <w:szCs w:val="24"/>
        </w:rPr>
        <w:t xml:space="preserve">财政部门指定的媒体上公告入围结果，征集文件应当随入围结果公告同时公告。入围结果公告应当包括以下主要内容：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 xml:space="preserve">采购项目名称、编号；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征集人的名称、地址、联系人和联系方式；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入围供应商名称、地址及排序；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 xml:space="preserve">最高入围价格或者最低入围分值；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 xml:space="preserve">入围产品名称、规格型号或者主要服务内容及服务标准，入围单价；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 xml:space="preserve">评审小组成员名单；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 xml:space="preserve">采购代理服务收费标准及金额；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lang w:val="en-US" w:eastAsia="zh-CN"/>
        </w:rPr>
        <w:t>为1个工作日</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省级以上财政部门规定的其他事项。</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1"/>
        <w:rPr>
          <w:rFonts w:hint="eastAsia" w:asciiTheme="minorEastAsia" w:hAnsiTheme="minorEastAsia" w:eastAsiaTheme="minorEastAsia" w:cstheme="minorEastAsia"/>
          <w:b w:val="0"/>
          <w:bCs w:val="0"/>
          <w:color w:val="auto"/>
          <w:sz w:val="24"/>
          <w:szCs w:val="24"/>
        </w:rPr>
      </w:pPr>
      <w:bookmarkStart w:id="83" w:name="_Toc10027"/>
      <w:bookmarkStart w:id="84" w:name="_Toc3925"/>
      <w:r>
        <w:rPr>
          <w:rFonts w:hint="eastAsia" w:asciiTheme="minorEastAsia" w:hAnsiTheme="minorEastAsia" w:eastAsiaTheme="minorEastAsia" w:cstheme="minorEastAsia"/>
          <w:b w:val="0"/>
          <w:bCs w:val="0"/>
          <w:color w:val="auto"/>
          <w:sz w:val="24"/>
          <w:szCs w:val="24"/>
          <w:lang w:val="en-US" w:eastAsia="zh-CN"/>
        </w:rPr>
        <w:t>七、</w:t>
      </w:r>
      <w:r>
        <w:rPr>
          <w:rFonts w:hint="eastAsia" w:asciiTheme="minorEastAsia" w:hAnsiTheme="minorEastAsia" w:eastAsiaTheme="minorEastAsia" w:cstheme="minorEastAsia"/>
          <w:b w:val="0"/>
          <w:bCs w:val="0"/>
          <w:color w:val="auto"/>
          <w:sz w:val="24"/>
          <w:szCs w:val="24"/>
        </w:rPr>
        <w:t>中标通知书</w:t>
      </w:r>
      <w:bookmarkEnd w:id="83"/>
      <w:bookmarkEnd w:id="84"/>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（一）</w:t>
      </w:r>
      <w:r>
        <w:rPr>
          <w:rFonts w:hint="eastAsia" w:asciiTheme="minorEastAsia" w:hAnsiTheme="minorEastAsia" w:eastAsiaTheme="minorEastAsia" w:cstheme="minorEastAsia"/>
          <w:bCs/>
          <w:color w:val="auto"/>
          <w:sz w:val="24"/>
          <w:szCs w:val="24"/>
        </w:rPr>
        <w:t>中标通知书为签订政府</w:t>
      </w:r>
      <w:r>
        <w:rPr>
          <w:rFonts w:hint="eastAsia" w:asciiTheme="minorEastAsia" w:hAnsiTheme="minorEastAsia" w:eastAsiaTheme="minorEastAsia" w:cstheme="minorEastAsia"/>
          <w:bCs/>
          <w:color w:val="auto"/>
          <w:sz w:val="24"/>
          <w:szCs w:val="24"/>
          <w:lang w:eastAsia="zh-CN"/>
        </w:rPr>
        <w:t>框架协议合同</w:t>
      </w:r>
      <w:r>
        <w:rPr>
          <w:rFonts w:hint="eastAsia" w:asciiTheme="minorEastAsia" w:hAnsiTheme="minorEastAsia" w:eastAsiaTheme="minorEastAsia" w:cstheme="minorEastAsia"/>
          <w:bCs/>
          <w:color w:val="auto"/>
          <w:sz w:val="24"/>
          <w:szCs w:val="24"/>
        </w:rPr>
        <w:t>的依据之一，是合同的有效组成部分。</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（二）</w:t>
      </w:r>
      <w:r>
        <w:rPr>
          <w:rFonts w:hint="eastAsia" w:asciiTheme="minorEastAsia" w:hAnsiTheme="minorEastAsia" w:eastAsiaTheme="minorEastAsia" w:cstheme="minorEastAsia"/>
          <w:bCs/>
          <w:color w:val="auto"/>
          <w:sz w:val="24"/>
          <w:szCs w:val="24"/>
        </w:rPr>
        <w:t>中标通知书对</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和</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均具有法律效力。中标通知书发出后，</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改变中标结果，或者</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无正当理由放弃中标的，应当承担相应的法律责任。</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（三）</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的</w:t>
      </w:r>
      <w:r>
        <w:rPr>
          <w:rFonts w:hint="eastAsia" w:asciiTheme="minorEastAsia" w:hAnsiTheme="minorEastAsia" w:eastAsiaTheme="minorEastAsia" w:cstheme="minorEastAsia"/>
          <w:bCs/>
          <w:color w:val="auto"/>
          <w:sz w:val="24"/>
          <w:szCs w:val="24"/>
          <w:lang w:eastAsia="zh-CN"/>
        </w:rPr>
        <w:t>征集响应文件</w:t>
      </w:r>
      <w:r>
        <w:rPr>
          <w:rFonts w:hint="eastAsia" w:asciiTheme="minorEastAsia" w:hAnsiTheme="minorEastAsia" w:eastAsiaTheme="minorEastAsia" w:cstheme="minorEastAsia"/>
          <w:bCs/>
          <w:color w:val="auto"/>
          <w:sz w:val="24"/>
          <w:szCs w:val="24"/>
        </w:rPr>
        <w:t>本应作为无效投标处理或者有政府采购法律法规规章制度规定的中标无效情形的，</w:t>
      </w:r>
      <w:r>
        <w:rPr>
          <w:rFonts w:hint="eastAsia" w:asciiTheme="minorEastAsia" w:hAnsiTheme="minorEastAsia" w:eastAsiaTheme="minorEastAsia" w:cstheme="minorEastAsia"/>
          <w:bCs/>
          <w:color w:val="auto"/>
          <w:sz w:val="24"/>
          <w:szCs w:val="24"/>
          <w:lang w:eastAsia="zh-CN"/>
        </w:rPr>
        <w:t>框架协议</w:t>
      </w:r>
      <w:r>
        <w:rPr>
          <w:rFonts w:hint="eastAsia" w:asciiTheme="minorEastAsia" w:hAnsiTheme="minorEastAsia" w:eastAsiaTheme="minorEastAsia" w:cstheme="minorEastAsia"/>
          <w:bCs/>
          <w:color w:val="auto"/>
          <w:sz w:val="24"/>
          <w:szCs w:val="24"/>
        </w:rPr>
        <w:t>采购单位在取得有权主体的认定以后，将宣布发出的中标通知书无效，并收回发出的中标通知书（</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也应当缴回），依法重新确定</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或者重新开展采购活动。</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red"/>
        </w:rPr>
      </w:pPr>
      <w:r>
        <w:rPr>
          <w:rFonts w:hint="eastAsia" w:asciiTheme="minorEastAsia" w:hAnsiTheme="minorEastAsia" w:eastAsiaTheme="minorEastAsia" w:cstheme="minorEastAsia"/>
          <w:bCs/>
          <w:color w:val="auto"/>
          <w:sz w:val="24"/>
          <w:szCs w:val="24"/>
          <w:lang w:val="en-US" w:eastAsia="zh-CN"/>
        </w:rPr>
        <w:t>（四）</w:t>
      </w:r>
      <w:r>
        <w:rPr>
          <w:rFonts w:hint="eastAsia" w:asciiTheme="minorEastAsia" w:hAnsiTheme="minorEastAsia" w:eastAsiaTheme="minorEastAsia" w:cstheme="minorEastAsia"/>
          <w:bCs/>
          <w:color w:val="auto"/>
          <w:sz w:val="24"/>
          <w:szCs w:val="24"/>
        </w:rPr>
        <w:t>中标公告发出后，中标供应商自行领取中标通知书的，可凭有效身份证明证件到天水市公共资源交易中心领取中标通知书。</w:t>
      </w:r>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lang w:val="en-US" w:eastAsia="zh-CN"/>
        </w:rPr>
        <w:t>孙丽文</w:t>
      </w:r>
      <w:r>
        <w:rPr>
          <w:rFonts w:hint="eastAsia" w:asciiTheme="minorEastAsia" w:hAnsiTheme="minorEastAsia" w:eastAsiaTheme="minorEastAsia" w:cstheme="minorEastAsia"/>
          <w:bCs/>
          <w:color w:val="auto"/>
          <w:sz w:val="24"/>
          <w:szCs w:val="24"/>
          <w:highlight w:val="none"/>
        </w:rPr>
        <w:t>，联系电话：0938-8330335</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85" w:name="_Toc16292"/>
      <w:bookmarkStart w:id="86" w:name="_Toc308164810"/>
      <w:bookmarkStart w:id="87" w:name="_Toc217446064"/>
      <w:bookmarkStart w:id="88" w:name="_Toc28015"/>
      <w:bookmarkStart w:id="89" w:name="_Toc4661"/>
      <w:bookmarkStart w:id="90" w:name="_Toc183582240"/>
      <w:bookmarkStart w:id="91" w:name="_Toc183682377"/>
      <w:r>
        <w:rPr>
          <w:rFonts w:hint="eastAsia" w:asciiTheme="minorEastAsia" w:hAnsiTheme="minorEastAsia" w:eastAsiaTheme="minorEastAsia" w:cstheme="minorEastAsia"/>
          <w:b w:val="0"/>
          <w:bCs/>
          <w:color w:val="auto"/>
          <w:sz w:val="24"/>
          <w:szCs w:val="24"/>
          <w:lang w:val="en-US" w:eastAsia="zh-CN"/>
        </w:rPr>
        <w:t>八、框架协议</w:t>
      </w:r>
      <w:r>
        <w:rPr>
          <w:rFonts w:hint="eastAsia" w:asciiTheme="minorEastAsia" w:hAnsiTheme="minorEastAsia" w:eastAsiaTheme="minorEastAsia" w:cstheme="minorEastAsia"/>
          <w:b w:val="0"/>
          <w:bCs/>
          <w:color w:val="auto"/>
          <w:sz w:val="24"/>
          <w:szCs w:val="24"/>
        </w:rPr>
        <w:t>合同</w:t>
      </w:r>
      <w:r>
        <w:rPr>
          <w:rFonts w:hint="eastAsia" w:asciiTheme="minorEastAsia" w:hAnsiTheme="minorEastAsia" w:eastAsiaTheme="minorEastAsia" w:cstheme="minorEastAsia"/>
          <w:b w:val="0"/>
          <w:bCs/>
          <w:color w:val="auto"/>
          <w:sz w:val="24"/>
          <w:szCs w:val="24"/>
          <w:lang w:val="en-US" w:eastAsia="zh-CN"/>
        </w:rPr>
        <w:t>及</w:t>
      </w:r>
      <w:r>
        <w:rPr>
          <w:rFonts w:hint="eastAsia" w:asciiTheme="minorEastAsia" w:hAnsiTheme="minorEastAsia" w:eastAsiaTheme="minorEastAsia" w:cstheme="minorEastAsia"/>
          <w:b w:val="0"/>
          <w:bCs/>
          <w:color w:val="auto"/>
          <w:sz w:val="24"/>
          <w:szCs w:val="24"/>
        </w:rPr>
        <w:t>验收</w:t>
      </w:r>
      <w:bookmarkEnd w:id="85"/>
      <w:bookmarkEnd w:id="86"/>
      <w:bookmarkEnd w:id="87"/>
      <w:bookmarkEnd w:id="88"/>
      <w:bookmarkEnd w:id="89"/>
      <w:bookmarkStart w:id="92" w:name="_Toc308164811"/>
      <w:bookmarkStart w:id="93" w:name="_Toc217446065"/>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val="0"/>
          <w:color w:val="auto"/>
          <w:sz w:val="24"/>
          <w:szCs w:val="24"/>
          <w:lang w:val="en-US" w:eastAsia="zh-CN"/>
        </w:rPr>
        <w:t>（一）签</w:t>
      </w:r>
      <w:r>
        <w:rPr>
          <w:rFonts w:hint="eastAsia" w:asciiTheme="minorEastAsia" w:hAnsiTheme="minorEastAsia" w:eastAsiaTheme="minorEastAsia" w:cstheme="minorEastAsia"/>
          <w:b/>
          <w:color w:val="auto"/>
          <w:sz w:val="24"/>
          <w:szCs w:val="24"/>
        </w:rPr>
        <w:t>订合同</w:t>
      </w:r>
      <w:bookmarkEnd w:id="92"/>
      <w:bookmarkEnd w:id="93"/>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应在中标通知书发出之日起</w:t>
      </w:r>
      <w:r>
        <w:rPr>
          <w:rFonts w:hint="eastAsia" w:asciiTheme="minorEastAsia" w:hAnsiTheme="minorEastAsia" w:eastAsiaTheme="minorEastAsia" w:cstheme="minorEastAsia"/>
          <w:color w:val="auto"/>
          <w:sz w:val="24"/>
          <w:szCs w:val="24"/>
          <w:lang w:val="en-US" w:eastAsia="zh-CN"/>
        </w:rPr>
        <w:t>三十日内</w:t>
      </w:r>
      <w:r>
        <w:rPr>
          <w:rFonts w:hint="eastAsia" w:asciiTheme="minorEastAsia" w:hAnsiTheme="minorEastAsia" w:eastAsiaTheme="minorEastAsia" w:cstheme="minorEastAsia"/>
          <w:color w:val="auto"/>
          <w:sz w:val="24"/>
          <w:szCs w:val="24"/>
        </w:rPr>
        <w:t>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签订</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。由于</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的原因逾期未与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签订</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的，将视为放弃中标，取消其中标资格</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并按照财政部令[2017]第87号第七十一条、第七十二条、第 七十三条规定进行处理。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不得向</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提出任何不合理的要求，作为签订合同的条件，不得与</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私下订立背离合同实质性内容的任何协议，所签订的合同不得对</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和</w:t>
      </w:r>
      <w:r>
        <w:rPr>
          <w:rFonts w:hint="eastAsia" w:asciiTheme="minorEastAsia" w:hAnsiTheme="minorEastAsia" w:eastAsiaTheme="minorEastAsia" w:cstheme="minorEastAsia"/>
          <w:color w:val="auto"/>
          <w:sz w:val="24"/>
          <w:szCs w:val="24"/>
          <w:lang w:eastAsia="zh-CN"/>
        </w:rPr>
        <w:t>入围供应商征集响应文件</w:t>
      </w:r>
      <w:r>
        <w:rPr>
          <w:rFonts w:hint="eastAsia" w:asciiTheme="minorEastAsia" w:hAnsiTheme="minorEastAsia" w:eastAsiaTheme="minorEastAsia" w:cstheme="minorEastAsia"/>
          <w:color w:val="auto"/>
          <w:sz w:val="24"/>
          <w:szCs w:val="24"/>
        </w:rPr>
        <w:t>确定的事项进行修改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框架协议合同范本详见征集文件第六部分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val="0"/>
          <w:color w:val="auto"/>
          <w:sz w:val="24"/>
          <w:szCs w:val="24"/>
          <w:lang w:val="en-US" w:eastAsia="zh-CN"/>
        </w:rPr>
        <w:t>（二）合</w:t>
      </w:r>
      <w:r>
        <w:rPr>
          <w:rFonts w:hint="eastAsia" w:asciiTheme="minorEastAsia" w:hAnsiTheme="minorEastAsia" w:eastAsiaTheme="minorEastAsia" w:cstheme="minorEastAsia"/>
          <w:b/>
          <w:color w:val="auto"/>
          <w:sz w:val="24"/>
          <w:szCs w:val="24"/>
        </w:rPr>
        <w:t>同分包</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未经</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同意，</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不得采取分包方式履行合同</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val="0"/>
          <w:color w:val="auto"/>
          <w:sz w:val="24"/>
          <w:szCs w:val="24"/>
          <w:lang w:val="en-US" w:eastAsia="zh-CN"/>
        </w:rPr>
        <w:t>（三）合同</w:t>
      </w:r>
      <w:r>
        <w:rPr>
          <w:rFonts w:hint="eastAsia" w:asciiTheme="minorEastAsia" w:hAnsiTheme="minorEastAsia" w:eastAsiaTheme="minorEastAsia" w:cstheme="minorEastAsia"/>
          <w:b/>
          <w:color w:val="auto"/>
          <w:sz w:val="24"/>
          <w:szCs w:val="24"/>
        </w:rPr>
        <w:t>转包（实质性要求）</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本采购项目严禁</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将任何政府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义务转包。本项目所称转包，是指</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将政府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义务转让给第三人，并退出现有政府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当事人双方的权利义务关系，受让人（即第三人）成为政府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的另一方当事人的行为。</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转包的，视同拒绝履行政府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义务，将依法追究法律责任。</w:t>
      </w:r>
      <w:bookmarkStart w:id="94" w:name="_Toc217446066"/>
    </w:p>
    <w:bookmarkEnd w:id="94"/>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val="0"/>
          <w:color w:val="auto"/>
          <w:sz w:val="24"/>
          <w:szCs w:val="24"/>
          <w:lang w:val="en-US" w:eastAsia="zh-CN"/>
        </w:rPr>
        <w:t>（四）补充合</w:t>
      </w:r>
      <w:r>
        <w:rPr>
          <w:rFonts w:hint="eastAsia" w:asciiTheme="minorEastAsia" w:hAnsiTheme="minorEastAsia" w:eastAsiaTheme="minorEastAsia" w:cstheme="minorEastAsia"/>
          <w:b/>
          <w:color w:val="auto"/>
          <w:sz w:val="24"/>
          <w:szCs w:val="24"/>
        </w:rPr>
        <w:t>同</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履行过程中，</w:t>
      </w: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不在补充</w:t>
      </w:r>
      <w:r>
        <w:rPr>
          <w:rFonts w:hint="eastAsia" w:asciiTheme="minorEastAsia" w:hAnsiTheme="minorEastAsia" w:eastAsiaTheme="minorEastAsia" w:cstheme="minorEastAsia"/>
          <w:color w:val="auto"/>
          <w:sz w:val="24"/>
          <w:szCs w:val="24"/>
        </w:rPr>
        <w:t>签订合同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第二阶段采购人可以与第二阶段成交供应商签订补充合同，</w:t>
      </w:r>
      <w:r>
        <w:rPr>
          <w:rFonts w:hint="eastAsia" w:asciiTheme="minorEastAsia" w:hAnsiTheme="minorEastAsia" w:eastAsiaTheme="minorEastAsia" w:cstheme="minorEastAsia"/>
          <w:color w:val="auto"/>
          <w:sz w:val="24"/>
          <w:szCs w:val="24"/>
        </w:rPr>
        <w:t>但所有补充合同的采购金额不得超过</w:t>
      </w:r>
      <w:r>
        <w:rPr>
          <w:rFonts w:hint="eastAsia" w:asciiTheme="minorEastAsia" w:hAnsiTheme="minorEastAsia" w:eastAsiaTheme="minorEastAsia" w:cstheme="minorEastAsia"/>
          <w:color w:val="auto"/>
          <w:sz w:val="24"/>
          <w:szCs w:val="24"/>
          <w:lang w:val="en-US" w:eastAsia="zh-CN"/>
        </w:rPr>
        <w:t>第二阶段</w:t>
      </w:r>
      <w:r>
        <w:rPr>
          <w:rFonts w:hint="eastAsia" w:asciiTheme="minorEastAsia" w:hAnsiTheme="minorEastAsia" w:eastAsiaTheme="minorEastAsia" w:cstheme="minorEastAsia"/>
          <w:color w:val="auto"/>
          <w:sz w:val="24"/>
          <w:szCs w:val="24"/>
        </w:rPr>
        <w:t>原合同采购金额的百分之十，该补充合同应当在原政府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履行过程中，不得在原政府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履行结束后，且采购货物、工程和服务的名称、价格、履约方式、验收标准等必须与</w:t>
      </w:r>
      <w:r>
        <w:rPr>
          <w:rFonts w:hint="eastAsia" w:asciiTheme="minorEastAsia" w:hAnsiTheme="minorEastAsia" w:eastAsiaTheme="minorEastAsia" w:cstheme="minorEastAsia"/>
          <w:color w:val="auto"/>
          <w:sz w:val="24"/>
          <w:szCs w:val="24"/>
          <w:lang w:val="en-US" w:eastAsia="zh-CN"/>
        </w:rPr>
        <w:t>第二阶段</w:t>
      </w:r>
      <w:r>
        <w:rPr>
          <w:rFonts w:hint="eastAsia" w:asciiTheme="minorEastAsia" w:hAnsiTheme="minorEastAsia" w:eastAsiaTheme="minorEastAsia" w:cstheme="minorEastAsia"/>
          <w:color w:val="auto"/>
          <w:sz w:val="24"/>
          <w:szCs w:val="24"/>
        </w:rPr>
        <w:t>原政府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一致。</w:t>
      </w:r>
      <w:bookmarkStart w:id="95" w:name="_Toc217446069"/>
      <w:bookmarkStart w:id="96" w:name="_Toc308164813"/>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（五）合同公告</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应当自</w:t>
      </w: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签订（双方当事人均已签字盖章）之日起2个工作日内，将政府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在省级以上人民政府财政部门指定的媒体上公告（甘肃省政府采购网），但</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中涉及国家秘密、商业秘密的内容除外。</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（六）</w:t>
      </w:r>
      <w:r>
        <w:rPr>
          <w:rFonts w:hint="eastAsia" w:asciiTheme="minorEastAsia" w:hAnsiTheme="minorEastAsia" w:eastAsiaTheme="minorEastAsia" w:cstheme="minorEastAsia"/>
          <w:b/>
          <w:bCs w:val="0"/>
          <w:color w:val="auto"/>
          <w:sz w:val="24"/>
          <w:szCs w:val="24"/>
        </w:rPr>
        <w:t>合同备案</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应当自</w:t>
      </w: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副本自签订之日起</w:t>
      </w:r>
      <w:r>
        <w:rPr>
          <w:rFonts w:hint="eastAsia" w:asciiTheme="minorEastAsia" w:hAnsiTheme="minorEastAsia" w:eastAsiaTheme="minorEastAsia" w:cstheme="minorEastAsia"/>
          <w:color w:val="auto"/>
          <w:sz w:val="24"/>
          <w:szCs w:val="24"/>
          <w:lang w:val="en-US" w:eastAsia="zh-CN"/>
        </w:rPr>
        <w:t>7个工作日内在天水市政府采购交易管理系统</w:t>
      </w:r>
      <w:r>
        <w:rPr>
          <w:rFonts w:hint="eastAsia" w:asciiTheme="minorEastAsia" w:hAnsiTheme="minorEastAsia" w:eastAsiaTheme="minorEastAsia" w:cstheme="minorEastAsia"/>
          <w:color w:val="auto"/>
          <w:sz w:val="24"/>
          <w:szCs w:val="24"/>
        </w:rPr>
        <w:t>备案。</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（七）</w:t>
      </w:r>
      <w:r>
        <w:rPr>
          <w:rFonts w:hint="eastAsia" w:asciiTheme="minorEastAsia" w:hAnsiTheme="minorEastAsia" w:eastAsiaTheme="minorEastAsia" w:cstheme="minorEastAsia"/>
          <w:b/>
          <w:bCs w:val="0"/>
          <w:color w:val="auto"/>
          <w:sz w:val="24"/>
          <w:szCs w:val="24"/>
        </w:rPr>
        <w:t>履行合同</w:t>
      </w:r>
      <w:bookmarkEnd w:id="95"/>
      <w:bookmarkEnd w:id="96"/>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签订合同后，合同双方应严格执行合同条款，履行合同规定的义务，保证合同的顺利完成。</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在合同履行过程中，如发生合同纠纷，合同双方应按照《合同法》的有关规定进行处理。</w:t>
      </w:r>
      <w:bookmarkEnd w:id="90"/>
      <w:bookmarkEnd w:id="91"/>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（八）履约验收</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96"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lang w:val="en-US" w:eastAsia="zh-CN"/>
        </w:rPr>
        <w:t>本项目由实际采购人（天水市市级行政事业单位）</w:t>
      </w:r>
      <w:r>
        <w:rPr>
          <w:rFonts w:hint="eastAsia" w:asciiTheme="minorEastAsia" w:hAnsiTheme="minorEastAsia" w:eastAsiaTheme="minorEastAsia" w:cstheme="minorEastAsia"/>
          <w:color w:val="auto"/>
          <w:spacing w:val="4"/>
          <w:sz w:val="24"/>
          <w:szCs w:val="24"/>
        </w:rPr>
        <w:t>严格按照征集文件要求、入围供应商响应文件</w:t>
      </w:r>
      <w:r>
        <w:rPr>
          <w:rFonts w:hint="eastAsia" w:asciiTheme="minorEastAsia" w:hAnsiTheme="minorEastAsia" w:eastAsiaTheme="minorEastAsia" w:cstheme="minorEastAsia"/>
          <w:color w:val="auto"/>
          <w:spacing w:val="4"/>
          <w:sz w:val="24"/>
          <w:szCs w:val="24"/>
          <w:lang w:eastAsia="zh-CN"/>
        </w:rPr>
        <w:t>、</w:t>
      </w:r>
      <w:r>
        <w:rPr>
          <w:rFonts w:hint="eastAsia" w:asciiTheme="minorEastAsia" w:hAnsiTheme="minorEastAsia" w:eastAsiaTheme="minorEastAsia" w:cstheme="minorEastAsia"/>
          <w:color w:val="auto"/>
          <w:spacing w:val="4"/>
          <w:sz w:val="24"/>
          <w:szCs w:val="24"/>
          <w:lang w:val="en-US" w:eastAsia="zh-CN"/>
        </w:rPr>
        <w:t>第一、二阶段狂阶协议合同要求</w:t>
      </w:r>
      <w:r>
        <w:rPr>
          <w:rFonts w:hint="eastAsia" w:asciiTheme="minorEastAsia" w:hAnsiTheme="minorEastAsia" w:eastAsiaTheme="minorEastAsia" w:cstheme="minorEastAsia"/>
          <w:color w:val="auto"/>
          <w:spacing w:val="4"/>
          <w:sz w:val="24"/>
          <w:szCs w:val="24"/>
        </w:rPr>
        <w:t>进行履约验</w:t>
      </w:r>
      <w:r>
        <w:rPr>
          <w:rFonts w:hint="eastAsia" w:asciiTheme="minorEastAsia" w:hAnsiTheme="minorEastAsia" w:eastAsiaTheme="minorEastAsia" w:cstheme="minorEastAsia"/>
          <w:color w:val="auto"/>
          <w:sz w:val="24"/>
          <w:szCs w:val="24"/>
        </w:rPr>
        <w:t>收，对于不按</w:t>
      </w:r>
      <w:r>
        <w:rPr>
          <w:rFonts w:hint="eastAsia" w:asciiTheme="minorEastAsia" w:hAnsiTheme="minorEastAsia" w:eastAsiaTheme="minorEastAsia" w:cstheme="minorEastAsia"/>
          <w:color w:val="auto"/>
          <w:sz w:val="24"/>
          <w:szCs w:val="24"/>
          <w:lang w:val="en-US" w:eastAsia="zh-CN"/>
        </w:rPr>
        <w:t>规定</w:t>
      </w:r>
      <w:r>
        <w:rPr>
          <w:rFonts w:hint="eastAsia" w:asciiTheme="minorEastAsia" w:hAnsiTheme="minorEastAsia" w:eastAsiaTheme="minorEastAsia" w:cstheme="minorEastAsia"/>
          <w:color w:val="auto"/>
          <w:sz w:val="24"/>
          <w:szCs w:val="24"/>
        </w:rPr>
        <w:t>提供</w:t>
      </w:r>
      <w:r>
        <w:rPr>
          <w:rFonts w:hint="eastAsia" w:asciiTheme="minorEastAsia" w:hAnsiTheme="minorEastAsia" w:eastAsiaTheme="minorEastAsia" w:cstheme="minorEastAsia"/>
          <w:color w:val="auto"/>
          <w:sz w:val="24"/>
          <w:szCs w:val="24"/>
          <w:lang w:val="en-US" w:eastAsia="zh-CN"/>
        </w:rPr>
        <w:t>货物及伴随</w:t>
      </w:r>
      <w:r>
        <w:rPr>
          <w:rFonts w:hint="eastAsia" w:asciiTheme="minorEastAsia" w:hAnsiTheme="minorEastAsia" w:eastAsiaTheme="minorEastAsia" w:cstheme="minorEastAsia"/>
          <w:color w:val="auto"/>
          <w:sz w:val="24"/>
          <w:szCs w:val="24"/>
        </w:rPr>
        <w:t>服务</w:t>
      </w:r>
      <w:r>
        <w:rPr>
          <w:rFonts w:hint="eastAsia" w:asciiTheme="minorEastAsia" w:hAnsiTheme="minorEastAsia" w:eastAsiaTheme="minorEastAsia" w:cstheme="minorEastAsia"/>
          <w:color w:val="auto"/>
          <w:sz w:val="24"/>
          <w:szCs w:val="24"/>
          <w:lang w:val="en-US" w:eastAsia="zh-CN"/>
        </w:rPr>
        <w:t>的</w:t>
      </w:r>
      <w:r>
        <w:rPr>
          <w:rFonts w:hint="eastAsia" w:asciiTheme="minorEastAsia" w:hAnsiTheme="minorEastAsia" w:eastAsiaTheme="minorEastAsia" w:cstheme="minorEastAsia"/>
          <w:color w:val="auto"/>
          <w:sz w:val="24"/>
          <w:szCs w:val="24"/>
        </w:rPr>
        <w:t>征集人</w:t>
      </w:r>
      <w:r>
        <w:rPr>
          <w:rFonts w:hint="eastAsia" w:asciiTheme="minorEastAsia" w:hAnsiTheme="minorEastAsia" w:eastAsiaTheme="minorEastAsia" w:cstheme="minorEastAsia"/>
          <w:color w:val="auto"/>
          <w:sz w:val="24"/>
          <w:szCs w:val="24"/>
          <w:lang w:val="en-US" w:eastAsia="zh-CN"/>
        </w:rPr>
        <w:t>将</w:t>
      </w:r>
      <w:r>
        <w:rPr>
          <w:rFonts w:hint="eastAsia" w:asciiTheme="minorEastAsia" w:hAnsiTheme="minorEastAsia" w:eastAsiaTheme="minorEastAsia" w:cstheme="minorEastAsia"/>
          <w:color w:val="auto"/>
          <w:sz w:val="24"/>
          <w:szCs w:val="24"/>
        </w:rPr>
        <w:t xml:space="preserve">不予接受，并解除合同，同时上报同级政府采购监督管理部门，按照政府采购法等相关法律法规的规定进行处罚。 </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color w:val="auto"/>
          <w:sz w:val="24"/>
          <w:szCs w:val="24"/>
        </w:rPr>
      </w:pPr>
      <w:bookmarkStart w:id="97" w:name="_Toc32070"/>
      <w:bookmarkStart w:id="98" w:name="_Toc29370"/>
      <w:bookmarkStart w:id="99" w:name="_Toc11757"/>
      <w:bookmarkStart w:id="100" w:name="_Toc29897"/>
      <w:bookmarkStart w:id="101" w:name="_Toc8495"/>
      <w:r>
        <w:rPr>
          <w:rFonts w:hint="eastAsia" w:asciiTheme="minorEastAsia" w:hAnsiTheme="minorEastAsia" w:eastAsiaTheme="minorEastAsia" w:cstheme="minorEastAsia"/>
          <w:b w:val="0"/>
          <w:bCs w:val="0"/>
          <w:color w:val="auto"/>
          <w:sz w:val="24"/>
          <w:szCs w:val="24"/>
          <w:lang w:val="en-US" w:eastAsia="zh-CN"/>
        </w:rPr>
        <w:t>九、</w:t>
      </w:r>
      <w:r>
        <w:rPr>
          <w:rFonts w:hint="eastAsia" w:asciiTheme="minorEastAsia" w:hAnsiTheme="minorEastAsia" w:eastAsiaTheme="minorEastAsia" w:cstheme="minorEastAsia"/>
          <w:b w:val="0"/>
          <w:bCs w:val="0"/>
          <w:color w:val="auto"/>
          <w:sz w:val="24"/>
          <w:szCs w:val="24"/>
        </w:rPr>
        <w:t>质疑与答复</w:t>
      </w:r>
      <w:bookmarkEnd w:id="97"/>
      <w:bookmarkEnd w:id="98"/>
      <w:bookmarkEnd w:id="99"/>
      <w:bookmarkEnd w:id="100"/>
      <w:bookmarkEnd w:id="101"/>
      <w:r>
        <w:rPr>
          <w:rFonts w:hint="eastAsia" w:asciiTheme="minorEastAsia" w:hAnsiTheme="minorEastAsia" w:eastAsiaTheme="minorEastAsia" w:cstheme="minorEastAsia"/>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（一）</w:t>
      </w:r>
      <w:r>
        <w:rPr>
          <w:rFonts w:hint="eastAsia" w:asciiTheme="minorEastAsia" w:hAnsiTheme="minorEastAsia" w:eastAsiaTheme="minorEastAsia" w:cstheme="minorEastAsia"/>
          <w:b/>
          <w:bCs w:val="0"/>
          <w:color w:val="auto"/>
          <w:sz w:val="24"/>
          <w:szCs w:val="24"/>
        </w:rPr>
        <w:t>综合说明</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对政府采购活动事项有疑问的，可以向</w:t>
      </w:r>
      <w:r>
        <w:rPr>
          <w:rFonts w:hint="eastAsia" w:asciiTheme="minorEastAsia" w:hAnsiTheme="minorEastAsia" w:eastAsiaTheme="minorEastAsia" w:cstheme="minorEastAsia"/>
          <w:color w:val="auto"/>
          <w:sz w:val="24"/>
          <w:szCs w:val="24"/>
          <w:lang w:val="en-US" w:eastAsia="zh-CN"/>
        </w:rPr>
        <w:t>集采机构</w:t>
      </w:r>
      <w:r>
        <w:rPr>
          <w:rFonts w:hint="eastAsia" w:asciiTheme="minorEastAsia" w:hAnsiTheme="minorEastAsia" w:eastAsiaTheme="minorEastAsia" w:cstheme="minorEastAsia"/>
          <w:color w:val="auto"/>
          <w:sz w:val="24"/>
          <w:szCs w:val="24"/>
        </w:rPr>
        <w:t>提出询问，</w:t>
      </w:r>
      <w:r>
        <w:rPr>
          <w:rFonts w:hint="eastAsia" w:asciiTheme="minorEastAsia" w:hAnsiTheme="minorEastAsia" w:eastAsiaTheme="minorEastAsia" w:cstheme="minorEastAsia"/>
          <w:color w:val="auto"/>
          <w:sz w:val="24"/>
          <w:szCs w:val="24"/>
          <w:lang w:val="en-US" w:eastAsia="zh-CN"/>
        </w:rPr>
        <w:t>集采机构</w:t>
      </w:r>
      <w:r>
        <w:rPr>
          <w:rFonts w:hint="eastAsia" w:asciiTheme="minorEastAsia" w:hAnsiTheme="minorEastAsia" w:eastAsiaTheme="minorEastAsia" w:cstheme="minorEastAsia"/>
          <w:color w:val="auto"/>
          <w:sz w:val="24"/>
          <w:szCs w:val="24"/>
        </w:rPr>
        <w:t>应当及时予以答复，但答复的内容不得涉及商业秘密；</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认为征集文件、招标过程或中标结果使自己的权益受到损害的，可以在规定期限内，以书面形式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质疑函模板祥见中国政府采购网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val="en-US" w:eastAsia="zh-CN"/>
        </w:rPr>
        <w:t>集采机构</w:t>
      </w:r>
      <w:r>
        <w:rPr>
          <w:rFonts w:hint="eastAsia" w:asciiTheme="minorEastAsia" w:hAnsiTheme="minorEastAsia" w:eastAsiaTheme="minorEastAsia" w:cstheme="minorEastAsia"/>
          <w:color w:val="auto"/>
          <w:sz w:val="24"/>
          <w:szCs w:val="24"/>
        </w:rPr>
        <w:t>提出质疑。</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质疑实行实名制，质疑应当有事实根据，不得进行虚假、恶意质疑，干扰政府采购正常的工作秩序。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集采机构</w:t>
      </w:r>
      <w:r>
        <w:rPr>
          <w:rFonts w:hint="eastAsia" w:asciiTheme="minorEastAsia" w:hAnsiTheme="minorEastAsia" w:eastAsiaTheme="minorEastAsia" w:cstheme="minorEastAsia"/>
          <w:color w:val="auto"/>
          <w:sz w:val="24"/>
          <w:szCs w:val="24"/>
        </w:rPr>
        <w:t>应当在收到</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的书面质疑后</w:t>
      </w:r>
      <w:r>
        <w:rPr>
          <w:rFonts w:hint="eastAsia" w:asciiTheme="minorEastAsia" w:hAnsiTheme="minorEastAsia" w:eastAsiaTheme="minorEastAsia" w:cstheme="minorEastAsia"/>
          <w:color w:val="auto"/>
          <w:sz w:val="24"/>
          <w:szCs w:val="24"/>
          <w:lang w:val="en-US" w:eastAsia="zh-CN"/>
        </w:rPr>
        <w:t>7个工作日内</w:t>
      </w:r>
      <w:r>
        <w:rPr>
          <w:rFonts w:hint="eastAsia" w:asciiTheme="minorEastAsia" w:hAnsiTheme="minorEastAsia" w:eastAsiaTheme="minorEastAsia" w:cstheme="minorEastAsia"/>
          <w:color w:val="auto"/>
          <w:sz w:val="24"/>
          <w:szCs w:val="24"/>
        </w:rPr>
        <w:t xml:space="preserve">作出答复，但答复的内容不得涉及商业秘密。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2" w:firstLineChars="200"/>
        <w:jc w:val="both"/>
        <w:textAlignment w:val="baseline"/>
        <w:outlineLvl w:val="9"/>
        <w:rPr>
          <w:rFonts w:hint="eastAsia" w:asciiTheme="minorEastAsia" w:hAnsiTheme="minorEastAsia" w:eastAsiaTheme="minorEastAsia" w:cstheme="minorEastAsia"/>
          <w:b/>
          <w:bCs w:val="0"/>
          <w:color w:val="auto"/>
          <w:sz w:val="24"/>
          <w:szCs w:val="24"/>
        </w:rPr>
      </w:pPr>
      <w:bookmarkStart w:id="102" w:name="_Toc11787"/>
      <w:bookmarkStart w:id="103" w:name="_Toc8492"/>
      <w:bookmarkStart w:id="104" w:name="_Toc19156"/>
      <w:r>
        <w:rPr>
          <w:rFonts w:hint="eastAsia" w:asciiTheme="minorEastAsia" w:hAnsiTheme="minorEastAsia" w:eastAsiaTheme="minorEastAsia" w:cstheme="minorEastAsia"/>
          <w:b/>
          <w:bCs w:val="0"/>
          <w:color w:val="auto"/>
          <w:sz w:val="24"/>
          <w:szCs w:val="24"/>
          <w:lang w:val="en-US" w:eastAsia="zh-CN"/>
        </w:rPr>
        <w:t>（二）</w:t>
      </w:r>
      <w:r>
        <w:rPr>
          <w:rFonts w:hint="eastAsia" w:asciiTheme="minorEastAsia" w:hAnsiTheme="minorEastAsia" w:eastAsiaTheme="minorEastAsia" w:cstheme="minorEastAsia"/>
          <w:b/>
          <w:bCs w:val="0"/>
          <w:color w:val="auto"/>
          <w:sz w:val="24"/>
          <w:szCs w:val="24"/>
        </w:rPr>
        <w:t>质疑和答复的时限</w:t>
      </w:r>
      <w:bookmarkEnd w:id="102"/>
      <w:bookmarkEnd w:id="103"/>
      <w:bookmarkEnd w:id="104"/>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投标商对政府采购活动事项有疑问的，可以向</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提出询问。</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将在</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 xml:space="preserve">个工作日内作出答复。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若认为采购过程和中标结果使自己的权益受到损害，应当在下列时间内以书面形式向</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 xml:space="preserve">提出：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关于征集文件的质疑，应在收到征集文件之日或者征集文件公告期限届满之日起</w:t>
      </w:r>
      <w:r>
        <w:rPr>
          <w:rFonts w:hint="eastAsia" w:asciiTheme="minorEastAsia" w:hAnsiTheme="minorEastAsia" w:eastAsiaTheme="minorEastAsia" w:cstheme="minorEastAsia"/>
          <w:color w:val="auto"/>
          <w:spacing w:val="-61"/>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个工作日内提出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关于采购过程的质疑，应在采购程序环节结束之日起</w:t>
      </w:r>
      <w:r>
        <w:rPr>
          <w:rFonts w:hint="eastAsia" w:asciiTheme="minorEastAsia" w:hAnsiTheme="minorEastAsia" w:eastAsiaTheme="minorEastAsia" w:cstheme="minorEastAsia"/>
          <w:color w:val="auto"/>
          <w:spacing w:val="-59"/>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个工作日内提出</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关于中标结果的质疑，应在中标结果信息发布后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个工作日内提出</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应当在收到供应商的书面质疑后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个工作日内作出答复</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2" w:firstLineChars="200"/>
        <w:jc w:val="both"/>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val="0"/>
          <w:color w:val="auto"/>
          <w:sz w:val="24"/>
          <w:szCs w:val="24"/>
          <w:lang w:val="en-US" w:eastAsia="zh-CN"/>
        </w:rPr>
        <w:t>（三）</w:t>
      </w:r>
      <w:r>
        <w:rPr>
          <w:rFonts w:hint="eastAsia" w:asciiTheme="minorEastAsia" w:hAnsiTheme="minorEastAsia" w:eastAsiaTheme="minorEastAsia" w:cstheme="minorEastAsia"/>
          <w:b/>
          <w:bCs/>
          <w:color w:val="auto"/>
          <w:sz w:val="24"/>
          <w:szCs w:val="24"/>
          <w:lang w:eastAsia="zh-CN"/>
        </w:rPr>
        <w:t>供应商</w:t>
      </w:r>
      <w:r>
        <w:rPr>
          <w:rFonts w:hint="eastAsia" w:asciiTheme="minorEastAsia" w:hAnsiTheme="minorEastAsia" w:eastAsiaTheme="minorEastAsia" w:cstheme="minorEastAsia"/>
          <w:b/>
          <w:bCs/>
          <w:color w:val="auto"/>
          <w:sz w:val="24"/>
          <w:szCs w:val="24"/>
        </w:rPr>
        <w:t>提起质疑应当符合下列条件：</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必须是参与被质疑项目的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必须在规定的质疑有效期内提起质疑；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政府采购监督管理部门规定的其他条件。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2" w:firstLineChars="200"/>
        <w:jc w:val="both"/>
        <w:outlineLvl w:val="9"/>
        <w:rPr>
          <w:rFonts w:hint="eastAsia" w:asciiTheme="minorEastAsia" w:hAnsiTheme="minorEastAsia" w:eastAsiaTheme="minorEastAsia" w:cstheme="minorEastAsia"/>
          <w:b w:val="0"/>
          <w:color w:val="auto"/>
          <w:sz w:val="24"/>
          <w:szCs w:val="24"/>
        </w:rPr>
      </w:pPr>
      <w:bookmarkStart w:id="105" w:name="_Toc15444"/>
      <w:bookmarkStart w:id="106" w:name="_Toc27299"/>
      <w:bookmarkStart w:id="107" w:name="_Toc1000"/>
      <w:r>
        <w:rPr>
          <w:rFonts w:hint="eastAsia" w:asciiTheme="minorEastAsia" w:hAnsiTheme="minorEastAsia" w:eastAsiaTheme="minorEastAsia" w:cstheme="minorEastAsia"/>
          <w:b/>
          <w:bCs w:val="0"/>
          <w:color w:val="auto"/>
          <w:sz w:val="24"/>
          <w:szCs w:val="24"/>
          <w:lang w:val="en-US" w:eastAsia="zh-CN"/>
        </w:rPr>
        <w:t>（四）</w:t>
      </w:r>
      <w:r>
        <w:rPr>
          <w:rFonts w:hint="eastAsia" w:asciiTheme="minorEastAsia" w:hAnsiTheme="minorEastAsia" w:eastAsiaTheme="minorEastAsia" w:cstheme="minorEastAsia"/>
          <w:b/>
          <w:bCs/>
          <w:color w:val="auto"/>
          <w:sz w:val="24"/>
          <w:szCs w:val="24"/>
        </w:rPr>
        <w:t>质疑函的递交及地点</w:t>
      </w:r>
      <w:bookmarkEnd w:id="105"/>
      <w:bookmarkEnd w:id="106"/>
      <w:bookmarkEnd w:id="107"/>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质疑函应当包括下列主要内容：</w:t>
      </w:r>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提起质疑的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名称、地址、邮编、联系人及联系电话；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质疑事项名称、编号；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具体、明确的质疑事项和与质疑事项相关的请求；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事实依据；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必要的法律依据；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提出质疑的日期。质疑函应当由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法定代表人或其授权的代理人签字并加盖</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单位公章，质疑函由授权的代理人签字的应附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法定代表人委托授权书。质疑地点：（</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rPr>
        <w:t>质疑函的递交应当采取当面递交的形式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由法定代表人递交质疑函时，提供法定代表人身份证复印件；由授权</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递交质疑函时，还须提供法人投标授权函和质疑授权函（均为原件）及被授权</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的身份证复印件。身份证复印件须正反面清晰、有效，并要求由该身份证持有人在复印件正反面</w:t>
      </w:r>
      <w:r>
        <w:rPr>
          <w:rFonts w:hint="eastAsia" w:asciiTheme="minorEastAsia" w:hAnsiTheme="minorEastAsia" w:eastAsiaTheme="minorEastAsia" w:cstheme="minorEastAsia"/>
          <w:color w:val="auto"/>
          <w:spacing w:val="-4"/>
          <w:sz w:val="24"/>
          <w:szCs w:val="24"/>
        </w:rPr>
        <w:t>非空白位置注明“该复印件用于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XXX</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pacing w:val="-5"/>
          <w:sz w:val="24"/>
          <w:szCs w:val="24"/>
        </w:rPr>
        <w:t>项目质疑使用”字样，并由身份证持有人签字确认。</w:t>
      </w:r>
      <w:r>
        <w:rPr>
          <w:rFonts w:hint="eastAsia" w:asciiTheme="minorEastAsia" w:hAnsiTheme="minorEastAsia" w:eastAsiaTheme="minorEastAsia" w:cstheme="minorEastAsia"/>
          <w:color w:val="auto"/>
          <w:sz w:val="24"/>
          <w:szCs w:val="24"/>
        </w:rPr>
        <w:t xml:space="preserve"> 上述资料均须加盖公章。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bookmarkStart w:id="108" w:name="_Toc18113"/>
      <w:bookmarkStart w:id="109" w:name="_Toc14898"/>
      <w:bookmarkStart w:id="110" w:name="_Toc11793"/>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eastAsia="zh-CN"/>
        </w:rPr>
        <w:t>征集人</w:t>
      </w:r>
      <w:r>
        <w:rPr>
          <w:rFonts w:hint="eastAsia" w:asciiTheme="minorEastAsia" w:hAnsiTheme="minorEastAsia" w:eastAsiaTheme="minorEastAsia" w:cstheme="minorEastAsia"/>
          <w:b w:val="0"/>
          <w:bCs/>
          <w:color w:val="auto"/>
          <w:sz w:val="24"/>
          <w:szCs w:val="24"/>
        </w:rPr>
        <w:t>或</w:t>
      </w:r>
      <w:r>
        <w:rPr>
          <w:rFonts w:hint="eastAsia" w:asciiTheme="minorEastAsia" w:hAnsiTheme="minorEastAsia" w:eastAsiaTheme="minorEastAsia" w:cstheme="minorEastAsia"/>
          <w:b w:val="0"/>
          <w:bCs/>
          <w:color w:val="auto"/>
          <w:sz w:val="24"/>
          <w:szCs w:val="24"/>
          <w:lang w:eastAsia="zh-CN"/>
        </w:rPr>
        <w:t>集采机构</w:t>
      </w:r>
      <w:r>
        <w:rPr>
          <w:rFonts w:hint="eastAsia" w:asciiTheme="minorEastAsia" w:hAnsiTheme="minorEastAsia" w:eastAsiaTheme="minorEastAsia" w:cstheme="minorEastAsia"/>
          <w:b w:val="0"/>
          <w:bCs/>
          <w:color w:val="auto"/>
          <w:sz w:val="24"/>
          <w:szCs w:val="24"/>
        </w:rPr>
        <w:t>收到质疑函后，应当向质疑供应商签收回执。</w:t>
      </w:r>
      <w:bookmarkEnd w:id="108"/>
      <w:bookmarkEnd w:id="109"/>
      <w:bookmarkEnd w:id="110"/>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96"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pacing w:val="4"/>
          <w:sz w:val="24"/>
          <w:szCs w:val="24"/>
          <w:lang w:val="en-US" w:eastAsia="zh-CN"/>
        </w:rPr>
        <w:t>4.</w:t>
      </w:r>
      <w:r>
        <w:rPr>
          <w:rFonts w:hint="eastAsia" w:asciiTheme="minorEastAsia" w:hAnsiTheme="minorEastAsia" w:eastAsiaTheme="minorEastAsia" w:cstheme="minorEastAsia"/>
          <w:b w:val="0"/>
          <w:bCs/>
          <w:color w:val="auto"/>
          <w:spacing w:val="4"/>
          <w:sz w:val="24"/>
          <w:szCs w:val="24"/>
        </w:rPr>
        <w:t>质疑函格式按照</w:t>
      </w:r>
      <w:r>
        <w:rPr>
          <w:rFonts w:hint="eastAsia" w:asciiTheme="minorEastAsia" w:hAnsiTheme="minorEastAsia" w:eastAsiaTheme="minorEastAsia" w:cstheme="minorEastAsia"/>
          <w:b w:val="0"/>
          <w:bCs/>
          <w:color w:val="auto"/>
          <w:spacing w:val="4"/>
          <w:sz w:val="24"/>
          <w:szCs w:val="24"/>
          <w:lang w:eastAsia="zh-CN"/>
        </w:rPr>
        <w:t>“</w:t>
      </w:r>
      <w:r>
        <w:rPr>
          <w:rFonts w:hint="eastAsia" w:asciiTheme="minorEastAsia" w:hAnsiTheme="minorEastAsia" w:eastAsiaTheme="minorEastAsia" w:cstheme="minorEastAsia"/>
          <w:b w:val="0"/>
          <w:bCs/>
          <w:color w:val="auto"/>
          <w:spacing w:val="4"/>
          <w:sz w:val="24"/>
          <w:szCs w:val="24"/>
        </w:rPr>
        <w:t>中国政府采购网</w:t>
      </w:r>
      <w:r>
        <w:rPr>
          <w:rFonts w:hint="eastAsia" w:asciiTheme="minorEastAsia" w:hAnsiTheme="minorEastAsia" w:eastAsiaTheme="minorEastAsia" w:cstheme="minorEastAsia"/>
          <w:b w:val="0"/>
          <w:bCs/>
          <w:color w:val="auto"/>
          <w:spacing w:val="4"/>
          <w:sz w:val="24"/>
          <w:szCs w:val="24"/>
          <w:lang w:eastAsia="zh-CN"/>
        </w:rPr>
        <w:t>”</w:t>
      </w:r>
      <w:r>
        <w:rPr>
          <w:rFonts w:hint="eastAsia" w:asciiTheme="minorEastAsia" w:hAnsiTheme="minorEastAsia" w:eastAsiaTheme="minorEastAsia" w:cstheme="minorEastAsia"/>
          <w:b w:val="0"/>
          <w:bCs/>
          <w:color w:val="auto"/>
          <w:spacing w:val="4"/>
          <w:sz w:val="24"/>
          <w:szCs w:val="24"/>
        </w:rPr>
        <w:t>发布的</w:t>
      </w:r>
      <w:r>
        <w:rPr>
          <w:rFonts w:hint="eastAsia" w:asciiTheme="minorEastAsia" w:hAnsiTheme="minorEastAsia" w:eastAsiaTheme="minorEastAsia" w:cstheme="minorEastAsia"/>
          <w:b w:val="0"/>
          <w:bCs/>
          <w:color w:val="auto"/>
          <w:spacing w:val="4"/>
          <w:sz w:val="24"/>
          <w:szCs w:val="24"/>
          <w:lang w:eastAsia="zh-CN"/>
        </w:rPr>
        <w:t>“</w:t>
      </w:r>
      <w:r>
        <w:rPr>
          <w:rFonts w:hint="eastAsia" w:asciiTheme="minorEastAsia" w:hAnsiTheme="minorEastAsia" w:eastAsiaTheme="minorEastAsia" w:cstheme="minorEastAsia"/>
          <w:b w:val="0"/>
          <w:bCs/>
          <w:color w:val="auto"/>
          <w:spacing w:val="4"/>
          <w:sz w:val="24"/>
          <w:szCs w:val="24"/>
        </w:rPr>
        <w:t>政府采购</w:t>
      </w:r>
      <w:r>
        <w:rPr>
          <w:rFonts w:hint="eastAsia" w:asciiTheme="minorEastAsia" w:hAnsiTheme="minorEastAsia" w:eastAsiaTheme="minorEastAsia" w:cstheme="minorEastAsia"/>
          <w:b w:val="0"/>
          <w:bCs/>
          <w:color w:val="auto"/>
          <w:spacing w:val="4"/>
          <w:sz w:val="24"/>
          <w:szCs w:val="24"/>
          <w:lang w:eastAsia="zh-CN"/>
        </w:rPr>
        <w:t>供应商</w:t>
      </w:r>
      <w:r>
        <w:rPr>
          <w:rFonts w:hint="eastAsia" w:asciiTheme="minorEastAsia" w:hAnsiTheme="minorEastAsia" w:eastAsiaTheme="minorEastAsia" w:cstheme="minorEastAsia"/>
          <w:b w:val="0"/>
          <w:bCs/>
          <w:color w:val="auto"/>
          <w:spacing w:val="4"/>
          <w:sz w:val="24"/>
          <w:szCs w:val="24"/>
        </w:rPr>
        <w:t>质疑函范本</w:t>
      </w:r>
      <w:r>
        <w:rPr>
          <w:rFonts w:hint="eastAsia" w:asciiTheme="minorEastAsia" w:hAnsiTheme="minorEastAsia" w:eastAsiaTheme="minorEastAsia" w:cstheme="minorEastAsia"/>
          <w:b w:val="0"/>
          <w:bCs/>
          <w:color w:val="auto"/>
          <w:spacing w:val="4"/>
          <w:sz w:val="24"/>
          <w:szCs w:val="24"/>
          <w:lang w:eastAsia="zh-CN"/>
        </w:rPr>
        <w:t>”</w:t>
      </w:r>
      <w:r>
        <w:rPr>
          <w:rFonts w:hint="eastAsia" w:asciiTheme="minorEastAsia" w:hAnsiTheme="minorEastAsia" w:eastAsiaTheme="minorEastAsia" w:cstheme="minorEastAsia"/>
          <w:b w:val="0"/>
          <w:bCs/>
          <w:color w:val="auto"/>
          <w:sz w:val="24"/>
          <w:szCs w:val="24"/>
        </w:rPr>
        <w:t>制作，请</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自行在</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中国政府采购网敁下载专区</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下载。</w:t>
      </w:r>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color w:val="auto"/>
          <w:sz w:val="24"/>
          <w:szCs w:val="24"/>
        </w:rPr>
        <w:t>对供应商质疑的答复</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征集人或集采机构</w:t>
      </w:r>
      <w:r>
        <w:rPr>
          <w:rFonts w:hint="eastAsia" w:asciiTheme="minorEastAsia" w:hAnsiTheme="minorEastAsia" w:eastAsiaTheme="minorEastAsia" w:cstheme="minorEastAsia"/>
          <w:color w:val="auto"/>
          <w:sz w:val="24"/>
          <w:szCs w:val="24"/>
        </w:rPr>
        <w:t>应在收到质疑函</w:t>
      </w:r>
      <w:r>
        <w:rPr>
          <w:rFonts w:hint="eastAsia" w:asciiTheme="minorEastAsia" w:hAnsiTheme="minorEastAsia" w:eastAsiaTheme="minorEastAsia" w:cstheme="minorEastAsia"/>
          <w:color w:val="auto"/>
          <w:spacing w:val="-84"/>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84"/>
          <w:sz w:val="24"/>
          <w:szCs w:val="24"/>
        </w:rPr>
        <w:t xml:space="preserve"> </w:t>
      </w:r>
      <w:r>
        <w:rPr>
          <w:rFonts w:hint="eastAsia" w:asciiTheme="minorEastAsia" w:hAnsiTheme="minorEastAsia" w:eastAsiaTheme="minorEastAsia" w:cstheme="minorEastAsia"/>
          <w:color w:val="auto"/>
          <w:sz w:val="24"/>
          <w:szCs w:val="24"/>
        </w:rPr>
        <w:t>个工作日内根据澄清或质疑函的具体内容相应作出答复或不予答复，答复内容不得涉及商业秘密。作出答复的将以书面形式通知提出澄清或质疑的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和其他有关</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，或在指定媒体上予以公布。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递交质疑的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和其他有关</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在被告知、收到上述公告、通知或答疑书后，应立即向</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回函确认。未确认情况应当视为对质疑答复的知晓，也将视为对质疑答复内容接受的默认。对于未在</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中对修改内容做实质性响应的，对其产生的不利因素由未确认者自行承担。同时</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可以酌情延长投标截止时间。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2" w:firstLineChars="200"/>
        <w:jc w:val="both"/>
        <w:outlineLvl w:val="9"/>
        <w:rPr>
          <w:rFonts w:hint="eastAsia" w:asciiTheme="minorEastAsia" w:hAnsiTheme="minorEastAsia" w:eastAsiaTheme="minorEastAsia" w:cstheme="minorEastAsia"/>
          <w:b/>
          <w:bCs/>
          <w:color w:val="auto"/>
          <w:sz w:val="24"/>
          <w:szCs w:val="24"/>
        </w:rPr>
      </w:pPr>
      <w:bookmarkStart w:id="111" w:name="_Toc7076"/>
      <w:bookmarkStart w:id="112" w:name="_Toc16425"/>
      <w:bookmarkStart w:id="113" w:name="_Toc11048"/>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质疑不予受理的情况</w:t>
      </w:r>
      <w:bookmarkEnd w:id="111"/>
      <w:bookmarkEnd w:id="112"/>
      <w:bookmarkEnd w:id="113"/>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有下列情形之一的，属于无效质疑，被质疑人不予受理，由此产生的影响由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自行承担：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不是参与该政府采购项目活动供应商的；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被质疑人为</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或政府</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之外的；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所有质疑事项超过质疑有效期的；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以具有法律效力的文书送达之外方式提出的；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未按上述规定递交澄清或质疑函的；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 xml:space="preserve">其它不符合受理条件的情形。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114" w:name="_Toc5697"/>
      <w:bookmarkStart w:id="115" w:name="_Toc10539"/>
      <w:bookmarkStart w:id="116" w:name="_Toc28266"/>
      <w:bookmarkStart w:id="117" w:name="_Toc19877"/>
      <w:bookmarkStart w:id="118" w:name="_Toc586"/>
      <w:r>
        <w:rPr>
          <w:rFonts w:hint="eastAsia" w:asciiTheme="minorEastAsia" w:hAnsiTheme="minorEastAsia" w:eastAsiaTheme="minorEastAsia" w:cstheme="minorEastAsia"/>
          <w:b w:val="0"/>
          <w:bCs/>
          <w:color w:val="auto"/>
          <w:sz w:val="24"/>
          <w:szCs w:val="24"/>
          <w:lang w:val="en-US" w:eastAsia="zh-CN"/>
        </w:rPr>
        <w:t>十、</w:t>
      </w:r>
      <w:r>
        <w:rPr>
          <w:rFonts w:hint="eastAsia" w:asciiTheme="minorEastAsia" w:hAnsiTheme="minorEastAsia" w:eastAsiaTheme="minorEastAsia" w:cstheme="minorEastAsia"/>
          <w:b w:val="0"/>
          <w:bCs/>
          <w:color w:val="auto"/>
          <w:sz w:val="24"/>
          <w:szCs w:val="24"/>
        </w:rPr>
        <w:t>投诉</w:t>
      </w:r>
      <w:bookmarkEnd w:id="114"/>
      <w:bookmarkEnd w:id="115"/>
      <w:bookmarkEnd w:id="116"/>
      <w:bookmarkEnd w:id="117"/>
      <w:bookmarkEnd w:id="118"/>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对</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的答复不满意，或</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未在规定的期限作出答复的，可在答复期满后15</w:t>
      </w:r>
      <w:r>
        <w:rPr>
          <w:rFonts w:hint="eastAsia" w:asciiTheme="minorEastAsia" w:hAnsiTheme="minorEastAsia" w:eastAsiaTheme="minorEastAsia" w:cstheme="minorEastAsia"/>
          <w:color w:val="auto"/>
          <w:spacing w:val="-24"/>
          <w:sz w:val="24"/>
          <w:szCs w:val="24"/>
        </w:rPr>
        <w:t xml:space="preserve"> </w:t>
      </w:r>
      <w:r>
        <w:rPr>
          <w:rFonts w:hint="eastAsia" w:asciiTheme="minorEastAsia" w:hAnsiTheme="minorEastAsia" w:eastAsiaTheme="minorEastAsia" w:cstheme="minorEastAsia"/>
          <w:color w:val="auto"/>
          <w:sz w:val="24"/>
          <w:szCs w:val="24"/>
        </w:rPr>
        <w:t>个工作日内，按政府采购相关法律法规规章的规定及程序，向财政部门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天水市财政局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提出投诉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15</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 xml:space="preserve">个工作日过后视为放弃投诉。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一</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pacing w:val="4"/>
          <w:sz w:val="24"/>
          <w:szCs w:val="24"/>
        </w:rPr>
        <w:t>投诉书递交地址及联系电话为征集文件中规定的政府采购监督管理部门单位地址</w:t>
      </w:r>
      <w:r>
        <w:rPr>
          <w:rFonts w:hint="eastAsia" w:asciiTheme="minorEastAsia" w:hAnsiTheme="minorEastAsia" w:eastAsiaTheme="minorEastAsia" w:cstheme="minorEastAsia"/>
          <w:b w:val="0"/>
          <w:bCs w:val="0"/>
          <w:color w:val="auto"/>
          <w:sz w:val="24"/>
          <w:szCs w:val="24"/>
        </w:rPr>
        <w:t xml:space="preserve">及联系电话。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textAlignment w:val="baseline"/>
        <w:outlineLvl w:val="9"/>
        <w:rPr>
          <w:rFonts w:hint="eastAsia" w:asciiTheme="minorEastAsia" w:hAnsiTheme="minorEastAsia" w:eastAsiaTheme="minorEastAsia" w:cstheme="minorEastAsia"/>
          <w:b w:val="0"/>
          <w:bCs/>
          <w:color w:val="auto"/>
          <w:sz w:val="24"/>
          <w:szCs w:val="24"/>
        </w:rPr>
      </w:pPr>
      <w:bookmarkStart w:id="119" w:name="_Toc27146"/>
      <w:bookmarkStart w:id="120" w:name="_Toc19130"/>
      <w:bookmarkStart w:id="121" w:name="_Toc19162"/>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投诉书格式按照“中国政府采购网”发布的“政府采购</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投诉书范”制作，请</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自行在“中国政府采购网”</w:t>
      </w:r>
      <w:r>
        <w:rPr>
          <w:rFonts w:hint="eastAsia" w:asciiTheme="minorEastAsia" w:hAnsiTheme="minorEastAsia" w:eastAsiaTheme="minorEastAsia" w:cstheme="minorEastAsia"/>
          <w:b w:val="0"/>
          <w:bCs/>
          <w:color w:val="auto"/>
          <w:sz w:val="24"/>
          <w:szCs w:val="24"/>
        </w:rPr>
        <w:t>“下载专区”下载。</w:t>
      </w:r>
      <w:bookmarkEnd w:id="119"/>
      <w:bookmarkEnd w:id="120"/>
      <w:bookmarkEnd w:id="121"/>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122" w:name="_Toc23804"/>
      <w:bookmarkStart w:id="123" w:name="_Toc6383"/>
      <w:r>
        <w:rPr>
          <w:rFonts w:hint="eastAsia" w:asciiTheme="minorEastAsia" w:hAnsiTheme="minorEastAsia" w:eastAsiaTheme="minorEastAsia" w:cstheme="minorEastAsia"/>
          <w:b w:val="0"/>
          <w:bCs/>
          <w:color w:val="auto"/>
          <w:sz w:val="24"/>
          <w:szCs w:val="24"/>
          <w:lang w:val="en-US" w:eastAsia="zh-CN"/>
        </w:rPr>
        <w:t>十一、</w:t>
      </w:r>
      <w:r>
        <w:rPr>
          <w:rFonts w:hint="eastAsia" w:asciiTheme="minorEastAsia" w:hAnsiTheme="minorEastAsia" w:eastAsiaTheme="minorEastAsia" w:cstheme="minorEastAsia"/>
          <w:b w:val="0"/>
          <w:bCs/>
          <w:color w:val="auto"/>
          <w:sz w:val="24"/>
          <w:szCs w:val="24"/>
        </w:rPr>
        <w:t>入围供应商的清退和补充规则</w:t>
      </w:r>
      <w:bookmarkEnd w:id="122"/>
      <w:bookmarkEnd w:id="123"/>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清退规则</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在下列情形下</w:t>
      </w:r>
      <w:r>
        <w:rPr>
          <w:rFonts w:hint="eastAsia" w:asciiTheme="minorEastAsia" w:hAnsiTheme="minorEastAsia" w:eastAsiaTheme="minorEastAsia" w:cstheme="minorEastAsia"/>
          <w:color w:val="auto"/>
          <w:sz w:val="24"/>
          <w:szCs w:val="24"/>
          <w:lang w:val="en-US" w:eastAsia="zh-CN"/>
        </w:rPr>
        <w:t>征集人</w:t>
      </w:r>
      <w:r>
        <w:rPr>
          <w:rFonts w:hint="eastAsia" w:asciiTheme="minorEastAsia" w:hAnsiTheme="minorEastAsia" w:eastAsiaTheme="minorEastAsia" w:cstheme="minorEastAsia"/>
          <w:color w:val="auto"/>
          <w:sz w:val="24"/>
          <w:szCs w:val="24"/>
        </w:rPr>
        <w:t xml:space="preserve">有权清退入围供应商，而不需要承担任何责任：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 xml:space="preserve">入围供应商实质性违反合同约定的；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入围供应商有违反合同约定或其职责、义务的行为，在</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指定期限内未予以纠正或补救的；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入围供应商资质吊销或注销的；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入围供应商泄漏委托方的秘密或与第三方串通损害</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利益的；由此造成的经济损失，咨询方应予赔偿；存在违法违规行为的，由相关部门进行处理；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针对项目审核时限、质量有权提出要求，由于入围供应商原因，项目审核时限超出委托时限或质量不合格的；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 xml:space="preserve">入围供应商与项目施工单位私下交易，接受财物、吃请等违纪行为经查实的；存在违法违规行为的，由相关部门进行处理；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入围供应商在审核过程中遇到争议问题时，不接受省、市、区级行业主管部门</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z w:val="24"/>
          <w:szCs w:val="24"/>
        </w:rPr>
        <w:t xml:space="preserve">调解意见的；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 xml:space="preserve">入围供应商在审核过程中将审核资料丢失的；由此造成的经济损失，入围供应商应予赔偿；存在违法违规行为的，由相关部门进行处理；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在入围供应商违约情形下，</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有权对本项目合同进行必要的变更。因入围供应商违约导致合同解除的，入围供应商应按本项目正常计算酬金的</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 xml:space="preserve">20%支付违约金。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入围供应商提供服务时，需按委托人要求时限完成，无正当理由，未按时完成的将解除合同。</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与</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单位存在串通、欺骗</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行为的；由此造成的经济损失，入围供应商应予赔偿；存在违法违规行为的，由相关部门进行处理；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pacing w:val="-5"/>
          <w:sz w:val="24"/>
          <w:szCs w:val="24"/>
        </w:rPr>
        <w:t>故意刁难</w:t>
      </w:r>
      <w:r>
        <w:rPr>
          <w:rFonts w:hint="eastAsia" w:asciiTheme="minorEastAsia" w:hAnsiTheme="minorEastAsia" w:eastAsiaTheme="minorEastAsia" w:cstheme="minorEastAsia"/>
          <w:color w:val="auto"/>
          <w:spacing w:val="-5"/>
          <w:sz w:val="24"/>
          <w:szCs w:val="24"/>
          <w:lang w:val="en-US" w:eastAsia="zh-CN"/>
        </w:rPr>
        <w:t>项目</w:t>
      </w:r>
      <w:r>
        <w:rPr>
          <w:rFonts w:hint="eastAsia" w:asciiTheme="minorEastAsia" w:hAnsiTheme="minorEastAsia" w:eastAsiaTheme="minorEastAsia" w:cstheme="minorEastAsia"/>
          <w:color w:val="auto"/>
          <w:spacing w:val="-5"/>
          <w:sz w:val="24"/>
          <w:szCs w:val="24"/>
        </w:rPr>
        <w:t>单位，故意拖延咨询时间，或者进行其它违规行为谋取非法利益，</w:t>
      </w:r>
      <w:r>
        <w:rPr>
          <w:rFonts w:hint="eastAsia" w:asciiTheme="minorEastAsia" w:hAnsiTheme="minorEastAsia" w:eastAsiaTheme="minorEastAsia" w:cstheme="minorEastAsia"/>
          <w:color w:val="auto"/>
          <w:sz w:val="24"/>
          <w:szCs w:val="24"/>
        </w:rPr>
        <w:t>经查实的，</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将有权终止合同，追缴非法所得；存在违法违规行为的，由相关部门进行处理；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执行纠错机制，即因咨询项目结果存在较大争议，相关单位提出投诉，并确认入围供应商为责任方的，</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有权终止合同。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确定入围供应商后，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有权对入围供应商提供的人员名单、注册证明、执业资格、人事关系、业绩材料等相关资料到相关部门进行核实，如投标文件存在虚假情况，则取消中标候选人的中标资格，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 xml:space="preserve">如遇到政策变化或者其他不可抗力因素，本协议自动解除。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二</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pacing w:val="-5"/>
          <w:sz w:val="24"/>
          <w:szCs w:val="24"/>
        </w:rPr>
        <w:t>补充规则</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1.除剩余入围供应商不足入围供应商总数70%且影响框架协议执行的情形外，框架协议有效期内，征集人不再补充征集供应商。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2.征集人补充征集供应商的，补充征集规则应当在框架协议中约定，补充征集的条件、程序、评审方法和淘汰比例应当与本次征集相同。补充征集应当遵守原框架协议的有效期。补充征集期间，原框架协议继续履行。</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bCs w:val="0"/>
          <w:color w:val="auto"/>
          <w:sz w:val="24"/>
          <w:szCs w:val="24"/>
        </w:rPr>
      </w:pPr>
      <w:bookmarkStart w:id="124" w:name="_Toc24821"/>
      <w:bookmarkStart w:id="125" w:name="_Toc21045"/>
      <w:bookmarkStart w:id="126" w:name="_Toc8364"/>
      <w:bookmarkStart w:id="127" w:name="_Toc27093"/>
      <w:bookmarkStart w:id="128" w:name="_Toc27135"/>
      <w:r>
        <w:rPr>
          <w:rFonts w:hint="eastAsia" w:asciiTheme="minorEastAsia" w:hAnsiTheme="minorEastAsia" w:eastAsiaTheme="minorEastAsia" w:cstheme="minorEastAsia"/>
          <w:b w:val="0"/>
          <w:bCs w:val="0"/>
          <w:color w:val="auto"/>
          <w:sz w:val="24"/>
          <w:szCs w:val="24"/>
          <w:lang w:val="en-US" w:eastAsia="zh-CN"/>
        </w:rPr>
        <w:t>十二、</w:t>
      </w:r>
      <w:r>
        <w:rPr>
          <w:rFonts w:hint="eastAsia" w:asciiTheme="minorEastAsia" w:hAnsiTheme="minorEastAsia" w:eastAsiaTheme="minorEastAsia" w:cstheme="minorEastAsia"/>
          <w:b w:val="0"/>
          <w:bCs w:val="0"/>
          <w:color w:val="auto"/>
          <w:sz w:val="24"/>
          <w:szCs w:val="24"/>
        </w:rPr>
        <w:t>招标代理费</w:t>
      </w:r>
      <w:bookmarkEnd w:id="124"/>
      <w:bookmarkEnd w:id="125"/>
      <w:bookmarkEnd w:id="126"/>
      <w:bookmarkEnd w:id="127"/>
      <w:bookmarkEnd w:id="128"/>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本征集项目不收取招标代理费用。</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129" w:name="_Toc23292"/>
      <w:bookmarkStart w:id="130" w:name="_Toc1269"/>
      <w:bookmarkStart w:id="131" w:name="_Toc31170"/>
      <w:bookmarkStart w:id="132" w:name="_Toc675"/>
      <w:r>
        <w:rPr>
          <w:rFonts w:hint="eastAsia" w:asciiTheme="minorEastAsia" w:hAnsiTheme="minorEastAsia" w:eastAsiaTheme="minorEastAsia" w:cstheme="minorEastAsia"/>
          <w:b w:val="0"/>
          <w:bCs/>
          <w:color w:val="auto"/>
          <w:sz w:val="24"/>
          <w:szCs w:val="24"/>
          <w:lang w:val="en-US" w:eastAsia="zh-CN"/>
        </w:rPr>
        <w:t>入围产品升级换代规则</w:t>
      </w:r>
      <w:bookmarkEnd w:id="129"/>
      <w:bookmarkEnd w:id="130"/>
      <w:bookmarkEnd w:id="131"/>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供应商第一阶段入围后，在质量不降低、价格不提高的前提下，入围供应商可以因部分维修产品升级换代等原因用新产品替代原入围产品，但所升级换代产品应当报财政部门备案。</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133" w:name="_Toc19212"/>
      <w:bookmarkStart w:id="134" w:name="_Toc21446"/>
      <w:bookmarkStart w:id="135" w:name="_Toc31037"/>
      <w:r>
        <w:rPr>
          <w:rFonts w:hint="eastAsia" w:asciiTheme="minorEastAsia" w:hAnsiTheme="minorEastAsia" w:eastAsiaTheme="minorEastAsia" w:cstheme="minorEastAsia"/>
          <w:b w:val="0"/>
          <w:bCs/>
          <w:color w:val="auto"/>
          <w:sz w:val="24"/>
          <w:szCs w:val="24"/>
          <w:lang w:val="en-US" w:eastAsia="zh-CN"/>
        </w:rPr>
        <w:t>十四、</w:t>
      </w:r>
      <w:r>
        <w:rPr>
          <w:rFonts w:hint="eastAsia" w:asciiTheme="minorEastAsia" w:hAnsiTheme="minorEastAsia" w:eastAsiaTheme="minorEastAsia" w:cstheme="minorEastAsia"/>
          <w:b w:val="0"/>
          <w:bCs/>
          <w:color w:val="auto"/>
          <w:sz w:val="24"/>
          <w:szCs w:val="24"/>
        </w:rPr>
        <w:t>特殊情形的规定</w:t>
      </w:r>
      <w:bookmarkEnd w:id="133"/>
      <w:bookmarkEnd w:id="134"/>
      <w:bookmarkEnd w:id="135"/>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68"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特殊情形是指：在规定的投标截止时间递交</w:t>
      </w:r>
      <w:r>
        <w:rPr>
          <w:rFonts w:hint="eastAsia" w:asciiTheme="minorEastAsia" w:hAnsiTheme="minorEastAsia" w:eastAsiaTheme="minorEastAsia" w:cstheme="minorEastAsia"/>
          <w:color w:val="auto"/>
          <w:spacing w:val="-3"/>
          <w:sz w:val="24"/>
          <w:szCs w:val="24"/>
          <w:lang w:eastAsia="zh-CN"/>
        </w:rPr>
        <w:t>征集响应文件</w:t>
      </w:r>
      <w:r>
        <w:rPr>
          <w:rFonts w:hint="eastAsia" w:asciiTheme="minorEastAsia" w:hAnsiTheme="minorEastAsia" w:eastAsiaTheme="minorEastAsia" w:cstheme="minorEastAsia"/>
          <w:color w:val="auto"/>
          <w:spacing w:val="-3"/>
          <w:sz w:val="24"/>
          <w:szCs w:val="24"/>
        </w:rPr>
        <w:t>或者经评审实质性响应征</w:t>
      </w:r>
      <w:r>
        <w:rPr>
          <w:rFonts w:hint="eastAsia" w:asciiTheme="minorEastAsia" w:hAnsiTheme="minorEastAsia" w:eastAsiaTheme="minorEastAsia" w:cstheme="minorEastAsia"/>
          <w:color w:val="auto"/>
          <w:sz w:val="24"/>
          <w:szCs w:val="24"/>
        </w:rPr>
        <w:t xml:space="preserve">集文件要求的供应商不足入围供应商数量上限的情形。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一</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color w:val="auto"/>
          <w:sz w:val="24"/>
          <w:szCs w:val="24"/>
        </w:rPr>
        <w:t>根据中华人民共和国财政部令第</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110</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号《政府采购框架协议采购方式管理暂</w:t>
      </w:r>
      <w:r>
        <w:rPr>
          <w:rFonts w:hint="eastAsia" w:asciiTheme="minorEastAsia" w:hAnsiTheme="minorEastAsia" w:eastAsiaTheme="minorEastAsia" w:cstheme="minorEastAsia"/>
          <w:color w:val="auto"/>
          <w:spacing w:val="-3"/>
          <w:sz w:val="24"/>
          <w:szCs w:val="24"/>
        </w:rPr>
        <w:t>行办法》第二十七条的规定，确定第一阶段入围供应商时，提交响应文件</w:t>
      </w:r>
      <w:r>
        <w:rPr>
          <w:rFonts w:hint="eastAsia" w:asciiTheme="minorEastAsia" w:hAnsiTheme="minorEastAsia" w:eastAsiaTheme="minorEastAsia" w:cstheme="minorEastAsia"/>
          <w:color w:val="auto"/>
          <w:spacing w:val="-3"/>
          <w:sz w:val="24"/>
          <w:szCs w:val="24"/>
          <w:lang w:val="en-US" w:eastAsia="zh-CN"/>
        </w:rPr>
        <w:t>且</w:t>
      </w:r>
      <w:r>
        <w:rPr>
          <w:rFonts w:hint="eastAsia" w:asciiTheme="minorEastAsia" w:hAnsiTheme="minorEastAsia" w:eastAsiaTheme="minorEastAsia" w:cstheme="minorEastAsia"/>
          <w:color w:val="auto"/>
          <w:spacing w:val="-3"/>
          <w:sz w:val="24"/>
          <w:szCs w:val="24"/>
        </w:rPr>
        <w:t>通过资格审查或符合性审查的</w:t>
      </w:r>
      <w:r>
        <w:rPr>
          <w:rFonts w:hint="eastAsia" w:asciiTheme="minorEastAsia" w:hAnsiTheme="minorEastAsia" w:eastAsiaTheme="minorEastAsia" w:cstheme="minorEastAsia"/>
          <w:color w:val="auto"/>
          <w:spacing w:val="-3"/>
          <w:sz w:val="24"/>
          <w:szCs w:val="24"/>
          <w:lang w:eastAsia="zh-CN"/>
        </w:rPr>
        <w:t>供应商</w:t>
      </w:r>
      <w:r>
        <w:rPr>
          <w:rFonts w:hint="eastAsia" w:asciiTheme="minorEastAsia" w:hAnsiTheme="minorEastAsia" w:eastAsiaTheme="minorEastAsia" w:cstheme="minorEastAsia"/>
          <w:color w:val="auto"/>
          <w:sz w:val="24"/>
          <w:szCs w:val="24"/>
        </w:rPr>
        <w:t>应不少于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家，淘汰比例不低于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 xml:space="preserve">20%，且至少淘汰一家供应商。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color w:val="auto"/>
          <w:sz w:val="24"/>
          <w:szCs w:val="24"/>
        </w:rPr>
        <w:t>公开招标数额标准以上的采购项目，投标截止后</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不足入围供应商数量</w:t>
      </w:r>
      <w:r>
        <w:rPr>
          <w:rFonts w:hint="eastAsia" w:asciiTheme="minorEastAsia" w:hAnsiTheme="minorEastAsia" w:eastAsiaTheme="minorEastAsia" w:cstheme="minorEastAsia"/>
          <w:color w:val="auto"/>
          <w:spacing w:val="-3"/>
          <w:sz w:val="24"/>
          <w:szCs w:val="24"/>
        </w:rPr>
        <w:t>上限或者通过资格审查或符合性审查的</w:t>
      </w:r>
      <w:r>
        <w:rPr>
          <w:rFonts w:hint="eastAsia" w:asciiTheme="minorEastAsia" w:hAnsiTheme="minorEastAsia" w:eastAsiaTheme="minorEastAsia" w:cstheme="minorEastAsia"/>
          <w:color w:val="auto"/>
          <w:spacing w:val="-3"/>
          <w:sz w:val="24"/>
          <w:szCs w:val="24"/>
          <w:lang w:eastAsia="zh-CN"/>
        </w:rPr>
        <w:t>供应商</w:t>
      </w:r>
      <w:r>
        <w:rPr>
          <w:rFonts w:hint="eastAsia" w:asciiTheme="minorEastAsia" w:hAnsiTheme="minorEastAsia" w:eastAsiaTheme="minorEastAsia" w:cstheme="minorEastAsia"/>
          <w:color w:val="auto"/>
          <w:spacing w:val="-3"/>
          <w:sz w:val="24"/>
          <w:szCs w:val="24"/>
        </w:rPr>
        <w:t>不足入围供应商数量上限的，除采购任务</w:t>
      </w:r>
      <w:r>
        <w:rPr>
          <w:rFonts w:hint="eastAsia" w:asciiTheme="minorEastAsia" w:hAnsiTheme="minorEastAsia" w:eastAsiaTheme="minorEastAsia" w:cstheme="minorEastAsia"/>
          <w:color w:val="auto"/>
          <w:sz w:val="24"/>
          <w:szCs w:val="24"/>
        </w:rPr>
        <w:t xml:space="preserve">取消情形外，按照以下方式处理：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征集文件存在不合理条款或者招标程序不符合规定的，</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改正后依法重新</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68"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4"/>
          <w:szCs w:val="24"/>
          <w:lang w:val="en-US" w:eastAsia="zh-CN"/>
        </w:rPr>
        <w:t>2.</w:t>
      </w:r>
      <w:r>
        <w:rPr>
          <w:rFonts w:hint="eastAsia" w:asciiTheme="minorEastAsia" w:hAnsiTheme="minorEastAsia" w:eastAsiaTheme="minorEastAsia" w:cstheme="minorEastAsia"/>
          <w:color w:val="auto"/>
          <w:spacing w:val="-3"/>
          <w:sz w:val="24"/>
          <w:szCs w:val="24"/>
        </w:rPr>
        <w:t>征集文件没有不合理条款、招标程序符合规定，需要采用其他采购方式采购的，</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应当依法报财政部门批准。</w:t>
      </w:r>
      <w:r>
        <w:rPr>
          <w:rFonts w:hint="eastAsia" w:asciiTheme="minorEastAsia" w:hAnsiTheme="minorEastAsia" w:eastAsiaTheme="minorEastAsia" w:cstheme="minorEastAsia"/>
          <w:b/>
          <w:color w:val="auto"/>
          <w:w w:val="99"/>
          <w:sz w:val="24"/>
          <w:szCs w:val="24"/>
        </w:rPr>
        <w:t xml:space="preserve"> </w:t>
      </w:r>
      <w:bookmarkEnd w:id="132"/>
      <w:bookmarkStart w:id="136" w:name="_Toc30530"/>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十五、其他</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天水市财政局和天水市公共资源交易中心将建立用户反馈和评价机制，接受采购人对入围供应商履约框架协议和采购合同情况的反馈与评价，并将用户反馈和评价情况在天水市政府采购交易管理系统向采购人公开，作为第二阶段直接选定成交供应商的参考。</w:t>
      </w: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bCs/>
          <w:color w:val="auto"/>
          <w:sz w:val="44"/>
          <w:szCs w:val="44"/>
          <w:shd w:val="clear" w:color="auto" w:fill="auto"/>
          <w:lang w:val="en-US" w:eastAsia="zh-CN"/>
        </w:rPr>
      </w:pPr>
      <w:bookmarkStart w:id="137" w:name="_Toc31039"/>
      <w:r>
        <w:rPr>
          <w:rFonts w:hint="eastAsia" w:asciiTheme="minorEastAsia" w:hAnsiTheme="minorEastAsia" w:eastAsiaTheme="minorEastAsia" w:cstheme="minorEastAsia"/>
          <w:b/>
          <w:bCs/>
          <w:color w:val="auto"/>
          <w:sz w:val="44"/>
          <w:szCs w:val="44"/>
          <w:shd w:val="clear" w:color="auto" w:fill="auto"/>
          <w:lang w:val="en-US" w:eastAsia="zh-CN"/>
        </w:rPr>
        <w:t>第四部分 采购需求</w:t>
      </w:r>
      <w:bookmarkEnd w:id="137"/>
    </w:p>
    <w:p>
      <w:pPr>
        <w:keepNext w:val="0"/>
        <w:keepLines w:val="0"/>
        <w:pageBreakBefore w:val="0"/>
        <w:widowControl w:val="0"/>
        <w:kinsoku/>
        <w:overflowPunct/>
        <w:topLinePunct w:val="0"/>
        <w:bidi w:val="0"/>
        <w:spacing w:before="0" w:beforeLines="0" w:after="0" w:afterLines="0" w:line="420" w:lineRule="exact"/>
        <w:ind w:firstLine="480" w:firstLineChars="200"/>
        <w:jc w:val="both"/>
        <w:textAlignment w:val="auto"/>
        <w:rPr>
          <w:rFonts w:hint="eastAsia" w:ascii="宋体" w:hAnsi="宋体"/>
          <w:color w:val="auto"/>
          <w:sz w:val="24"/>
        </w:rPr>
      </w:pPr>
      <w:bookmarkStart w:id="138" w:name="_Toc369249053"/>
      <w:bookmarkStart w:id="139" w:name="_Toc20261"/>
      <w:r>
        <w:rPr>
          <w:rFonts w:hint="eastAsia" w:ascii="宋体" w:hAnsi="宋体"/>
          <w:color w:val="auto"/>
          <w:sz w:val="24"/>
        </w:rPr>
        <w:t xml:space="preserve">一、 </w:t>
      </w:r>
      <w:bookmarkEnd w:id="138"/>
      <w:r>
        <w:rPr>
          <w:rFonts w:hint="default" w:ascii="宋体" w:hAnsi="宋体"/>
          <w:snapToGrid/>
          <w:sz w:val="24"/>
        </w:rPr>
        <w:t>总体要求</w:t>
      </w:r>
    </w:p>
    <w:p>
      <w:pPr>
        <w:keepNext w:val="0"/>
        <w:keepLines w:val="0"/>
        <w:pageBreakBefore w:val="0"/>
        <w:widowControl w:val="0"/>
        <w:numPr>
          <w:ilvl w:val="0"/>
          <w:numId w:val="0"/>
        </w:numPr>
        <w:kinsoku/>
        <w:overflowPunct/>
        <w:topLinePunct w:val="0"/>
        <w:bidi w:val="0"/>
        <w:spacing w:line="420" w:lineRule="exact"/>
        <w:ind w:firstLine="480" w:firstLineChars="200"/>
        <w:textAlignment w:val="auto"/>
        <w:rPr>
          <w:rFonts w:hint="eastAsia" w:ascii="宋体" w:hAnsi="宋体"/>
          <w:color w:val="auto"/>
        </w:rPr>
      </w:pPr>
      <w:r>
        <w:rPr>
          <w:rFonts w:hint="default" w:ascii="宋体" w:hAnsi="宋体"/>
          <w:snapToGrid/>
          <w:sz w:val="24"/>
        </w:rPr>
        <w:t>通过本次车辆定点协议供货政府采购项目，根据</w:t>
      </w:r>
      <w:r>
        <w:rPr>
          <w:rFonts w:hint="eastAsia" w:ascii="宋体" w:hAnsi="宋体"/>
          <w:snapToGrid/>
          <w:sz w:val="24"/>
          <w:lang w:eastAsia="zh-CN"/>
        </w:rPr>
        <w:t>天水市</w:t>
      </w:r>
      <w:r>
        <w:rPr>
          <w:rFonts w:hint="default" w:ascii="宋体" w:hAnsi="宋体"/>
          <w:snapToGrid/>
          <w:sz w:val="24"/>
        </w:rPr>
        <w:t>公务用车需求，按照公务用车配备标准，确定中标品牌型号等内容，实现资源共享，促进公平竞争，发挥规模效益，降低采购成本，提高采购效率，最大程度满足采购单位需求</w:t>
      </w:r>
      <w:r>
        <w:rPr>
          <w:rFonts w:hint="eastAsia" w:ascii="宋体" w:hAnsi="宋体"/>
          <w:snapToGrid/>
          <w:sz w:val="24"/>
          <w:lang w:eastAsia="zh-CN"/>
        </w:rPr>
        <w:t>。</w:t>
      </w:r>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40" w:name="_Toc8544"/>
      <w:bookmarkStart w:id="141" w:name="_Toc28154"/>
      <w:r>
        <w:rPr>
          <w:rFonts w:hint="default" w:ascii="宋体" w:hAnsi="宋体"/>
          <w:snapToGrid/>
          <w:sz w:val="24"/>
        </w:rPr>
        <w:t>★2、适用范围</w:t>
      </w:r>
      <w:bookmarkEnd w:id="140"/>
      <w:bookmarkEnd w:id="141"/>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42" w:name="_Toc1531"/>
      <w:bookmarkStart w:id="143" w:name="_Toc15407"/>
      <w:r>
        <w:rPr>
          <w:rFonts w:hint="default" w:ascii="宋体" w:hAnsi="宋体"/>
          <w:snapToGrid/>
          <w:sz w:val="24"/>
        </w:rPr>
        <w:t>1、采购单位：</w:t>
      </w:r>
      <w:r>
        <w:rPr>
          <w:rFonts w:hint="eastAsia" w:ascii="宋体" w:hAnsi="宋体"/>
          <w:snapToGrid/>
          <w:sz w:val="24"/>
          <w:lang w:eastAsia="zh-CN"/>
        </w:rPr>
        <w:t>天水市</w:t>
      </w:r>
      <w:r>
        <w:rPr>
          <w:rFonts w:hint="default" w:ascii="宋体" w:hAnsi="宋体"/>
          <w:snapToGrid/>
          <w:sz w:val="24"/>
        </w:rPr>
        <w:t>党政机关、事业单位。</w:t>
      </w:r>
      <w:bookmarkEnd w:id="142"/>
      <w:bookmarkEnd w:id="143"/>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44" w:name="_Toc8612"/>
      <w:bookmarkStart w:id="145" w:name="_Toc27749"/>
      <w:r>
        <w:rPr>
          <w:rFonts w:hint="default" w:ascii="宋体" w:hAnsi="宋体"/>
          <w:snapToGrid/>
          <w:sz w:val="24"/>
        </w:rPr>
        <w:t>2、所投产品应为列入国家相关部门车辆生产企业及产品公告的，并满足国家及 甘肃省行政区域现行有效的汽车排放标准要求的且适用于政府采购的车辆。</w:t>
      </w:r>
      <w:bookmarkEnd w:id="144"/>
      <w:bookmarkEnd w:id="145"/>
      <w:r>
        <w:rPr>
          <w:rFonts w:hint="default" w:ascii="宋体" w:hAnsi="宋体"/>
          <w:snapToGrid/>
          <w:sz w:val="24"/>
        </w:rPr>
        <w:t xml:space="preserve"> </w:t>
      </w:r>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46" w:name="_Toc4337"/>
      <w:bookmarkStart w:id="147" w:name="_Toc9332"/>
      <w:r>
        <w:rPr>
          <w:rFonts w:hint="default" w:ascii="宋体" w:hAnsi="宋体"/>
          <w:snapToGrid/>
          <w:sz w:val="24"/>
        </w:rPr>
        <w:t>★3、服务期限 服务期限：</w:t>
      </w:r>
      <w:r>
        <w:rPr>
          <w:rFonts w:hint="eastAsia" w:ascii="宋体" w:hAnsi="宋体"/>
          <w:snapToGrid/>
          <w:sz w:val="24"/>
          <w:lang w:val="en-US" w:eastAsia="zh-CN"/>
        </w:rPr>
        <w:t>1</w:t>
      </w:r>
      <w:r>
        <w:rPr>
          <w:rFonts w:hint="default" w:ascii="宋体" w:hAnsi="宋体"/>
          <w:snapToGrid/>
          <w:sz w:val="24"/>
        </w:rPr>
        <w:t xml:space="preserve"> 年。</w:t>
      </w:r>
      <w:bookmarkEnd w:id="146"/>
      <w:bookmarkEnd w:id="147"/>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48" w:name="_Toc24609"/>
      <w:bookmarkStart w:id="149" w:name="_Toc5792"/>
      <w:r>
        <w:rPr>
          <w:rFonts w:hint="default" w:ascii="宋体" w:hAnsi="宋体"/>
          <w:snapToGrid/>
          <w:sz w:val="24"/>
        </w:rPr>
        <w:t>★4、报价要求</w:t>
      </w:r>
      <w:bookmarkEnd w:id="148"/>
      <w:bookmarkEnd w:id="149"/>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50" w:name="_Toc21442"/>
      <w:bookmarkStart w:id="151" w:name="_Toc12154"/>
      <w:r>
        <w:rPr>
          <w:rFonts w:hint="default" w:ascii="宋体" w:hAnsi="宋体"/>
          <w:snapToGrid/>
          <w:sz w:val="24"/>
        </w:rPr>
        <w:t>（1）协议供货价格和实际采购价格，均应包括销售价格及运输至采购单位指定 地点的装运费等费用，并实行零公里提车（送货距离除外）。</w:t>
      </w:r>
      <w:bookmarkEnd w:id="150"/>
      <w:bookmarkEnd w:id="151"/>
      <w:r>
        <w:rPr>
          <w:rFonts w:hint="default" w:ascii="宋体" w:hAnsi="宋体"/>
          <w:snapToGrid/>
          <w:sz w:val="24"/>
        </w:rPr>
        <w:t xml:space="preserve"> </w:t>
      </w:r>
    </w:p>
    <w:p>
      <w:pPr>
        <w:keepNext w:val="0"/>
        <w:keepLines w:val="0"/>
        <w:pageBreakBefore w:val="0"/>
        <w:widowControl w:val="0"/>
        <w:numPr>
          <w:ilvl w:val="0"/>
          <w:numId w:val="9"/>
        </w:numPr>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52" w:name="_Toc3618"/>
      <w:bookmarkStart w:id="153" w:name="_Toc31069"/>
      <w:r>
        <w:rPr>
          <w:rFonts w:hint="default" w:ascii="宋体" w:hAnsi="宋体"/>
          <w:snapToGrid/>
          <w:sz w:val="24"/>
        </w:rPr>
        <w:t>投标人承诺投标车型协议供货报价不得高于该车型在甘肃市场同期的任何 非政府采购价格及市场零售价。</w:t>
      </w:r>
      <w:bookmarkEnd w:id="152"/>
      <w:bookmarkEnd w:id="153"/>
      <w:r>
        <w:rPr>
          <w:rFonts w:hint="default" w:ascii="宋体" w:hAnsi="宋体"/>
          <w:snapToGrid/>
          <w:sz w:val="24"/>
        </w:rPr>
        <w:t xml:space="preserve"> </w:t>
      </w:r>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54" w:name="_Toc16835"/>
      <w:bookmarkStart w:id="155" w:name="_Toc27067"/>
      <w:r>
        <w:rPr>
          <w:rFonts w:hint="default" w:ascii="宋体" w:hAnsi="宋体"/>
          <w:snapToGrid/>
          <w:sz w:val="24"/>
        </w:rPr>
        <w:t>（3）协议供货价格为采购单位执行协议供货采购时的最高限价。</w:t>
      </w:r>
      <w:bookmarkEnd w:id="154"/>
      <w:bookmarkEnd w:id="155"/>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56" w:name="_Toc19587"/>
      <w:bookmarkStart w:id="157" w:name="_Toc22272"/>
      <w:r>
        <w:rPr>
          <w:rFonts w:hint="default" w:ascii="宋体" w:hAnsi="宋体"/>
          <w:snapToGrid/>
          <w:sz w:val="24"/>
        </w:rPr>
        <w:t>★5、服务要求</w:t>
      </w:r>
      <w:bookmarkEnd w:id="156"/>
      <w:bookmarkEnd w:id="157"/>
      <w:r>
        <w:rPr>
          <w:rFonts w:hint="default" w:ascii="宋体" w:hAnsi="宋体"/>
          <w:snapToGrid/>
          <w:sz w:val="24"/>
        </w:rPr>
        <w:t xml:space="preserve"> </w:t>
      </w:r>
    </w:p>
    <w:p>
      <w:pPr>
        <w:keepNext w:val="0"/>
        <w:keepLines w:val="0"/>
        <w:pageBreakBefore w:val="0"/>
        <w:widowControl w:val="0"/>
        <w:numPr>
          <w:ilvl w:val="0"/>
          <w:numId w:val="10"/>
        </w:numPr>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58" w:name="_Toc27163"/>
      <w:bookmarkStart w:id="159" w:name="_Toc16948"/>
      <w:r>
        <w:rPr>
          <w:rFonts w:hint="default" w:ascii="宋体" w:hAnsi="宋体"/>
          <w:snapToGrid/>
          <w:sz w:val="24"/>
        </w:rPr>
        <w:t>具有完善的供货渠道，同时具有专业维修服务机构（专业维修服务机 构须具有汽车维修行业管理部门核发的《道路运输经营许可证》的汽车维修资质），具备质量“三包”措施，配有较强的技术队伍，提供快速的售后服务响应。</w:t>
      </w:r>
      <w:bookmarkEnd w:id="158"/>
      <w:bookmarkEnd w:id="159"/>
    </w:p>
    <w:p>
      <w:pPr>
        <w:keepNext w:val="0"/>
        <w:keepLines w:val="0"/>
        <w:pageBreakBefore w:val="0"/>
        <w:widowControl w:val="0"/>
        <w:kinsoku/>
        <w:overflowPunct/>
        <w:topLinePunct w:val="0"/>
        <w:bidi w:val="0"/>
        <w:spacing w:beforeLines="0" w:afterLines="0" w:line="420" w:lineRule="exact"/>
        <w:ind w:firstLine="480" w:firstLineChars="200"/>
        <w:jc w:val="left"/>
        <w:textAlignment w:val="auto"/>
        <w:rPr>
          <w:rFonts w:hint="eastAsia" w:ascii="宋体" w:hAnsi="宋体" w:eastAsia="宋体"/>
          <w:color w:val="0C0C0C"/>
          <w:sz w:val="24"/>
        </w:rPr>
      </w:pPr>
      <w:r>
        <w:rPr>
          <w:rFonts w:hint="eastAsia" w:ascii="宋体" w:hAnsi="宋体" w:eastAsia="宋体"/>
          <w:color w:val="0C0C0C"/>
          <w:sz w:val="24"/>
        </w:rPr>
        <w:t>投标人自有维修服务机构的须提供：维修服务机构所具有的汽车维修行业管</w:t>
      </w:r>
    </w:p>
    <w:p>
      <w:pPr>
        <w:keepNext w:val="0"/>
        <w:keepLines w:val="0"/>
        <w:pageBreakBefore w:val="0"/>
        <w:widowControl w:val="0"/>
        <w:kinsoku/>
        <w:overflowPunct/>
        <w:topLinePunct w:val="0"/>
        <w:bidi w:val="0"/>
        <w:spacing w:beforeLines="0" w:afterLines="0" w:line="420" w:lineRule="exact"/>
        <w:jc w:val="left"/>
        <w:textAlignment w:val="auto"/>
        <w:rPr>
          <w:rFonts w:hint="eastAsia" w:ascii="宋体" w:hAnsi="宋体" w:eastAsia="宋体"/>
          <w:color w:val="0C0C0C"/>
          <w:sz w:val="24"/>
        </w:rPr>
      </w:pPr>
      <w:r>
        <w:rPr>
          <w:rFonts w:hint="eastAsia" w:ascii="宋体" w:hAnsi="宋体" w:eastAsia="宋体"/>
          <w:color w:val="0C0C0C"/>
          <w:sz w:val="24"/>
        </w:rPr>
        <w:t>理部门核发的《道路运输经营许可证》的汽车维修资质（复印件）。投标人委托</w:t>
      </w:r>
    </w:p>
    <w:p>
      <w:pPr>
        <w:keepNext w:val="0"/>
        <w:keepLines w:val="0"/>
        <w:pageBreakBefore w:val="0"/>
        <w:widowControl w:val="0"/>
        <w:kinsoku/>
        <w:overflowPunct/>
        <w:topLinePunct w:val="0"/>
        <w:bidi w:val="0"/>
        <w:spacing w:beforeLines="0" w:afterLines="0" w:line="420" w:lineRule="exact"/>
        <w:jc w:val="left"/>
        <w:textAlignment w:val="auto"/>
        <w:rPr>
          <w:rFonts w:hint="eastAsia" w:ascii="宋体" w:hAnsi="宋体" w:eastAsia="宋体"/>
          <w:color w:val="0C0C0C"/>
          <w:sz w:val="24"/>
        </w:rPr>
      </w:pPr>
      <w:r>
        <w:rPr>
          <w:rFonts w:hint="eastAsia" w:ascii="宋体" w:hAnsi="宋体" w:eastAsia="宋体"/>
          <w:color w:val="0C0C0C"/>
          <w:sz w:val="24"/>
        </w:rPr>
        <w:t>维修服务机构的须提供：被委托维修服务机构所具有的汽车维修行业管理部门核</w:t>
      </w:r>
    </w:p>
    <w:p>
      <w:pPr>
        <w:keepNext w:val="0"/>
        <w:keepLines w:val="0"/>
        <w:pageBreakBefore w:val="0"/>
        <w:widowControl w:val="0"/>
        <w:kinsoku/>
        <w:overflowPunct/>
        <w:topLinePunct w:val="0"/>
        <w:bidi w:val="0"/>
        <w:spacing w:beforeLines="0" w:afterLines="0" w:line="420" w:lineRule="exact"/>
        <w:jc w:val="left"/>
        <w:textAlignment w:val="auto"/>
        <w:rPr>
          <w:rFonts w:hint="eastAsia" w:ascii="宋体" w:hAnsi="宋体" w:eastAsia="宋体"/>
          <w:color w:val="0C0C0C"/>
          <w:sz w:val="24"/>
        </w:rPr>
      </w:pPr>
      <w:r>
        <w:rPr>
          <w:rFonts w:hint="eastAsia" w:ascii="宋体" w:hAnsi="宋体" w:eastAsia="宋体"/>
          <w:color w:val="0C0C0C"/>
          <w:sz w:val="24"/>
        </w:rPr>
        <w:t>发的《道路运输经营许可证》的汽车维修资质（复印件）、被委托维修服务机构</w:t>
      </w:r>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bookmarkStart w:id="160" w:name="_Toc6648"/>
      <w:bookmarkStart w:id="161" w:name="_Toc20163"/>
      <w:r>
        <w:rPr>
          <w:rFonts w:hint="eastAsia" w:ascii="宋体" w:hAnsi="宋体" w:eastAsia="宋体"/>
          <w:color w:val="0C0C0C"/>
          <w:sz w:val="24"/>
        </w:rPr>
        <w:t>的营业执照（复印件）、委托协议书或委托合同（复印件）。</w:t>
      </w:r>
      <w:bookmarkEnd w:id="160"/>
      <w:bookmarkEnd w:id="161"/>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eastAsia" w:ascii="宋体" w:hAnsi="宋体"/>
          <w:snapToGrid/>
          <w:sz w:val="24"/>
          <w:lang w:val="en-US" w:eastAsia="zh-CN"/>
        </w:rPr>
        <w:t xml:space="preserve">  </w:t>
      </w:r>
      <w:r>
        <w:rPr>
          <w:rFonts w:hint="default" w:ascii="宋体" w:hAnsi="宋体"/>
          <w:snapToGrid/>
          <w:sz w:val="24"/>
        </w:rPr>
        <w:t xml:space="preserve"> </w:t>
      </w:r>
      <w:bookmarkStart w:id="162" w:name="_Toc17300"/>
      <w:bookmarkStart w:id="163" w:name="_Toc28500"/>
      <w:r>
        <w:rPr>
          <w:rFonts w:hint="default" w:ascii="宋体" w:hAnsi="宋体"/>
          <w:snapToGrid/>
          <w:sz w:val="24"/>
        </w:rPr>
        <w:t>（2）投标供应商提供的投标产品质保期和质保里程，不得低于投标产品生产厂 家向社会公布和提供的质保期和质保里程。</w:t>
      </w:r>
      <w:bookmarkEnd w:id="162"/>
      <w:bookmarkEnd w:id="163"/>
      <w:r>
        <w:rPr>
          <w:rFonts w:hint="default" w:ascii="宋体" w:hAnsi="宋体"/>
          <w:snapToGrid/>
          <w:sz w:val="24"/>
        </w:rPr>
        <w:t xml:space="preserve"> </w:t>
      </w:r>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eastAsia" w:ascii="宋体" w:hAnsi="宋体"/>
          <w:snapToGrid/>
          <w:sz w:val="24"/>
          <w:lang w:val="en-US" w:eastAsia="zh-CN"/>
        </w:rPr>
        <w:t xml:space="preserve">   </w:t>
      </w:r>
      <w:bookmarkStart w:id="164" w:name="_Toc18100"/>
      <w:bookmarkStart w:id="165" w:name="_Toc952"/>
      <w:r>
        <w:rPr>
          <w:rFonts w:hint="default" w:ascii="宋体" w:hAnsi="宋体"/>
          <w:snapToGrid/>
          <w:sz w:val="24"/>
        </w:rPr>
        <w:t>（3）本项目须配备协议供货总协调人（协议供货总协调人必须由投标人在职人 员担任，须提供总协调人在投标供应商单位缴纳社保的证明材料）。协议供货有效期内，如总协调人信息发生变化的，协议供货总协调人须向本项目采购人提出 书面申请，经审核同意后进行调整。协议供货总协调人全权负责车辆中标后咨询、 签订和执行合同、履行售后服务承诺和接受投诉等事项。提供的总协调人信息、 售后服务网点信息必须明确（包括联系电话、传真和电子邮件信息）。</w:t>
      </w:r>
      <w:bookmarkEnd w:id="164"/>
      <w:bookmarkEnd w:id="165"/>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66" w:name="_Toc31435"/>
      <w:bookmarkStart w:id="167" w:name="_Toc18898"/>
      <w:r>
        <w:rPr>
          <w:rFonts w:hint="default" w:ascii="宋体" w:hAnsi="宋体"/>
          <w:snapToGrid/>
          <w:sz w:val="24"/>
        </w:rPr>
        <w:t>（4）中标结果将在甘肃政府采购网站上公布，供采购单位查询。</w:t>
      </w:r>
      <w:bookmarkEnd w:id="166"/>
      <w:bookmarkEnd w:id="167"/>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68" w:name="_Toc16272"/>
      <w:bookmarkStart w:id="169" w:name="_Toc27552"/>
      <w:r>
        <w:rPr>
          <w:rFonts w:hint="default" w:ascii="宋体" w:hAnsi="宋体"/>
          <w:snapToGrid/>
          <w:sz w:val="24"/>
        </w:rPr>
        <w:t>（5）协议供货期内，中标人应在其中标产品停产、升级、新车型替代原有中标车型、配置或价格等中标信息发生变化的第一时间通知本项目采购人，最晚不超过 3 个工作日。本项目采购人将对变更后的信息进行审核，修改原有中标产品信息不得降低技术要求和参数配置，调整后该车型优惠率须不低于中标时优惠率， 其他不调整事项仍执行中标时相关承诺。</w:t>
      </w:r>
      <w:bookmarkEnd w:id="168"/>
      <w:bookmarkEnd w:id="169"/>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70" w:name="_Toc16852"/>
      <w:bookmarkStart w:id="171" w:name="_Toc28690"/>
      <w:r>
        <w:rPr>
          <w:rFonts w:hint="default" w:ascii="宋体" w:hAnsi="宋体"/>
          <w:snapToGrid/>
          <w:sz w:val="24"/>
        </w:rPr>
        <w:t>（6）中标产品在特定时间举办的促销活动或实施优惠政策，甘肃省省级各采购单位有权参加其促销活动、享受其优惠政策。</w:t>
      </w:r>
      <w:bookmarkEnd w:id="170"/>
      <w:bookmarkEnd w:id="171"/>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72" w:name="_Toc4759"/>
      <w:bookmarkStart w:id="173" w:name="_Toc11837"/>
      <w:r>
        <w:rPr>
          <w:rFonts w:hint="default" w:ascii="宋体" w:hAnsi="宋体"/>
          <w:snapToGrid/>
          <w:sz w:val="24"/>
        </w:rPr>
        <w:t>（7）中标供应商应在承诺的供货时间内将车辆交付至采购单位指定地点，并配合采购单位做好车辆的验收、保险、上牌等工作，无正当理由不得拒付或延迟交付中标车辆。</w:t>
      </w:r>
      <w:bookmarkEnd w:id="172"/>
      <w:bookmarkEnd w:id="173"/>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74" w:name="_Toc4907"/>
      <w:bookmarkStart w:id="175" w:name="_Toc8346"/>
      <w:r>
        <w:rPr>
          <w:rFonts w:hint="default" w:ascii="宋体" w:hAnsi="宋体"/>
          <w:snapToGrid/>
          <w:sz w:val="24"/>
        </w:rPr>
        <w:t>（8）中标供应商不得以政府采购公务用车为理由，降低中标车辆的配置标准。</w:t>
      </w:r>
      <w:bookmarkEnd w:id="174"/>
      <w:bookmarkEnd w:id="175"/>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76" w:name="_Toc12073"/>
      <w:bookmarkStart w:id="177" w:name="_Toc12793"/>
      <w:r>
        <w:rPr>
          <w:rFonts w:hint="default" w:ascii="宋体" w:hAnsi="宋体"/>
          <w:snapToGrid/>
          <w:sz w:val="24"/>
        </w:rPr>
        <w:t>（9）中标供应商应加强日常管理和服务标准，对车辆性能参数不能做虚假宣传。</w:t>
      </w:r>
      <w:bookmarkEnd w:id="176"/>
      <w:bookmarkEnd w:id="177"/>
      <w:r>
        <w:rPr>
          <w:rFonts w:hint="default" w:ascii="宋体" w:hAnsi="宋体"/>
          <w:snapToGrid/>
          <w:sz w:val="24"/>
        </w:rPr>
        <w:t xml:space="preserve"> </w:t>
      </w:r>
    </w:p>
    <w:p>
      <w:pPr>
        <w:keepNext w:val="0"/>
        <w:keepLines w:val="0"/>
        <w:pageBreakBefore w:val="0"/>
        <w:widowControl w:val="0"/>
        <w:tabs>
          <w:tab w:val="left" w:pos="0"/>
        </w:tabs>
        <w:kinsoku/>
        <w:overflowPunct/>
        <w:topLinePunct w:val="0"/>
        <w:bidi w:val="0"/>
        <w:spacing w:line="420" w:lineRule="exact"/>
        <w:ind w:left="315" w:leftChars="150" w:firstLine="241" w:firstLineChars="100"/>
        <w:textAlignment w:val="auto"/>
        <w:rPr>
          <w:rFonts w:hint="eastAsia" w:ascii="宋体" w:hAnsi="宋体"/>
          <w:b/>
          <w:bCs/>
          <w:snapToGrid/>
          <w:sz w:val="24"/>
          <w:lang w:val="en-US" w:eastAsia="zh-CN"/>
        </w:rPr>
      </w:pPr>
      <w:r>
        <w:rPr>
          <w:rFonts w:hint="default" w:ascii="宋体" w:hAnsi="宋体"/>
          <w:b/>
          <w:bCs/>
          <w:snapToGrid/>
          <w:sz w:val="24"/>
        </w:rPr>
        <w:t>★6、车辆要求</w:t>
      </w:r>
      <w:r>
        <w:rPr>
          <w:rFonts w:hint="eastAsia" w:ascii="宋体" w:hAnsi="宋体"/>
          <w:b/>
          <w:bCs/>
          <w:snapToGrid/>
          <w:sz w:val="24"/>
          <w:lang w:val="en-US" w:eastAsia="zh-CN"/>
        </w:rPr>
        <w:t>及最高限价</w:t>
      </w:r>
    </w:p>
    <w:p>
      <w:pPr>
        <w:pStyle w:val="2"/>
        <w:rPr>
          <w:rFonts w:hint="eastAsia" w:ascii="宋体" w:hAnsi="宋体"/>
          <w:snapToGrid/>
          <w:sz w:val="24"/>
          <w:lang w:val="en-US" w:eastAsia="zh-CN"/>
        </w:rPr>
      </w:pPr>
    </w:p>
    <w:p>
      <w:pPr>
        <w:pStyle w:val="3"/>
        <w:rPr>
          <w:rFonts w:hint="eastAsia" w:ascii="宋体" w:hAnsi="宋体"/>
          <w:snapToGrid/>
          <w:sz w:val="24"/>
          <w:lang w:val="en-US" w:eastAsia="zh-CN"/>
        </w:rPr>
      </w:pPr>
    </w:p>
    <w:p>
      <w:pPr>
        <w:rPr>
          <w:rFonts w:hint="eastAsia" w:ascii="宋体" w:hAnsi="宋体"/>
          <w:snapToGrid/>
          <w:sz w:val="24"/>
          <w:lang w:val="en-US" w:eastAsia="zh-CN"/>
        </w:rPr>
      </w:pPr>
    </w:p>
    <w:tbl>
      <w:tblPr>
        <w:tblStyle w:val="39"/>
        <w:tblpPr w:leftFromText="180" w:rightFromText="180" w:vertAnchor="text" w:horzAnchor="page" w:tblpX="1021" w:tblpY="172"/>
        <w:tblOverlap w:val="never"/>
        <w:tblW w:w="10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39"/>
        <w:gridCol w:w="2036"/>
        <w:gridCol w:w="1159"/>
        <w:gridCol w:w="2559"/>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包号</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车型</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发动机排气量或新能源形式</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b/>
                <w:bCs/>
                <w:color w:val="auto"/>
                <w:sz w:val="24"/>
                <w:szCs w:val="30"/>
                <w:vertAlign w:val="baseline"/>
                <w:lang w:eastAsia="zh-CN"/>
              </w:rPr>
              <w:t>最高限价</w:t>
            </w:r>
          </w:p>
        </w:tc>
        <w:tc>
          <w:tcPr>
            <w:tcW w:w="25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lang w:eastAsia="zh-CN"/>
              </w:rPr>
            </w:pPr>
            <w:r>
              <w:rPr>
                <w:rFonts w:hint="eastAsia" w:ascii="宋体" w:hAnsi="宋体"/>
                <w:color w:val="auto"/>
                <w:sz w:val="24"/>
                <w:szCs w:val="30"/>
                <w:vertAlign w:val="baseline"/>
                <w:lang w:eastAsia="zh-CN"/>
              </w:rPr>
              <w:t>范围</w:t>
            </w:r>
          </w:p>
        </w:tc>
        <w:tc>
          <w:tcPr>
            <w:tcW w:w="232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snapToGrid/>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1</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小型轿车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排气量≤1.6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12 万元</w:t>
            </w:r>
          </w:p>
        </w:tc>
        <w:tc>
          <w:tcPr>
            <w:tcW w:w="2559"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default" w:ascii="宋体" w:hAnsi="宋体"/>
                <w:snapToGrid/>
                <w:sz w:val="24"/>
              </w:rPr>
            </w:pPr>
            <w:r>
              <w:rPr>
                <w:rFonts w:hint="default" w:ascii="宋体" w:hAnsi="宋体"/>
                <w:snapToGrid/>
                <w:sz w:val="24"/>
              </w:rPr>
              <w:t>机要通信用车、应急保障用车和其他按照规定配备的公务用车</w:t>
            </w:r>
          </w:p>
        </w:tc>
        <w:tc>
          <w:tcPr>
            <w:tcW w:w="2325"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eastAsia" w:ascii="宋体" w:hAnsi="宋体"/>
                <w:color w:val="auto"/>
                <w:sz w:val="24"/>
                <w:szCs w:val="30"/>
                <w:vertAlign w:val="baseline"/>
              </w:rPr>
            </w:pPr>
            <w:r>
              <w:rPr>
                <w:rFonts w:hint="default" w:ascii="宋体" w:hAnsi="宋体"/>
                <w:snapToGrid/>
                <w:sz w:val="24"/>
              </w:rPr>
              <w:t>2厢</w:t>
            </w:r>
            <w:r>
              <w:rPr>
                <w:rFonts w:hint="eastAsia" w:ascii="宋体" w:hAnsi="宋体"/>
                <w:snapToGrid/>
                <w:sz w:val="24"/>
                <w:lang w:eastAsia="zh-CN"/>
              </w:rPr>
              <w:t>车</w:t>
            </w:r>
            <w:r>
              <w:rPr>
                <w:rFonts w:hint="default" w:ascii="宋体" w:hAnsi="宋体"/>
                <w:snapToGrid/>
                <w:sz w:val="24"/>
              </w:rPr>
              <w:t>不予接受认可</w:t>
            </w:r>
            <w:r>
              <w:rPr>
                <w:rFonts w:hint="eastAsia" w:ascii="宋体" w:hAnsi="宋体"/>
                <w:snapToGrid/>
                <w:sz w:val="24"/>
                <w:lang w:eastAsia="zh-CN"/>
              </w:rPr>
              <w:t>，</w:t>
            </w:r>
            <w:r>
              <w:rPr>
                <w:rFonts w:hint="eastAsia" w:ascii="宋体" w:hAnsi="宋体" w:eastAsia="宋体"/>
                <w:color w:val="0C0C0C"/>
                <w:sz w:val="24"/>
                <w:szCs w:val="24"/>
              </w:rPr>
              <w:t>进口车不予接受认可。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2</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eastAsia" w:ascii="宋体" w:hAnsi="宋体"/>
                <w:color w:val="auto"/>
                <w:sz w:val="24"/>
                <w:szCs w:val="30"/>
                <w:vertAlign w:val="baseline"/>
                <w:lang w:eastAsia="zh-CN"/>
              </w:rPr>
              <w:t>小型轿车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排气量≤1.8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18 万元</w:t>
            </w:r>
          </w:p>
        </w:tc>
        <w:tc>
          <w:tcPr>
            <w:tcW w:w="2559"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3</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越野车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2559"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eastAsia" w:ascii="宋体" w:hAnsi="宋体" w:eastAsia="宋体"/>
                <w:snapToGrid/>
                <w:sz w:val="24"/>
                <w:lang w:eastAsia="zh-CN"/>
              </w:rPr>
            </w:pPr>
            <w:r>
              <w:rPr>
                <w:rFonts w:hint="eastAsia" w:ascii="宋体" w:hAnsi="宋体"/>
                <w:snapToGrid/>
                <w:sz w:val="24"/>
                <w:lang w:eastAsia="zh-CN"/>
              </w:rPr>
              <w:t>确因情况特殊</w:t>
            </w:r>
          </w:p>
        </w:tc>
        <w:tc>
          <w:tcPr>
            <w:tcW w:w="2325" w:type="dxa"/>
            <w:vMerge w:val="restart"/>
            <w:noWrap w:val="0"/>
            <w:vAlign w:val="top"/>
          </w:tcPr>
          <w:p>
            <w:pPr>
              <w:spacing w:beforeLines="0" w:afterLines="0"/>
              <w:jc w:val="left"/>
              <w:rPr>
                <w:rFonts w:hint="eastAsia" w:ascii="宋体" w:hAnsi="宋体" w:eastAsia="宋体"/>
                <w:color w:val="auto"/>
                <w:sz w:val="24"/>
                <w:szCs w:val="30"/>
                <w:vertAlign w:val="baseline"/>
                <w:lang w:eastAsia="zh-CN"/>
              </w:rPr>
            </w:pPr>
            <w:r>
              <w:rPr>
                <w:rFonts w:hint="eastAsia" w:ascii="宋体" w:hAnsi="宋体" w:eastAsia="宋体"/>
                <w:color w:val="0C0C0C"/>
                <w:sz w:val="24"/>
              </w:rPr>
              <w:t>油电混合及其他新能源类型不予接受认可</w:t>
            </w:r>
            <w:r>
              <w:rPr>
                <w:rFonts w:hint="eastAsia" w:ascii="宋体" w:hAnsi="宋体" w:eastAsia="宋体"/>
                <w:color w:val="0C0C0C"/>
                <w:sz w:val="24"/>
                <w:lang w:eastAsia="zh-CN"/>
              </w:rPr>
              <w:t>，</w:t>
            </w:r>
            <w:r>
              <w:rPr>
                <w:rFonts w:hint="eastAsia" w:ascii="宋体" w:hAnsi="宋体" w:eastAsia="宋体"/>
                <w:color w:val="0C0C0C"/>
                <w:sz w:val="24"/>
                <w:szCs w:val="24"/>
              </w:rPr>
              <w:t>进口车不予接受认可。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4</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商务车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2559"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5</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中型客车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2559"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6</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大型客车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45 万元</w:t>
            </w:r>
          </w:p>
        </w:tc>
        <w:tc>
          <w:tcPr>
            <w:tcW w:w="2559"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7</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救护车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eastAsia" w:ascii="宋体" w:hAnsi="宋体" w:eastAsia="宋体"/>
                <w:sz w:val="24"/>
              </w:rPr>
              <w:t>底盘车</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2559" w:type="dxa"/>
            <w:noWrap w:val="0"/>
            <w:vAlign w:val="top"/>
            <mc:AlternateContent>
              <mc:Choice Requires="wpsCustomData">
                <wpsCustomData:diagonals>
                  <wpsCustomData:diagonal from="0" to="20000">
                    <wpsCustomData:border w:val="single" w:color="auto" w:sz="4" w:space="0"/>
                  </wpsCustomData:diagonal>
                </wpsCustomData:diagonals>
              </mc:Choice>
            </mc:AlternateContent>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outlineLvl w:val="9"/>
              <mc:AlternateContent>
                <mc:Choice Requires="wpsCustomData">
                  <wpsCustomData:diagonalParaType/>
                </mc:Choice>
              </mc:AlternateContent>
              <w:rPr>
                <w:rFonts w:hint="default" w:ascii="宋体" w:hAnsi="宋体"/>
                <w:snapToGrid/>
                <w:sz w:val="24"/>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8</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新能源轿车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插电或纯电动</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18 万元</w:t>
            </w:r>
          </w:p>
        </w:tc>
        <w:tc>
          <w:tcPr>
            <w:tcW w:w="25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bl>
    <w:p>
      <w:pPr>
        <w:spacing w:line="360" w:lineRule="auto"/>
        <w:jc w:val="left"/>
        <w:rPr>
          <w:rFonts w:hint="eastAsia" w:ascii="宋体" w:hAnsi="宋体" w:eastAsia="宋体"/>
          <w:snapToGrid/>
          <w:sz w:val="24"/>
          <w:lang w:val="en-US" w:eastAsia="zh-CN"/>
        </w:rPr>
      </w:pPr>
      <w:r>
        <w:rPr>
          <w:rFonts w:hint="eastAsia" w:ascii="宋体" w:hAnsi="宋体"/>
          <w:snapToGrid/>
          <w:sz w:val="24"/>
          <w:lang w:val="en-US" w:eastAsia="zh-CN"/>
        </w:rPr>
        <w:t>备注：招标车价不包含车辆改色及搭载设备等。</w:t>
      </w:r>
      <w:r>
        <w:rPr>
          <w:rFonts w:hint="eastAsia" w:ascii="宋体" w:hAnsi="宋体"/>
          <w:color w:val="auto"/>
          <w:sz w:val="24"/>
          <w:szCs w:val="30"/>
          <w:vertAlign w:val="baseline"/>
          <w:lang w:eastAsia="zh-CN"/>
        </w:rPr>
        <w:t>救护车总价为：</w:t>
      </w:r>
      <w:r>
        <w:rPr>
          <w:rFonts w:hint="eastAsia" w:ascii="宋体" w:hAnsi="宋体" w:eastAsia="宋体"/>
          <w:sz w:val="24"/>
        </w:rPr>
        <w:t>底盘车</w:t>
      </w:r>
      <w:r>
        <w:rPr>
          <w:rFonts w:hint="eastAsia" w:ascii="宋体" w:hAnsi="宋体" w:eastAsia="宋体"/>
          <w:sz w:val="24"/>
          <w:lang w:eastAsia="zh-CN"/>
        </w:rPr>
        <w:t>价+车载设备价。</w:t>
      </w:r>
    </w:p>
    <w:p>
      <w:pPr>
        <w:numPr>
          <w:ilvl w:val="0"/>
          <w:numId w:val="0"/>
        </w:numPr>
        <w:spacing w:line="360" w:lineRule="auto"/>
        <w:outlineLvl w:val="1"/>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3"/>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3"/>
        <w:rPr>
          <w:rFonts w:hint="eastAsia" w:ascii="宋体" w:hAnsi="宋体"/>
          <w:b/>
          <w:color w:val="auto"/>
          <w:sz w:val="24"/>
          <w:szCs w:val="24"/>
          <w:lang w:eastAsia="zh-CN"/>
        </w:rPr>
      </w:pPr>
    </w:p>
    <w:p>
      <w:pPr>
        <w:pStyle w:val="3"/>
        <w:rPr>
          <w:rFonts w:hint="eastAsia" w:ascii="宋体" w:hAnsi="宋体"/>
          <w:b/>
          <w:color w:val="auto"/>
          <w:sz w:val="24"/>
          <w:szCs w:val="24"/>
          <w:lang w:eastAsia="zh-CN"/>
        </w:rPr>
      </w:pPr>
    </w:p>
    <w:p>
      <w:pPr>
        <w:numPr>
          <w:ilvl w:val="0"/>
          <w:numId w:val="0"/>
        </w:numPr>
        <w:spacing w:line="360" w:lineRule="auto"/>
        <w:outlineLvl w:val="1"/>
        <w:rPr>
          <w:rFonts w:hint="eastAsia" w:ascii="宋体" w:hAnsi="宋体"/>
          <w:b/>
          <w:color w:val="auto"/>
          <w:sz w:val="24"/>
          <w:szCs w:val="24"/>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numPr>
          <w:ilvl w:val="0"/>
          <w:numId w:val="0"/>
        </w:numPr>
        <w:spacing w:line="360" w:lineRule="auto"/>
        <w:jc w:val="center"/>
        <w:outlineLvl w:val="1"/>
        <w:rPr>
          <w:rFonts w:hint="eastAsia" w:ascii="宋体" w:hAnsi="宋体" w:eastAsia="宋体"/>
          <w:b/>
          <w:color w:val="auto"/>
          <w:sz w:val="44"/>
          <w:szCs w:val="44"/>
          <w:lang w:eastAsia="zh-CN"/>
        </w:rPr>
      </w:pPr>
      <w:bookmarkStart w:id="178" w:name="_Toc27961"/>
      <w:bookmarkStart w:id="179" w:name="_Toc10526"/>
      <w:r>
        <w:rPr>
          <w:rFonts w:hint="eastAsia" w:ascii="宋体" w:hAnsi="宋体"/>
          <w:b/>
          <w:color w:val="auto"/>
          <w:sz w:val="44"/>
          <w:szCs w:val="44"/>
          <w:lang w:eastAsia="zh-CN"/>
        </w:rPr>
        <w:t>技术要求</w:t>
      </w:r>
      <w:bookmarkEnd w:id="178"/>
      <w:bookmarkEnd w:id="179"/>
    </w:p>
    <w:p>
      <w:pPr>
        <w:pStyle w:val="3"/>
        <w:rPr>
          <w:rFonts w:hint="eastAsia"/>
        </w:rPr>
      </w:pPr>
      <w:r>
        <w:rPr>
          <w:rFonts w:hint="eastAsia"/>
          <w:lang w:val="en-US" w:eastAsia="zh-CN"/>
        </w:rPr>
        <w:t>第五包</w:t>
      </w:r>
      <w:r>
        <w:rPr>
          <w:rFonts w:hint="eastAsia"/>
        </w:rPr>
        <w:t>：</w:t>
      </w:r>
    </w:p>
    <w:p>
      <w:pPr>
        <w:pStyle w:val="3"/>
        <w:rPr>
          <w:rFonts w:hint="default" w:eastAsia="宋体"/>
          <w:lang w:val="en-US" w:eastAsia="zh-CN"/>
        </w:rPr>
      </w:pPr>
      <w:r>
        <w:rPr>
          <w:rFonts w:hint="eastAsia"/>
        </w:rPr>
        <w:t>小型客车：</w:t>
      </w:r>
      <w:r>
        <w:rPr>
          <w:rFonts w:hint="eastAsia"/>
          <w:lang w:eastAsia="zh-CN"/>
        </w:rPr>
        <w:t>中型客车</w:t>
      </w:r>
      <w:r>
        <w:rPr>
          <w:rFonts w:hint="eastAsia"/>
          <w:lang w:val="en-US" w:eastAsia="zh-CN"/>
        </w:rPr>
        <w:t xml:space="preserve">                              最高限价：25万元</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4"/>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jc w:val="center"/>
              <w:rPr>
                <w:rFonts w:hint="eastAsia" w:ascii="方正黑体_GBK" w:hAnsi="方正黑体_GBK" w:eastAsia="方正黑体_GBK" w:cs="方正黑体_GBK"/>
                <w:snapToGrid/>
                <w:sz w:val="32"/>
                <w:szCs w:val="32"/>
                <w:vertAlign w:val="baseline"/>
              </w:rPr>
            </w:pPr>
            <w:r>
              <w:rPr>
                <w:rFonts w:hint="eastAsia" w:ascii="方正黑体_GBK" w:hAnsi="方正黑体_GBK" w:eastAsia="方正黑体_GBK" w:cs="方正黑体_GBK"/>
                <w:snapToGrid/>
                <w:sz w:val="32"/>
                <w:szCs w:val="32"/>
                <w:vertAlign w:val="baseline"/>
              </w:rPr>
              <w:t>主要技术性能参数</w:t>
            </w:r>
          </w:p>
        </w:tc>
        <w:tc>
          <w:tcPr>
            <w:tcW w:w="5805" w:type="dxa"/>
          </w:tcPr>
          <w:p>
            <w:pPr>
              <w:spacing w:line="360" w:lineRule="exact"/>
              <w:jc w:val="center"/>
              <w:rPr>
                <w:rFonts w:hint="eastAsia" w:ascii="方正黑体_GBK" w:hAnsi="方正黑体_GBK" w:eastAsia="方正黑体_GBK" w:cs="方正黑体_GBK"/>
                <w:snapToGrid/>
                <w:sz w:val="32"/>
                <w:szCs w:val="32"/>
                <w:vertAlign w:val="baseline"/>
              </w:rPr>
            </w:pPr>
            <w:r>
              <w:rPr>
                <w:rFonts w:hint="eastAsia" w:ascii="方正黑体_GBK" w:hAnsi="方正黑体_GBK" w:eastAsia="方正黑体_GBK" w:cs="方正黑体_GBK"/>
                <w:snapToGrid/>
                <w:sz w:val="32"/>
                <w:szCs w:val="32"/>
                <w:vertAlign w:val="baseline"/>
              </w:rPr>
              <w:t>采购规格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 xml:space="preserve">车辆型号/结构 </w:t>
            </w:r>
          </w:p>
        </w:tc>
        <w:tc>
          <w:tcPr>
            <w:tcW w:w="5805" w:type="dxa"/>
          </w:tcPr>
          <w:p>
            <w:pPr>
              <w:spacing w:line="360" w:lineRule="exact"/>
              <w:rPr>
                <w:rFonts w:hint="eastAsia" w:asciiTheme="minorEastAsia" w:hAnsiTheme="minorEastAsia" w:eastAsiaTheme="minorEastAsia" w:cstheme="minorEastAsia"/>
                <w:snapToGrid/>
                <w:sz w:val="24"/>
                <w:vertAlign w:val="baseline"/>
                <w:lang w:eastAsia="zh-CN"/>
              </w:rPr>
            </w:pPr>
            <w:r>
              <w:rPr>
                <w:rFonts w:hint="eastAsia"/>
                <w:lang w:eastAsia="zh-CN"/>
              </w:rPr>
              <w:t>中型客车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lang w:val="en-US" w:eastAsia="zh-CN"/>
              </w:rPr>
            </w:pPr>
            <w:r>
              <w:rPr>
                <w:rFonts w:hint="eastAsia" w:asciiTheme="minorEastAsia" w:hAnsiTheme="minorEastAsia" w:eastAsiaTheme="minorEastAsia" w:cstheme="minorEastAsia"/>
                <w:snapToGrid/>
                <w:sz w:val="24"/>
                <w:vertAlign w:val="baseline"/>
                <w:lang w:val="en-US" w:eastAsia="zh-CN"/>
              </w:rPr>
              <w:t>排放标准</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发动机排量(L)</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lang w:val="en-US" w:eastAsia="zh-CN"/>
              </w:rPr>
              <w:t>3.0</w:t>
            </w:r>
            <w:r>
              <w:rPr>
                <w:rFonts w:hint="eastAsia" w:asciiTheme="minorEastAsia" w:hAnsiTheme="minorEastAsia" w:eastAsiaTheme="minorEastAsia" w:cstheme="minorEastAsia"/>
                <w:snapToGrid/>
                <w:sz w:val="24"/>
                <w:vertAlign w:val="baseline"/>
              </w:rPr>
              <w:t>L（含）以下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燃料形式</w:t>
            </w:r>
          </w:p>
        </w:tc>
        <w:tc>
          <w:tcPr>
            <w:tcW w:w="5805" w:type="dxa"/>
          </w:tcPr>
          <w:p>
            <w:pPr>
              <w:spacing w:line="360" w:lineRule="exact"/>
              <w:rPr>
                <w:rFonts w:hint="eastAsia" w:asciiTheme="minorEastAsia" w:hAnsiTheme="minorEastAsia" w:eastAsiaTheme="minorEastAsia" w:cstheme="minorEastAsia"/>
                <w:snapToGrid/>
                <w:sz w:val="24"/>
                <w:vertAlign w:val="baseline"/>
                <w:lang w:eastAsia="zh-CN"/>
              </w:rPr>
            </w:pPr>
            <w:r>
              <w:rPr>
                <w:rFonts w:hint="eastAsia" w:asciiTheme="minorEastAsia" w:hAnsiTheme="minorEastAsia" w:eastAsiaTheme="minorEastAsia" w:cstheme="minorEastAsia"/>
                <w:snapToGrid/>
                <w:sz w:val="24"/>
                <w:vertAlign w:val="baseline"/>
              </w:rPr>
              <w:t>汽油</w:t>
            </w:r>
            <w:r>
              <w:rPr>
                <w:rFonts w:hint="eastAsia" w:asciiTheme="minorEastAsia" w:hAnsiTheme="minorEastAsia" w:eastAsiaTheme="minorEastAsia" w:cstheme="minorEastAsia"/>
                <w:snapToGrid/>
                <w:sz w:val="24"/>
                <w:vertAlign w:val="baseline"/>
                <w:lang w:eastAsia="zh-CN"/>
              </w:rPr>
              <w:t>或柴油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变速箱类型</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WLTC 综合油耗（L/100km）</w:t>
            </w:r>
          </w:p>
        </w:tc>
        <w:tc>
          <w:tcPr>
            <w:tcW w:w="5805" w:type="dxa"/>
          </w:tcPr>
          <w:p>
            <w:pPr>
              <w:spacing w:line="360" w:lineRule="exact"/>
              <w:rPr>
                <w:rFonts w:hint="default" w:asciiTheme="minorEastAsia" w:hAnsiTheme="minorEastAsia" w:eastAsiaTheme="minorEastAsia" w:cstheme="minorEastAsia"/>
                <w:snapToGrid/>
                <w:sz w:val="24"/>
                <w:vertAlign w:val="baseline"/>
                <w:lang w:val="en-US" w:eastAsia="zh-CN"/>
              </w:rPr>
            </w:pPr>
            <w:r>
              <w:rPr>
                <w:rFonts w:hint="eastAsia" w:asciiTheme="minorEastAsia" w:hAnsiTheme="minorEastAsia" w:eastAsiaTheme="minorEastAsia" w:cstheme="minorEastAsia"/>
                <w:snapToGrid/>
                <w:sz w:val="24"/>
                <w:vertAlign w:val="baseline"/>
              </w:rPr>
              <w:t>≤</w:t>
            </w:r>
            <w:r>
              <w:rPr>
                <w:rFonts w:hint="eastAsia" w:asciiTheme="minorEastAsia" w:hAnsiTheme="minorEastAsia" w:eastAsiaTheme="minorEastAsia" w:cstheme="minorEastAsia"/>
                <w:snapToGrid/>
                <w:sz w:val="24"/>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车身长度(mm)</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≥4800mm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车身宽度（mm)</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≥1900mm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车身高度（mm)</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≥2000mm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轴距(mm)</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≥3100mm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座位数</w:t>
            </w:r>
          </w:p>
        </w:tc>
        <w:tc>
          <w:tcPr>
            <w:tcW w:w="5805" w:type="dxa"/>
          </w:tcPr>
          <w:p>
            <w:pPr>
              <w:spacing w:line="360" w:lineRule="exact"/>
              <w:rPr>
                <w:rFonts w:hint="eastAsia" w:asciiTheme="minorEastAsia" w:hAnsiTheme="minorEastAsia" w:eastAsiaTheme="minorEastAsia" w:cstheme="minorEastAsia"/>
                <w:snapToGrid/>
                <w:sz w:val="24"/>
                <w:vertAlign w:val="baseline"/>
                <w:lang w:eastAsia="zh-CN"/>
              </w:rPr>
            </w:pPr>
            <w:r>
              <w:rPr>
                <w:rFonts w:hint="eastAsia" w:asciiTheme="minorEastAsia" w:hAnsiTheme="minorEastAsia" w:eastAsiaTheme="minorEastAsia" w:cstheme="minorEastAsia"/>
                <w:snapToGrid/>
                <w:sz w:val="24"/>
                <w:vertAlign w:val="baseline"/>
                <w:lang w:val="en-US" w:eastAsia="zh-CN"/>
              </w:rPr>
              <w:t>9</w:t>
            </w:r>
            <w:r>
              <w:rPr>
                <w:rFonts w:hint="eastAsia" w:asciiTheme="minorEastAsia" w:hAnsiTheme="minorEastAsia" w:eastAsiaTheme="minorEastAsia" w:cstheme="minorEastAsia"/>
                <w:snapToGrid/>
                <w:sz w:val="24"/>
                <w:vertAlign w:val="baseline"/>
              </w:rPr>
              <w:t>座</w:t>
            </w:r>
            <w:r>
              <w:rPr>
                <w:rFonts w:hint="eastAsia" w:asciiTheme="minorEastAsia" w:hAnsiTheme="minorEastAsia" w:eastAsiaTheme="minorEastAsia" w:cstheme="minorEastAsia"/>
                <w:snapToGrid/>
                <w:sz w:val="24"/>
                <w:vertAlign w:val="baseline"/>
                <w:lang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发动机最大功率（kW）</w:t>
            </w:r>
          </w:p>
        </w:tc>
        <w:tc>
          <w:tcPr>
            <w:tcW w:w="5805" w:type="dxa"/>
          </w:tcPr>
          <w:p>
            <w:pPr>
              <w:spacing w:line="360" w:lineRule="exact"/>
              <w:rPr>
                <w:rFonts w:hint="default" w:asciiTheme="minorEastAsia" w:hAnsiTheme="minorEastAsia" w:eastAsiaTheme="minorEastAsia" w:cstheme="minorEastAsia"/>
                <w:snapToGrid/>
                <w:sz w:val="24"/>
                <w:vertAlign w:val="baseline"/>
                <w:lang w:val="en-US" w:eastAsia="zh-CN"/>
              </w:rPr>
            </w:pPr>
            <w:r>
              <w:rPr>
                <w:rFonts w:hint="eastAsia" w:asciiTheme="minorEastAsia" w:hAnsiTheme="minorEastAsia" w:eastAsiaTheme="minorEastAsia" w:cstheme="minorEastAsia"/>
                <w:snapToGrid/>
                <w:sz w:val="24"/>
                <w:vertAlign w:val="baseline"/>
              </w:rPr>
              <w:t>≥1</w:t>
            </w:r>
            <w:r>
              <w:rPr>
                <w:rFonts w:hint="eastAsia" w:asciiTheme="minorEastAsia" w:hAnsiTheme="minorEastAsia" w:eastAsiaTheme="minorEastAsia" w:cstheme="minorEastAsia"/>
                <w:snapToGrid/>
                <w:sz w:val="24"/>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发动机最大扭矩（N·m））</w:t>
            </w:r>
          </w:p>
        </w:tc>
        <w:tc>
          <w:tcPr>
            <w:tcW w:w="5805" w:type="dxa"/>
          </w:tcPr>
          <w:p>
            <w:pPr>
              <w:spacing w:line="360" w:lineRule="exact"/>
              <w:rPr>
                <w:rFonts w:hint="default" w:asciiTheme="minorEastAsia" w:hAnsiTheme="minorEastAsia" w:eastAsiaTheme="minorEastAsia" w:cstheme="minorEastAsia"/>
                <w:snapToGrid/>
                <w:sz w:val="24"/>
                <w:vertAlign w:val="baseline"/>
                <w:lang w:val="en-US" w:eastAsia="zh-CN"/>
              </w:rPr>
            </w:pPr>
            <w:r>
              <w:rPr>
                <w:rFonts w:hint="eastAsia" w:asciiTheme="minorEastAsia" w:hAnsiTheme="minorEastAsia" w:eastAsiaTheme="minorEastAsia" w:cstheme="minorEastAsia"/>
                <w:snapToGrid/>
                <w:sz w:val="24"/>
                <w:vertAlign w:val="baseline"/>
              </w:rPr>
              <w:t>≥</w:t>
            </w:r>
            <w:r>
              <w:rPr>
                <w:rFonts w:hint="eastAsia" w:asciiTheme="minorEastAsia" w:hAnsiTheme="minorEastAsia" w:eastAsiaTheme="minorEastAsia" w:cstheme="minorEastAsia"/>
                <w:snapToGrid/>
                <w:sz w:val="24"/>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主/被动安全配置</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前排正面安全气囊，ABS 防抱死，制动力分配(EBD/CBC等)，刹车辅助(EBA/BAS/BA 等)，牵引力控制(ASR/TCS/TRC 等)；车身稳定控制(ESP/DSC/ESC等)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spacing w:line="360" w:lineRule="exact"/>
              <w:rPr>
                <w:rFonts w:hint="eastAsia" w:asciiTheme="minorEastAsia" w:hAnsiTheme="minorEastAsia" w:eastAsiaTheme="minorEastAsia" w:cstheme="minorEastAsia"/>
                <w:snapToGrid/>
                <w:sz w:val="24"/>
                <w:vertAlign w:val="baseline"/>
                <w:lang w:eastAsia="zh-CN"/>
              </w:rPr>
            </w:pPr>
            <w:r>
              <w:rPr>
                <w:rFonts w:hint="eastAsia" w:asciiTheme="minorEastAsia" w:hAnsiTheme="minorEastAsia" w:eastAsiaTheme="minorEastAsia" w:cstheme="minorEastAsia"/>
                <w:snapToGrid/>
                <w:sz w:val="24"/>
                <w:vertAlign w:val="baseline"/>
                <w:lang w:eastAsia="zh-CN"/>
              </w:rPr>
              <w:t>整车质保</w:t>
            </w:r>
          </w:p>
        </w:tc>
        <w:tc>
          <w:tcPr>
            <w:tcW w:w="5805" w:type="dxa"/>
          </w:tcPr>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车辆验收合格后≥</w:t>
            </w:r>
            <w:r>
              <w:rPr>
                <w:rFonts w:hint="eastAsia" w:asciiTheme="minorEastAsia" w:hAnsiTheme="minorEastAsia" w:eastAsiaTheme="minorEastAsia" w:cstheme="minorEastAsia"/>
                <w:snapToGrid/>
                <w:sz w:val="24"/>
                <w:vertAlign w:val="baseline"/>
                <w:lang w:val="en-US" w:eastAsia="zh-CN"/>
              </w:rPr>
              <w:t>3</w:t>
            </w:r>
            <w:r>
              <w:rPr>
                <w:rFonts w:hint="eastAsia" w:asciiTheme="minorEastAsia" w:hAnsiTheme="minorEastAsia" w:eastAsiaTheme="minorEastAsia" w:cstheme="minorEastAsia"/>
                <w:snapToGrid/>
                <w:sz w:val="24"/>
                <w:vertAlign w:val="baseline"/>
              </w:rPr>
              <w:t>年或行驶公里数≥</w:t>
            </w:r>
            <w:r>
              <w:rPr>
                <w:rFonts w:hint="eastAsia" w:asciiTheme="minorEastAsia" w:hAnsiTheme="minorEastAsia" w:eastAsiaTheme="minorEastAsia" w:cstheme="minorEastAsia"/>
                <w:snapToGrid/>
                <w:sz w:val="24"/>
                <w:vertAlign w:val="baseline"/>
                <w:lang w:val="en-US" w:eastAsia="zh-CN"/>
              </w:rPr>
              <w:t>6</w:t>
            </w:r>
            <w:r>
              <w:rPr>
                <w:rFonts w:hint="eastAsia" w:asciiTheme="minorEastAsia" w:hAnsiTheme="minorEastAsia" w:eastAsiaTheme="minorEastAsia" w:cstheme="minorEastAsia"/>
                <w:snapToGrid/>
                <w:sz w:val="24"/>
                <w:vertAlign w:val="baseline"/>
              </w:rPr>
              <w:t>万公</w:t>
            </w:r>
          </w:p>
          <w:p>
            <w:pPr>
              <w:spacing w:line="360" w:lineRule="exact"/>
              <w:rPr>
                <w:rFonts w:hint="eastAsia" w:asciiTheme="minorEastAsia" w:hAnsiTheme="minorEastAsia" w:eastAsiaTheme="minorEastAsia" w:cstheme="minorEastAsia"/>
                <w:snapToGrid/>
                <w:sz w:val="24"/>
                <w:vertAlign w:val="baseline"/>
              </w:rPr>
            </w:pPr>
            <w:r>
              <w:rPr>
                <w:rFonts w:hint="eastAsia" w:asciiTheme="minorEastAsia" w:hAnsiTheme="minorEastAsia" w:eastAsiaTheme="minorEastAsia" w:cstheme="minorEastAsia"/>
                <w:snapToGrid/>
                <w:sz w:val="24"/>
                <w:vertAlign w:val="baseline"/>
              </w:rPr>
              <w:t>里（先到为准），首保免费</w:t>
            </w:r>
          </w:p>
        </w:tc>
      </w:tr>
    </w:tbl>
    <w:p>
      <w:pPr>
        <w:pStyle w:val="3"/>
        <w:rPr>
          <w:rFonts w:hint="eastAsia"/>
        </w:rPr>
      </w:pPr>
    </w:p>
    <w:p>
      <w:pPr>
        <w:spacing w:line="360" w:lineRule="exact"/>
        <w:ind w:firstLine="480" w:firstLineChars="200"/>
        <w:rPr>
          <w:rFonts w:hint="default" w:ascii="宋体" w:hAnsi="宋体"/>
          <w:snapToGrid/>
          <w:sz w:val="24"/>
        </w:rPr>
      </w:pPr>
    </w:p>
    <w:p>
      <w:pPr>
        <w:spacing w:line="360" w:lineRule="exact"/>
        <w:ind w:firstLine="480" w:firstLineChars="200"/>
        <w:rPr>
          <w:rFonts w:hint="default" w:ascii="宋体" w:hAnsi="宋体"/>
          <w:snapToGrid/>
          <w:sz w:val="24"/>
        </w:rPr>
      </w:pPr>
      <w:r>
        <w:rPr>
          <w:rFonts w:hint="default" w:ascii="宋体" w:hAnsi="宋体"/>
          <w:snapToGrid/>
          <w:sz w:val="24"/>
        </w:rPr>
        <w:t xml:space="preserve">投标人需提供：上述投标车辆在工信部车辆公告证明文件（公告批次文件及公告文件 中投标车辆所在位置）复印件； </w:t>
      </w:r>
    </w:p>
    <w:p>
      <w:pPr>
        <w:spacing w:line="360" w:lineRule="exact"/>
        <w:ind w:firstLine="480" w:firstLineChars="200"/>
        <w:rPr>
          <w:rFonts w:hint="eastAsia" w:ascii="宋体" w:hAnsi="宋体" w:cs="宋体"/>
          <w:color w:val="auto"/>
          <w:sz w:val="24"/>
        </w:rPr>
      </w:pP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bCs/>
          <w:color w:val="auto"/>
          <w:sz w:val="44"/>
          <w:szCs w:val="44"/>
          <w:shd w:val="clear" w:color="auto" w:fill="auto"/>
          <w:lang w:val="en-US" w:eastAsia="zh-CN"/>
        </w:rPr>
      </w:pPr>
      <w:bookmarkStart w:id="180" w:name="_Toc26055"/>
      <w:r>
        <w:rPr>
          <w:rFonts w:hint="eastAsia" w:asciiTheme="minorEastAsia" w:hAnsiTheme="minorEastAsia" w:eastAsiaTheme="minorEastAsia" w:cstheme="minorEastAsia"/>
          <w:b/>
          <w:bCs/>
          <w:color w:val="auto"/>
          <w:sz w:val="44"/>
          <w:szCs w:val="44"/>
          <w:shd w:val="clear" w:color="auto" w:fill="auto"/>
        </w:rPr>
        <w:t>第</w:t>
      </w:r>
      <w:r>
        <w:rPr>
          <w:rFonts w:hint="eastAsia" w:asciiTheme="minorEastAsia" w:hAnsiTheme="minorEastAsia" w:eastAsiaTheme="minorEastAsia" w:cstheme="minorEastAsia"/>
          <w:b/>
          <w:bCs/>
          <w:color w:val="auto"/>
          <w:sz w:val="44"/>
          <w:szCs w:val="44"/>
          <w:shd w:val="clear" w:color="auto" w:fill="auto"/>
          <w:lang w:val="en-US" w:eastAsia="zh-CN"/>
        </w:rPr>
        <w:t>五</w:t>
      </w:r>
      <w:r>
        <w:rPr>
          <w:rFonts w:hint="eastAsia" w:asciiTheme="minorEastAsia" w:hAnsiTheme="minorEastAsia" w:eastAsiaTheme="minorEastAsia" w:cstheme="minorEastAsia"/>
          <w:b/>
          <w:bCs/>
          <w:color w:val="auto"/>
          <w:sz w:val="44"/>
          <w:szCs w:val="44"/>
          <w:shd w:val="clear" w:color="auto" w:fill="auto"/>
        </w:rPr>
        <w:t>部分</w:t>
      </w:r>
      <w:r>
        <w:rPr>
          <w:rFonts w:hint="eastAsia" w:asciiTheme="minorEastAsia" w:hAnsiTheme="minorEastAsia" w:eastAsiaTheme="minorEastAsia" w:cstheme="minorEastAsia"/>
          <w:b/>
          <w:bCs/>
          <w:color w:val="auto"/>
          <w:sz w:val="44"/>
          <w:szCs w:val="44"/>
          <w:shd w:val="clear" w:color="auto" w:fill="auto"/>
          <w:lang w:val="en-US" w:eastAsia="zh-CN"/>
        </w:rPr>
        <w:t xml:space="preserve"> </w:t>
      </w:r>
      <w:bookmarkEnd w:id="136"/>
      <w:bookmarkEnd w:id="139"/>
      <w:r>
        <w:rPr>
          <w:rFonts w:hint="eastAsia" w:asciiTheme="minorEastAsia" w:hAnsiTheme="minorEastAsia" w:eastAsiaTheme="minorEastAsia" w:cstheme="minorEastAsia"/>
          <w:b/>
          <w:bCs/>
          <w:color w:val="auto"/>
          <w:sz w:val="44"/>
          <w:szCs w:val="44"/>
          <w:shd w:val="clear" w:color="auto" w:fill="auto"/>
          <w:lang w:val="en-US" w:eastAsia="zh-CN"/>
        </w:rPr>
        <w:t>评标办法及废标条款</w:t>
      </w:r>
      <w:bookmarkEnd w:id="180"/>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outlineLvl w:val="1"/>
        <w:rPr>
          <w:rFonts w:hint="eastAsia" w:asciiTheme="minorEastAsia" w:hAnsiTheme="minorEastAsia" w:eastAsiaTheme="minorEastAsia" w:cstheme="minorEastAsia"/>
          <w:b w:val="0"/>
          <w:bCs/>
          <w:color w:val="auto"/>
          <w:sz w:val="24"/>
          <w:szCs w:val="24"/>
        </w:rPr>
      </w:pPr>
      <w:bookmarkStart w:id="181" w:name="_Toc21522"/>
      <w:bookmarkStart w:id="182" w:name="_Toc5573"/>
      <w:bookmarkStart w:id="183" w:name="_Toc3582"/>
      <w:bookmarkStart w:id="184" w:name="_Toc23722"/>
      <w:bookmarkStart w:id="185" w:name="_Toc9116"/>
      <w:r>
        <w:rPr>
          <w:rFonts w:hint="eastAsia" w:asciiTheme="minorEastAsia" w:hAnsiTheme="minorEastAsia" w:eastAsiaTheme="minorEastAsia" w:cstheme="minorEastAsia"/>
          <w:b w:val="0"/>
          <w:bCs/>
          <w:color w:val="auto"/>
          <w:sz w:val="24"/>
          <w:szCs w:val="24"/>
          <w:lang w:val="en-US" w:eastAsia="zh-CN"/>
        </w:rPr>
        <w:t>一、</w:t>
      </w:r>
      <w:bookmarkStart w:id="186" w:name="_Toc20763"/>
      <w:r>
        <w:rPr>
          <w:rFonts w:hint="eastAsia" w:asciiTheme="minorEastAsia" w:hAnsiTheme="minorEastAsia" w:eastAsiaTheme="minorEastAsia" w:cstheme="minorEastAsia"/>
          <w:b w:val="0"/>
          <w:bCs/>
          <w:color w:val="auto"/>
          <w:sz w:val="24"/>
          <w:szCs w:val="24"/>
        </w:rPr>
        <w:t>总则</w:t>
      </w:r>
      <w:bookmarkEnd w:id="181"/>
      <w:bookmarkEnd w:id="182"/>
      <w:bookmarkEnd w:id="186"/>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根据《中华人民共和国政府采购法》、《中华人民共和国政府采购法实施条例》、《政府采购货物和服务</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投标管理办法》等法律制度，结合采购项目特点制定本评标办法。</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评标工作由</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负责组织，具体评标事务由</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依法组建的评标委员会负责。评标委员会由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代表和有关技术、经济、法律等方面的专家组成。</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评标工作应遵循公平、公正、科学及择优的原则，并以相同的评标程序和标准对待所有的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评标委员会按照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规定的评标方法和标准进行评标，并独立履行下列职责：</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熟悉和理解</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审查供应商</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等是否满足</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要求，并作出评价；</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根据需要要求</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采购单位对</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作出解释；根据需要要求供应商对</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有关事项作出澄清、说明或者更正；</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确定的中标候选人名单顺序；</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起草评标报告并进行签署；</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采购单位、财政部门或者其他监督部门报告非法干预评标工作的行为；</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法律、法规和规章规定的其他职责。</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评标过程独立、保密。</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非法干预评标过程的行为将导致其</w:t>
      </w:r>
      <w:r>
        <w:rPr>
          <w:rFonts w:hint="eastAsia" w:asciiTheme="minorEastAsia" w:hAnsiTheme="minorEastAsia" w:eastAsiaTheme="minorEastAsia" w:cstheme="minorEastAsia"/>
          <w:b w:val="0"/>
          <w:bCs w:val="0"/>
          <w:color w:val="auto"/>
          <w:sz w:val="24"/>
          <w:szCs w:val="24"/>
          <w:lang w:eastAsia="zh-CN"/>
        </w:rPr>
        <w:t>征集响应文件</w:t>
      </w:r>
      <w:r>
        <w:rPr>
          <w:rFonts w:hint="eastAsia" w:asciiTheme="minorEastAsia" w:hAnsiTheme="minorEastAsia" w:eastAsiaTheme="minorEastAsia" w:cstheme="minorEastAsia"/>
          <w:b w:val="0"/>
          <w:bCs w:val="0"/>
          <w:color w:val="auto"/>
          <w:sz w:val="24"/>
          <w:szCs w:val="24"/>
        </w:rPr>
        <w:t>作为无效处理。</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评标委员会评价</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的响应性，对于</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而言，除评标委员会要求其澄清、说明或者更正而提供的资料外，仅依据</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本身的内容，不寻求其他外部证据。</w:t>
      </w:r>
    </w:p>
    <w:p>
      <w:pPr>
        <w:keepNext w:val="0"/>
        <w:keepLines w:val="0"/>
        <w:pageBreakBefore w:val="0"/>
        <w:widowControl w:val="0"/>
        <w:kinsoku/>
        <w:wordWrap/>
        <w:overflowPunct/>
        <w:topLinePunct w:val="0"/>
        <w:autoSpaceDE/>
        <w:autoSpaceDN/>
        <w:bidi w:val="0"/>
        <w:adjustRightInd/>
        <w:snapToGrid w:val="0"/>
        <w:spacing w:line="420" w:lineRule="exact"/>
        <w:ind w:left="0" w:leftChars="0" w:firstLine="480" w:firstLineChars="200"/>
        <w:jc w:val="left"/>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（七）</w:t>
      </w:r>
      <w:r>
        <w:rPr>
          <w:rFonts w:hint="eastAsia" w:asciiTheme="minorEastAsia" w:hAnsiTheme="minorEastAsia" w:eastAsiaTheme="minorEastAsia" w:cstheme="minorEastAsia"/>
          <w:b w:val="0"/>
          <w:bCs/>
          <w:color w:val="auto"/>
          <w:sz w:val="24"/>
          <w:szCs w:val="24"/>
        </w:rPr>
        <w:t>评标专家在政府采购活动中应当遵守以下工作纪律</w:t>
      </w:r>
      <w:r>
        <w:rPr>
          <w:rFonts w:hint="eastAsia" w:asciiTheme="minorEastAsia" w:hAnsiTheme="minorEastAsia" w:eastAsiaTheme="minorEastAsia" w:cstheme="minorEastAsia"/>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遵行《政府采购法》第十二条和《政府采购法实施条例》第九条及财政部关于回避的规定。</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2.评标前，应当将通讯工具或者相关电子设备交由</w:t>
      </w:r>
      <w:r>
        <w:rPr>
          <w:rFonts w:hint="eastAsia" w:asciiTheme="minorEastAsia" w:hAnsiTheme="minorEastAsia" w:eastAsiaTheme="minorEastAsia" w:cstheme="minorEastAsia"/>
          <w:b w:val="0"/>
          <w:bCs w:val="0"/>
          <w:color w:val="auto"/>
          <w:sz w:val="24"/>
          <w:szCs w:val="24"/>
          <w:lang w:eastAsia="zh-CN"/>
        </w:rPr>
        <w:t>框架协议</w:t>
      </w:r>
      <w:r>
        <w:rPr>
          <w:rFonts w:hint="eastAsia" w:asciiTheme="minorEastAsia" w:hAnsiTheme="minorEastAsia" w:eastAsiaTheme="minorEastAsia" w:cstheme="minorEastAsia"/>
          <w:b w:val="0"/>
          <w:bCs w:val="0"/>
          <w:color w:val="auto"/>
          <w:sz w:val="24"/>
          <w:szCs w:val="24"/>
        </w:rPr>
        <w:t>采购单位统一保管。</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评标过程中，不得与外界联系，因发生不可预见情况，确实需要与外界联系的，应当在监督人员监督之下办理。</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评标过程中，不得干预或者影响正常评标工作，不得发表倾向性、引导性意见，不得修改或细化</w:t>
      </w:r>
      <w:r>
        <w:rPr>
          <w:rFonts w:hint="eastAsia" w:asciiTheme="minorEastAsia" w:hAnsiTheme="minorEastAsia" w:eastAsiaTheme="minorEastAsia" w:cstheme="minorEastAsia"/>
          <w:b w:val="0"/>
          <w:bCs w:val="0"/>
          <w:color w:val="auto"/>
          <w:sz w:val="24"/>
          <w:szCs w:val="24"/>
          <w:lang w:eastAsia="zh-CN"/>
        </w:rPr>
        <w:t>征集文件</w:t>
      </w:r>
      <w:r>
        <w:rPr>
          <w:rFonts w:hint="eastAsia" w:asciiTheme="minorEastAsia" w:hAnsiTheme="minorEastAsia" w:eastAsiaTheme="minorEastAsia" w:cstheme="minorEastAsia"/>
          <w:b w:val="0"/>
          <w:bCs w:val="0"/>
          <w:color w:val="auto"/>
          <w:sz w:val="24"/>
          <w:szCs w:val="24"/>
        </w:rPr>
        <w:t>确定的评标程序、评标方法、评标因素和评标标准，不得接受供应商主动提出的澄清和解释，不得征询</w:t>
      </w:r>
      <w:r>
        <w:rPr>
          <w:rFonts w:hint="eastAsia" w:asciiTheme="minorEastAsia" w:hAnsiTheme="minorEastAsia" w:eastAsiaTheme="minorEastAsia" w:cstheme="minorEastAsia"/>
          <w:b w:val="0"/>
          <w:bCs w:val="0"/>
          <w:color w:val="auto"/>
          <w:sz w:val="24"/>
          <w:szCs w:val="24"/>
          <w:lang w:eastAsia="zh-CN"/>
        </w:rPr>
        <w:t>征集人</w:t>
      </w:r>
      <w:r>
        <w:rPr>
          <w:rFonts w:hint="eastAsia" w:asciiTheme="minorEastAsia" w:hAnsiTheme="minorEastAsia" w:eastAsiaTheme="minorEastAsia" w:cstheme="minorEastAsia"/>
          <w:b w:val="0"/>
          <w:bCs w:val="0"/>
          <w:color w:val="auto"/>
          <w:sz w:val="24"/>
          <w:szCs w:val="24"/>
        </w:rPr>
        <w:t>代表的意见，不得协商评分，不得违反规定的评标格式评分和撰写评标意见，不得拒绝对自己的评标意见签字确认。</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在评标过程中和评标结束后，不得记录、复制或带走任何评标资料，除因规定的义务外，不得向外界透露评标内容。</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rPr>
        <w:t>服从评标现场</w:t>
      </w:r>
      <w:r>
        <w:rPr>
          <w:rFonts w:hint="eastAsia" w:asciiTheme="minorEastAsia" w:hAnsiTheme="minorEastAsia" w:eastAsiaTheme="minorEastAsia" w:cstheme="minorEastAsia"/>
          <w:b w:val="0"/>
          <w:bCs w:val="0"/>
          <w:color w:val="auto"/>
          <w:sz w:val="24"/>
          <w:szCs w:val="24"/>
          <w:lang w:eastAsia="zh-CN"/>
        </w:rPr>
        <w:t>框架协议</w:t>
      </w:r>
      <w:r>
        <w:rPr>
          <w:rFonts w:hint="eastAsia" w:asciiTheme="minorEastAsia" w:hAnsiTheme="minorEastAsia" w:eastAsiaTheme="minorEastAsia" w:cstheme="minorEastAsia"/>
          <w:b w:val="0"/>
          <w:bCs w:val="0"/>
          <w:color w:val="auto"/>
          <w:sz w:val="24"/>
          <w:szCs w:val="24"/>
        </w:rPr>
        <w:t>采购单位的现场秩序管理，接受评标现场监督人员的合法监督。</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7.</w:t>
      </w:r>
      <w:r>
        <w:rPr>
          <w:rFonts w:hint="eastAsia" w:asciiTheme="minorEastAsia" w:hAnsiTheme="minorEastAsia" w:eastAsiaTheme="minorEastAsia" w:cstheme="minorEastAsia"/>
          <w:b w:val="0"/>
          <w:bCs w:val="0"/>
          <w:color w:val="auto"/>
          <w:sz w:val="24"/>
          <w:szCs w:val="24"/>
        </w:rPr>
        <w:t>遵守有关廉洁自律规定，不得私下接触供应商，不得收受供应商及有关业务单位和个人的财物或好处，不得接受采购组织单位的请托。</w:t>
      </w:r>
    </w:p>
    <w:p>
      <w:pPr>
        <w:pStyle w:val="5"/>
        <w:keepNext w:val="0"/>
        <w:keepLines w:val="0"/>
        <w:pageBreakBefore w:val="0"/>
        <w:widowControl w:val="0"/>
        <w:numPr>
          <w:ilvl w:val="1"/>
          <w:numId w:val="0"/>
        </w:numPr>
        <w:kinsoku/>
        <w:wordWrap/>
        <w:overflowPunct/>
        <w:topLinePunct w:val="0"/>
        <w:autoSpaceDE/>
        <w:autoSpaceDN/>
        <w:bidi w:val="0"/>
        <w:snapToGrid/>
        <w:spacing w:before="0" w:line="420" w:lineRule="exact"/>
        <w:ind w:left="0" w:right="0" w:firstLine="480" w:firstLineChars="200"/>
        <w:jc w:val="both"/>
        <w:rPr>
          <w:rFonts w:hint="eastAsia" w:asciiTheme="minorEastAsia" w:hAnsiTheme="minorEastAsia" w:eastAsiaTheme="minorEastAsia" w:cstheme="minorEastAsia"/>
          <w:b w:val="0"/>
          <w:bCs/>
          <w:color w:val="auto"/>
          <w:sz w:val="24"/>
          <w:szCs w:val="24"/>
        </w:rPr>
      </w:pPr>
      <w:bookmarkStart w:id="187" w:name="_Toc27841"/>
      <w:bookmarkStart w:id="188" w:name="_Toc28864"/>
      <w:r>
        <w:rPr>
          <w:rFonts w:hint="eastAsia" w:asciiTheme="minorEastAsia" w:hAnsiTheme="minorEastAsia" w:eastAsiaTheme="minorEastAsia" w:cstheme="minorEastAsia"/>
          <w:b w:val="0"/>
          <w:bCs/>
          <w:color w:val="auto"/>
          <w:sz w:val="24"/>
          <w:szCs w:val="24"/>
          <w:lang w:val="en-US" w:eastAsia="zh-CN"/>
        </w:rPr>
        <w:t>二、</w:t>
      </w:r>
      <w:r>
        <w:rPr>
          <w:rFonts w:hint="eastAsia" w:asciiTheme="minorEastAsia" w:hAnsiTheme="minorEastAsia" w:eastAsiaTheme="minorEastAsia" w:cstheme="minorEastAsia"/>
          <w:b w:val="0"/>
          <w:bCs/>
          <w:color w:val="auto"/>
          <w:sz w:val="24"/>
          <w:szCs w:val="24"/>
        </w:rPr>
        <w:t>组织评标</w:t>
      </w:r>
      <w:bookmarkEnd w:id="183"/>
      <w:bookmarkEnd w:id="184"/>
      <w:bookmarkEnd w:id="185"/>
      <w:bookmarkEnd w:id="187"/>
      <w:bookmarkEnd w:id="188"/>
    </w:p>
    <w:p>
      <w:pPr>
        <w:keepNext w:val="0"/>
        <w:keepLines w:val="0"/>
        <w:pageBreakBefore w:val="0"/>
        <w:widowControl w:val="0"/>
        <w:kinsoku/>
        <w:wordWrap/>
        <w:overflowPunct/>
        <w:topLinePunct w:val="0"/>
        <w:autoSpaceDE/>
        <w:autoSpaceDN/>
        <w:bidi w:val="0"/>
        <w:adjustRightInd/>
        <w:snapToGrid/>
        <w:spacing w:before="0" w:after="0"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bookmarkStart w:id="189" w:name="_Toc22857"/>
      <w:bookmarkStart w:id="190" w:name="_Toc26582"/>
      <w:bookmarkStart w:id="191" w:name="_Toc20182"/>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评标委员会</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pacing w:val="5"/>
          <w:sz w:val="24"/>
          <w:szCs w:val="24"/>
        </w:rPr>
        <w:t>由</w:t>
      </w:r>
      <w:r>
        <w:rPr>
          <w:rFonts w:hint="eastAsia" w:asciiTheme="minorEastAsia" w:hAnsiTheme="minorEastAsia" w:eastAsiaTheme="minorEastAsia" w:cstheme="minorEastAsia"/>
          <w:bCs/>
          <w:color w:val="auto"/>
          <w:sz w:val="24"/>
          <w:szCs w:val="24"/>
          <w:lang w:val="en-US" w:eastAsia="zh-CN"/>
        </w:rPr>
        <w:t>框架协议</w:t>
      </w:r>
      <w:r>
        <w:rPr>
          <w:rFonts w:hint="eastAsia" w:asciiTheme="minorEastAsia" w:hAnsiTheme="minorEastAsia" w:eastAsiaTheme="minorEastAsia" w:cstheme="minorEastAsia"/>
          <w:color w:val="auto"/>
          <w:spacing w:val="5"/>
          <w:sz w:val="24"/>
          <w:szCs w:val="24"/>
          <w:lang w:eastAsia="zh-CN"/>
        </w:rPr>
        <w:t>征集人</w:t>
      </w:r>
      <w:r>
        <w:rPr>
          <w:rFonts w:hint="eastAsia" w:asciiTheme="minorEastAsia" w:hAnsiTheme="minorEastAsia" w:eastAsiaTheme="minorEastAsia" w:cstheme="minorEastAsia"/>
          <w:color w:val="auto"/>
          <w:spacing w:val="5"/>
          <w:sz w:val="24"/>
          <w:szCs w:val="24"/>
          <w:lang w:val="en-US" w:eastAsia="zh-CN"/>
        </w:rPr>
        <w:t>及集采机构从</w:t>
      </w:r>
      <w:r>
        <w:rPr>
          <w:rFonts w:hint="eastAsia" w:asciiTheme="minorEastAsia" w:hAnsiTheme="minorEastAsia" w:eastAsiaTheme="minorEastAsia" w:cstheme="minorEastAsia"/>
          <w:color w:val="auto"/>
          <w:sz w:val="24"/>
          <w:szCs w:val="24"/>
        </w:rPr>
        <w:t>专家库随机抽取</w:t>
      </w:r>
      <w:r>
        <w:rPr>
          <w:rFonts w:hint="eastAsia" w:asciiTheme="minorEastAsia" w:hAnsiTheme="minorEastAsia" w:eastAsiaTheme="minorEastAsia" w:cstheme="minorEastAsia"/>
          <w:color w:val="auto"/>
          <w:sz w:val="24"/>
          <w:szCs w:val="24"/>
          <w:lang w:val="en-US" w:eastAsia="zh-CN"/>
        </w:rPr>
        <w:t>专家与征集人代表</w:t>
      </w:r>
      <w:r>
        <w:rPr>
          <w:rFonts w:hint="eastAsia" w:asciiTheme="minorEastAsia" w:hAnsiTheme="minorEastAsia" w:eastAsiaTheme="minorEastAsia" w:cstheme="minorEastAsia"/>
          <w:color w:val="auto"/>
          <w:spacing w:val="5"/>
          <w:sz w:val="24"/>
          <w:szCs w:val="24"/>
        </w:rPr>
        <w:t>依法组建（以下简称评委会）</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
          <w:color w:val="auto"/>
          <w:w w:val="99"/>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bCs/>
          <w:color w:val="auto"/>
          <w:sz w:val="24"/>
          <w:szCs w:val="24"/>
        </w:rPr>
        <w:t>评标委员会成员成员人数应当为</w:t>
      </w:r>
      <w:r>
        <w:rPr>
          <w:rFonts w:hint="eastAsia" w:asciiTheme="minorEastAsia" w:hAnsiTheme="minorEastAsia" w:eastAsiaTheme="minorEastAsia" w:cstheme="minorEastAsia"/>
          <w:bCs/>
          <w:color w:val="auto"/>
          <w:sz w:val="24"/>
          <w:szCs w:val="24"/>
          <w:lang w:val="en-US" w:eastAsia="zh-CN"/>
        </w:rPr>
        <w:t>6</w:t>
      </w:r>
      <w:r>
        <w:rPr>
          <w:rFonts w:hint="eastAsia" w:asciiTheme="minorEastAsia" w:hAnsiTheme="minorEastAsia" w:eastAsiaTheme="minorEastAsia" w:cstheme="minorEastAsia"/>
          <w:bCs/>
          <w:color w:val="auto"/>
          <w:sz w:val="24"/>
          <w:szCs w:val="24"/>
        </w:rPr>
        <w:t>人以上单数，其中评审专家不得少于成员总数的三分之二</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采购人代表为1人</w:t>
      </w:r>
      <w:r>
        <w:rPr>
          <w:rFonts w:hint="eastAsia" w:asciiTheme="minorEastAsia" w:hAnsiTheme="minorEastAsia" w:eastAsiaTheme="minorEastAsia" w:cstheme="minorEastAsia"/>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评委会成员应当客观、公正的履行职责，遵守职业道德，</w:t>
      </w:r>
      <w:r>
        <w:rPr>
          <w:rFonts w:hint="eastAsia" w:asciiTheme="minorEastAsia" w:hAnsiTheme="minorEastAsia" w:eastAsiaTheme="minorEastAsia" w:cstheme="minorEastAsia"/>
          <w:bCs/>
          <w:color w:val="auto"/>
          <w:sz w:val="24"/>
          <w:szCs w:val="24"/>
        </w:rPr>
        <w:t>负责完成全部评标工作，向</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提出经评标委员会签字的书面评标报告</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color w:val="auto"/>
          <w:sz w:val="24"/>
          <w:szCs w:val="24"/>
        </w:rPr>
        <w:t xml:space="preserve">对所提出的评审意见承担个人责任。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bCs/>
          <w:color w:val="auto"/>
          <w:sz w:val="24"/>
          <w:szCs w:val="24"/>
          <w:lang w:val="en-US" w:eastAsia="zh-CN"/>
        </w:rPr>
        <w:t>评标委员会负责审查电子征集响应文件是否符合征集文件的要求，并进行审查、询标、评估和比较。</w:t>
      </w:r>
      <w:r>
        <w:rPr>
          <w:rFonts w:hint="eastAsia" w:asciiTheme="minorEastAsia" w:hAnsiTheme="minorEastAsia" w:eastAsiaTheme="minorEastAsia" w:cstheme="minorEastAsia"/>
          <w:color w:val="auto"/>
          <w:sz w:val="24"/>
          <w:szCs w:val="24"/>
        </w:rPr>
        <w:t>评委会可要求</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对其</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中非实质性的有关问题进行澄清、说明或者补正。有关澄清、说明或者补正的要求和答复应以书面形式提交。</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的澄清、说明或者补正不得超出</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的范围或者改变</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的实质性内容。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val="en-US" w:eastAsia="zh-CN"/>
        </w:rPr>
        <w:t>4.</w:t>
      </w:r>
      <w:r>
        <w:rPr>
          <w:rFonts w:hint="eastAsia" w:asciiTheme="minorEastAsia" w:hAnsiTheme="minorEastAsia" w:eastAsiaTheme="minorEastAsia" w:cstheme="minorEastAsia"/>
          <w:color w:val="auto"/>
          <w:sz w:val="24"/>
          <w:szCs w:val="24"/>
        </w:rPr>
        <w:t>如果</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没有实质性响应征集文件的要求，评委会将予以拒绝。评委会只对确定为实质性响应征集文件要求的</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，根据征集文件的要求采用相同的评标程序、评分办法及标准进行评价和比较。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color w:val="auto"/>
          <w:sz w:val="24"/>
          <w:szCs w:val="24"/>
        </w:rPr>
        <w:t>在评标期间，评标过程严格保密。评委会成员和与评标活动有关的工作人员不得透露对</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的评审和比较、中标候选人的推荐情况以及与评标有关的其他情况。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（二）框架协议采购人</w:t>
      </w:r>
      <w:r>
        <w:rPr>
          <w:rFonts w:hint="eastAsia" w:asciiTheme="minorEastAsia" w:hAnsiTheme="minorEastAsia" w:eastAsiaTheme="minorEastAsia" w:cstheme="minorEastAsia"/>
          <w:color w:val="auto"/>
          <w:sz w:val="24"/>
          <w:szCs w:val="24"/>
        </w:rPr>
        <w:t>:由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和</w:t>
      </w:r>
      <w:r>
        <w:rPr>
          <w:rFonts w:hint="eastAsia" w:asciiTheme="minorEastAsia" w:hAnsiTheme="minorEastAsia" w:eastAsiaTheme="minorEastAsia" w:cstheme="minorEastAsia"/>
          <w:color w:val="auto"/>
          <w:sz w:val="24"/>
          <w:szCs w:val="24"/>
          <w:lang w:val="en-US" w:eastAsia="zh-CN"/>
        </w:rPr>
        <w:t>集采</w:t>
      </w:r>
      <w:r>
        <w:rPr>
          <w:rFonts w:hint="eastAsia" w:asciiTheme="minorEastAsia" w:hAnsiTheme="minorEastAsia" w:eastAsiaTheme="minorEastAsia" w:cstheme="minorEastAsia"/>
          <w:color w:val="auto"/>
          <w:sz w:val="24"/>
          <w:szCs w:val="24"/>
        </w:rPr>
        <w:t>机构</w:t>
      </w:r>
      <w:r>
        <w:rPr>
          <w:rFonts w:hint="eastAsia" w:asciiTheme="minorEastAsia" w:hAnsiTheme="minorEastAsia" w:eastAsiaTheme="minorEastAsia" w:cstheme="minorEastAsia"/>
          <w:color w:val="auto"/>
          <w:sz w:val="24"/>
          <w:szCs w:val="24"/>
          <w:lang w:val="en-US" w:eastAsia="zh-CN"/>
        </w:rPr>
        <w:t>人员</w:t>
      </w:r>
      <w:r>
        <w:rPr>
          <w:rFonts w:hint="eastAsia" w:asciiTheme="minorEastAsia" w:hAnsiTheme="minorEastAsia" w:eastAsiaTheme="minorEastAsia" w:cstheme="minorEastAsia"/>
          <w:color w:val="auto"/>
          <w:sz w:val="24"/>
          <w:szCs w:val="24"/>
        </w:rPr>
        <w:t>组成，负责对外联系并配合交易中心工作人员开标、评标的会务工作,整理并向评标组分发投标资料、</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；做好开标和 评标会议记录；对评标过程中的原始文件进行归档；随时印发需要的文件资料,对各种咨询函件及档案文件的统收统发。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监督部门：</w:t>
      </w:r>
      <w:r>
        <w:rPr>
          <w:rFonts w:hint="eastAsia" w:asciiTheme="minorEastAsia" w:hAnsiTheme="minorEastAsia" w:eastAsiaTheme="minorEastAsia" w:cstheme="minorEastAsia"/>
          <w:color w:val="auto"/>
          <w:sz w:val="24"/>
          <w:szCs w:val="24"/>
          <w:lang w:val="en-US" w:eastAsia="zh-CN"/>
        </w:rPr>
        <w:t>天水市财政局</w:t>
      </w:r>
      <w:r>
        <w:rPr>
          <w:rFonts w:hint="eastAsia" w:asciiTheme="minorEastAsia" w:hAnsiTheme="minorEastAsia" w:eastAsiaTheme="minorEastAsia" w:cstheme="minorEastAsia"/>
          <w:color w:val="auto"/>
          <w:sz w:val="24"/>
          <w:szCs w:val="24"/>
        </w:rPr>
        <w:t xml:space="preserve">市公共资源交易中心等有关监督部门根据国家有关法律、法规及征集文件的规定,对整个评标过程进行监督,保证评标的公正性,防止违法行为的产生。 </w:t>
      </w:r>
    </w:p>
    <w:bookmarkEnd w:id="189"/>
    <w:bookmarkEnd w:id="190"/>
    <w:bookmarkEnd w:id="191"/>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textAlignment w:val="auto"/>
        <w:outlineLvl w:val="1"/>
        <w:rPr>
          <w:rFonts w:hint="eastAsia" w:asciiTheme="minorEastAsia" w:hAnsiTheme="minorEastAsia" w:eastAsiaTheme="minorEastAsia" w:cstheme="minorEastAsia"/>
          <w:b w:val="0"/>
          <w:bCs/>
          <w:color w:val="auto"/>
          <w:sz w:val="24"/>
          <w:szCs w:val="24"/>
        </w:rPr>
      </w:pPr>
      <w:bookmarkStart w:id="192" w:name="_Toc21939"/>
      <w:bookmarkStart w:id="193" w:name="_Toc10310"/>
      <w:bookmarkStart w:id="194" w:name="_Toc29285"/>
      <w:bookmarkStart w:id="195" w:name="_Toc13572"/>
      <w:bookmarkStart w:id="196" w:name="_Toc19126"/>
      <w:r>
        <w:rPr>
          <w:rFonts w:hint="eastAsia" w:asciiTheme="minorEastAsia" w:hAnsiTheme="minorEastAsia" w:eastAsiaTheme="minorEastAsia" w:cstheme="minorEastAsia"/>
          <w:b w:val="0"/>
          <w:bCs/>
          <w:color w:val="auto"/>
          <w:spacing w:val="0"/>
          <w:sz w:val="24"/>
          <w:szCs w:val="24"/>
          <w:lang w:val="en-US" w:eastAsia="zh-CN"/>
        </w:rPr>
        <w:t>三、</w:t>
      </w:r>
      <w:r>
        <w:rPr>
          <w:rFonts w:hint="eastAsia" w:asciiTheme="minorEastAsia" w:hAnsiTheme="minorEastAsia" w:eastAsiaTheme="minorEastAsia" w:cstheme="minorEastAsia"/>
          <w:b w:val="0"/>
          <w:bCs/>
          <w:color w:val="auto"/>
          <w:sz w:val="24"/>
          <w:szCs w:val="24"/>
          <w:lang w:val="en-US" w:eastAsia="zh-CN"/>
        </w:rPr>
        <w:t>评标原则</w:t>
      </w:r>
      <w:bookmarkEnd w:id="192"/>
      <w:bookmarkEnd w:id="193"/>
      <w:r>
        <w:rPr>
          <w:rFonts w:hint="eastAsia" w:asciiTheme="minorEastAsia" w:hAnsiTheme="minorEastAsia" w:eastAsiaTheme="minorEastAsia" w:cstheme="minorEastAsia"/>
          <w:b w:val="0"/>
          <w:bCs/>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依据《政府采购框架协议采购方式管理暂行办法》（财政部</w:t>
      </w:r>
      <w:r>
        <w:rPr>
          <w:rFonts w:hint="eastAsia" w:asciiTheme="minorEastAsia" w:hAnsiTheme="minorEastAsia" w:eastAsiaTheme="minorEastAsia" w:cstheme="minorEastAsia"/>
          <w:b/>
          <w:bCs/>
          <w:i w:val="0"/>
          <w:iCs w:val="0"/>
          <w:caps w:val="0"/>
          <w:color w:val="auto"/>
          <w:spacing w:val="0"/>
          <w:sz w:val="24"/>
          <w:szCs w:val="24"/>
          <w:shd w:val="clear" w:fill="FFFFFF"/>
          <w:lang w:val="en-US"/>
        </w:rPr>
        <w:t>110</w:t>
      </w:r>
      <w:r>
        <w:rPr>
          <w:rFonts w:hint="eastAsia" w:asciiTheme="minorEastAsia" w:hAnsiTheme="minorEastAsia" w:eastAsiaTheme="minorEastAsia" w:cstheme="minorEastAsia"/>
          <w:b/>
          <w:bCs/>
          <w:i w:val="0"/>
          <w:iCs w:val="0"/>
          <w:caps w:val="0"/>
          <w:color w:val="auto"/>
          <w:spacing w:val="0"/>
          <w:sz w:val="24"/>
          <w:szCs w:val="24"/>
          <w:shd w:val="clear" w:fill="FFFFFF"/>
        </w:rPr>
        <w:t>号令）要求，</w:t>
      </w:r>
      <w:r>
        <w:rPr>
          <w:rFonts w:hint="eastAsia" w:asciiTheme="minorEastAsia" w:hAnsiTheme="minorEastAsia" w:eastAsiaTheme="minorEastAsia" w:cstheme="minorEastAsia"/>
          <w:b/>
          <w:bCs/>
          <w:i w:val="0"/>
          <w:iCs w:val="0"/>
          <w:caps w:val="0"/>
          <w:color w:val="auto"/>
          <w:spacing w:val="0"/>
          <w:sz w:val="24"/>
          <w:szCs w:val="24"/>
          <w:shd w:val="clear" w:fill="FFFFFF"/>
          <w:lang w:val="en-US" w:eastAsia="zh-CN"/>
        </w:rPr>
        <w:t>本项目由评标委员会从征集响应供应商中根据其</w:t>
      </w:r>
      <w:r>
        <w:rPr>
          <w:rFonts w:hint="eastAsia" w:asciiTheme="minorEastAsia" w:hAnsiTheme="minorEastAsia" w:eastAsiaTheme="minorEastAsia" w:cstheme="minorEastAsia"/>
          <w:b/>
          <w:bCs/>
          <w:color w:val="auto"/>
          <w:spacing w:val="0"/>
          <w:sz w:val="24"/>
          <w:szCs w:val="24"/>
        </w:rPr>
        <w:t>得分由高到低的顺序</w:t>
      </w:r>
      <w:r>
        <w:rPr>
          <w:rFonts w:hint="eastAsia" w:asciiTheme="minorEastAsia" w:hAnsiTheme="minorEastAsia" w:eastAsiaTheme="minorEastAsia" w:cstheme="minorEastAsia"/>
          <w:b/>
          <w:bCs/>
          <w:color w:val="auto"/>
          <w:spacing w:val="0"/>
          <w:sz w:val="24"/>
          <w:szCs w:val="24"/>
          <w:lang w:eastAsia="zh-CN"/>
        </w:rPr>
        <w:t>，</w:t>
      </w:r>
      <w:r>
        <w:rPr>
          <w:rFonts w:hint="eastAsia" w:asciiTheme="minorEastAsia" w:hAnsiTheme="minorEastAsia" w:eastAsiaTheme="minorEastAsia" w:cstheme="minorEastAsia"/>
          <w:b/>
          <w:bCs/>
          <w:color w:val="auto"/>
          <w:spacing w:val="0"/>
          <w:sz w:val="24"/>
          <w:szCs w:val="24"/>
          <w:lang w:val="en-US" w:eastAsia="zh-CN"/>
        </w:rPr>
        <w:t>按照淘汰率不低于20%的原则确定入围供应商</w:t>
      </w:r>
      <w:r>
        <w:rPr>
          <w:rFonts w:hint="eastAsia" w:asciiTheme="minorEastAsia" w:hAnsiTheme="minorEastAsia" w:eastAsiaTheme="minorEastAsia" w:cstheme="minorEastAsia"/>
          <w:b/>
          <w:bCs/>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96"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按照</w:t>
      </w:r>
      <w:r>
        <w:rPr>
          <w:rFonts w:hint="eastAsia" w:asciiTheme="minorEastAsia" w:hAnsiTheme="minorEastAsia" w:eastAsiaTheme="minorEastAsia" w:cstheme="minorEastAsia"/>
          <w:color w:val="auto"/>
          <w:spacing w:val="4"/>
          <w:sz w:val="24"/>
          <w:szCs w:val="24"/>
          <w:lang w:val="en-US" w:eastAsia="zh-CN"/>
        </w:rPr>
        <w:t>征集</w:t>
      </w:r>
      <w:r>
        <w:rPr>
          <w:rFonts w:hint="eastAsia" w:asciiTheme="minorEastAsia" w:hAnsiTheme="minorEastAsia" w:eastAsiaTheme="minorEastAsia" w:cstheme="minorEastAsia"/>
          <w:color w:val="auto"/>
          <w:spacing w:val="4"/>
          <w:sz w:val="24"/>
          <w:szCs w:val="24"/>
        </w:rPr>
        <w:t>响应文件满足征集文件全部实质性要求且按评审因素的量化指标评审得分由</w:t>
      </w:r>
      <w:r>
        <w:rPr>
          <w:rFonts w:hint="eastAsia" w:asciiTheme="minorEastAsia" w:hAnsiTheme="minorEastAsia" w:eastAsiaTheme="minorEastAsia" w:cstheme="minorEastAsia"/>
          <w:color w:val="auto"/>
          <w:sz w:val="24"/>
          <w:szCs w:val="24"/>
        </w:rPr>
        <w:t xml:space="preserve">高到低的顺序依次确定入围服务供应商。如果两个供应商得分相同时，综合考虑服务能力强的供应商为入围单位。对未入围供应商不作任何解释说明。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（1）采用</w:t>
      </w:r>
      <w:r>
        <w:rPr>
          <w:rFonts w:hint="eastAsia" w:asciiTheme="minorEastAsia" w:hAnsiTheme="minorEastAsia" w:eastAsiaTheme="minorEastAsia" w:cstheme="minorEastAsia"/>
          <w:color w:val="auto"/>
          <w:sz w:val="24"/>
          <w:szCs w:val="24"/>
          <w:lang w:val="en-US" w:eastAsia="zh-CN"/>
        </w:rPr>
        <w:t>价格优先</w:t>
      </w:r>
      <w:r>
        <w:rPr>
          <w:rFonts w:hint="eastAsia" w:asciiTheme="minorEastAsia" w:hAnsiTheme="minorEastAsia" w:eastAsiaTheme="minorEastAsia" w:cstheme="minorEastAsia"/>
          <w:color w:val="auto"/>
          <w:sz w:val="24"/>
          <w:szCs w:val="24"/>
        </w:rPr>
        <w:t>法的采购项目，提供相同品牌产品的不同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参加同一合同项下投标的，以其中通过资格审查、符合性审查且报价最低的参加评标;报价相同的，</w:t>
      </w:r>
      <w:r>
        <w:rPr>
          <w:rFonts w:hint="eastAsia" w:asciiTheme="minorEastAsia" w:hAnsiTheme="minorEastAsia" w:eastAsiaTheme="minorEastAsia" w:cstheme="minorEastAsia"/>
          <w:color w:val="auto"/>
          <w:spacing w:val="4"/>
          <w:sz w:val="24"/>
          <w:szCs w:val="24"/>
        </w:rPr>
        <w:t>由评标委员会按照征集文件规定的方式确定一个参加评标的</w:t>
      </w:r>
      <w:r>
        <w:rPr>
          <w:rFonts w:hint="eastAsia" w:asciiTheme="minorEastAsia" w:hAnsiTheme="minorEastAsia" w:eastAsiaTheme="minorEastAsia" w:cstheme="minorEastAsia"/>
          <w:color w:val="auto"/>
          <w:spacing w:val="4"/>
          <w:sz w:val="24"/>
          <w:szCs w:val="24"/>
          <w:lang w:eastAsia="zh-CN"/>
        </w:rPr>
        <w:t>供应商</w:t>
      </w:r>
      <w:r>
        <w:rPr>
          <w:rFonts w:hint="eastAsia" w:asciiTheme="minorEastAsia" w:hAnsiTheme="minorEastAsia" w:eastAsiaTheme="minorEastAsia" w:cstheme="minorEastAsia"/>
          <w:color w:val="auto"/>
          <w:sz w:val="24"/>
          <w:szCs w:val="24"/>
        </w:rPr>
        <w:t xml:space="preserve">，征集文件未规定的采取随机抽取方式确定，其他投标无效。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采用质量优先</w:t>
      </w:r>
      <w:r>
        <w:rPr>
          <w:rFonts w:hint="eastAsia" w:asciiTheme="minorEastAsia" w:hAnsiTheme="minorEastAsia" w:eastAsiaTheme="minorEastAsia" w:cstheme="minorEastAsia"/>
          <w:color w:val="auto"/>
          <w:sz w:val="24"/>
          <w:szCs w:val="24"/>
        </w:rPr>
        <w:t>法的采购项目，提供相同品牌产品且通过资格审查、符合性审查的不同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参加同一合同项下投标的，按一家</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计算，评审后得分最高的同品牌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获得入围供应商推荐资格;评审得分相同的，由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委托评标委员会按照征集文件规定的方式确定一个</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获得入围供应商推荐资格，征集文件未规定的采取随机抽取方式确定，其他同品牌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不作为中标候选人。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（3）非单一产品采购项目，</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应当根据采购项目技术构成、产品价格比重等合理确定核心产品，并在征集文件中载明。多家</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提供的核心产品品牌相同</w:t>
      </w:r>
      <w:r>
        <w:rPr>
          <w:rFonts w:hint="eastAsia" w:asciiTheme="minorEastAsia" w:hAnsiTheme="minorEastAsia" w:eastAsiaTheme="minorEastAsia" w:cstheme="minorEastAsia"/>
          <w:color w:val="auto"/>
          <w:sz w:val="24"/>
          <w:szCs w:val="24"/>
          <w:lang w:val="en-US" w:eastAsia="zh-CN"/>
        </w:rPr>
        <w:t>的</w:t>
      </w:r>
      <w:r>
        <w:rPr>
          <w:rFonts w:hint="eastAsia" w:asciiTheme="minorEastAsia" w:hAnsiTheme="minorEastAsia" w:eastAsiaTheme="minorEastAsia" w:cstheme="minorEastAsia"/>
          <w:color w:val="auto"/>
          <w:sz w:val="24"/>
          <w:szCs w:val="24"/>
        </w:rPr>
        <w:t xml:space="preserve">按前两款规定处理。 </w:t>
      </w:r>
    </w:p>
    <w:p>
      <w:pPr>
        <w:keepNext w:val="0"/>
        <w:keepLines w:val="0"/>
        <w:pageBreakBefore w:val="0"/>
        <w:widowControl w:val="0"/>
        <w:numPr>
          <w:ilvl w:val="1"/>
          <w:numId w:val="0"/>
        </w:numPr>
        <w:kinsoku/>
        <w:wordWrap/>
        <w:overflowPunct/>
        <w:topLinePunct w:val="0"/>
        <w:autoSpaceDE/>
        <w:autoSpaceDN/>
        <w:bidi w:val="0"/>
        <w:adjustRightInd w:val="0"/>
        <w:snapToGrid/>
        <w:spacing w:before="0" w:line="420" w:lineRule="exact"/>
        <w:ind w:left="0" w:right="0" w:firstLine="480" w:firstLineChars="200"/>
        <w:jc w:val="both"/>
        <w:textAlignment w:val="baseline"/>
        <w:outlineLvl w:val="9"/>
        <w:rPr>
          <w:rFonts w:hint="eastAsia" w:asciiTheme="minorEastAsia" w:hAnsiTheme="minorEastAsia" w:eastAsiaTheme="minorEastAsia" w:cstheme="minorEastAsia"/>
          <w:b w:val="0"/>
          <w:bCs/>
          <w:color w:val="auto"/>
          <w:spacing w:val="0"/>
          <w:sz w:val="24"/>
          <w:szCs w:val="24"/>
          <w:lang w:val="en-US" w:eastAsia="zh-CN"/>
        </w:rPr>
      </w:pPr>
      <w:r>
        <w:rPr>
          <w:rFonts w:hint="eastAsia" w:asciiTheme="minorEastAsia" w:hAnsiTheme="minorEastAsia" w:eastAsiaTheme="minorEastAsia" w:cstheme="minorEastAsia"/>
          <w:b w:val="0"/>
          <w:bCs/>
          <w:color w:val="auto"/>
          <w:sz w:val="24"/>
          <w:szCs w:val="24"/>
        </w:rPr>
        <w:t>（4）本项目对于报价相同的供应商选取，由评标委员会根据</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中提供的技术方案、售后服务方案等综合评价，在同等条件下选取方案最优的供应商参与评标。</w:t>
      </w:r>
    </w:p>
    <w:p>
      <w:pPr>
        <w:pStyle w:val="5"/>
        <w:keepNext w:val="0"/>
        <w:keepLines w:val="0"/>
        <w:pageBreakBefore w:val="0"/>
        <w:widowControl w:val="0"/>
        <w:numPr>
          <w:ilvl w:val="1"/>
          <w:numId w:val="0"/>
        </w:numPr>
        <w:kinsoku/>
        <w:wordWrap/>
        <w:overflowPunct/>
        <w:topLinePunct w:val="0"/>
        <w:autoSpaceDE/>
        <w:autoSpaceDN/>
        <w:bidi w:val="0"/>
        <w:adjustRightInd w:val="0"/>
        <w:snapToGrid/>
        <w:spacing w:before="0" w:line="420" w:lineRule="exact"/>
        <w:ind w:left="0" w:right="0" w:firstLine="480" w:firstLineChars="200"/>
        <w:jc w:val="both"/>
        <w:textAlignment w:val="baseline"/>
        <w:rPr>
          <w:rFonts w:hint="eastAsia" w:asciiTheme="minorEastAsia" w:hAnsiTheme="minorEastAsia" w:eastAsiaTheme="minorEastAsia" w:cstheme="minorEastAsia"/>
          <w:b w:val="0"/>
          <w:bCs/>
          <w:color w:val="auto"/>
          <w:sz w:val="24"/>
          <w:szCs w:val="24"/>
        </w:rPr>
      </w:pPr>
      <w:bookmarkStart w:id="197" w:name="_Toc30648"/>
      <w:bookmarkStart w:id="198" w:name="_Toc24784"/>
      <w:r>
        <w:rPr>
          <w:rFonts w:hint="eastAsia" w:asciiTheme="minorEastAsia" w:hAnsiTheme="minorEastAsia" w:eastAsiaTheme="minorEastAsia" w:cstheme="minorEastAsia"/>
          <w:b w:val="0"/>
          <w:bCs/>
          <w:color w:val="auto"/>
          <w:spacing w:val="0"/>
          <w:sz w:val="24"/>
          <w:szCs w:val="24"/>
          <w:lang w:val="en-US" w:eastAsia="zh-CN"/>
        </w:rPr>
        <w:t>四、</w:t>
      </w:r>
      <w:r>
        <w:rPr>
          <w:rFonts w:hint="eastAsia" w:asciiTheme="minorEastAsia" w:hAnsiTheme="minorEastAsia" w:eastAsiaTheme="minorEastAsia" w:cstheme="minorEastAsia"/>
          <w:b w:val="0"/>
          <w:bCs/>
          <w:color w:val="auto"/>
          <w:sz w:val="24"/>
          <w:szCs w:val="24"/>
        </w:rPr>
        <w:t>评标程序</w:t>
      </w:r>
      <w:bookmarkEnd w:id="194"/>
      <w:bookmarkEnd w:id="195"/>
      <w:bookmarkEnd w:id="196"/>
      <w:bookmarkEnd w:id="197"/>
      <w:bookmarkEnd w:id="198"/>
      <w:r>
        <w:rPr>
          <w:rFonts w:hint="eastAsia" w:asciiTheme="minorEastAsia" w:hAnsiTheme="minorEastAsia" w:eastAsiaTheme="minorEastAsia" w:cstheme="minorEastAsia"/>
          <w:b w:val="0"/>
          <w:bCs/>
          <w:color w:val="auto"/>
          <w:w w:val="99"/>
          <w:sz w:val="24"/>
          <w:szCs w:val="24"/>
        </w:rPr>
        <w:t xml:space="preserve"> </w:t>
      </w:r>
    </w:p>
    <w:p>
      <w:pPr>
        <w:keepNext w:val="0"/>
        <w:keepLines w:val="0"/>
        <w:pageBreakBefore w:val="0"/>
        <w:widowControl w:val="0"/>
        <w:kinsoku/>
        <w:wordWrap/>
        <w:overflowPunct/>
        <w:topLinePunct w:val="0"/>
        <w:autoSpaceDE/>
        <w:autoSpaceDN/>
        <w:bidi w:val="0"/>
        <w:adjustRightInd/>
        <w:snapToGrid/>
        <w:spacing w:before="0" w:after="0" w:line="420" w:lineRule="exact"/>
        <w:ind w:left="0" w:right="0" w:firstLine="482" w:firstLineChars="200"/>
        <w:jc w:val="both"/>
        <w:outlineLvl w:val="9"/>
        <w:rPr>
          <w:rFonts w:hint="eastAsia" w:asciiTheme="minorEastAsia" w:hAnsiTheme="minorEastAsia" w:eastAsiaTheme="minorEastAsia" w:cstheme="minorEastAsia"/>
          <w:b/>
          <w:bCs/>
          <w:color w:val="auto"/>
          <w:sz w:val="24"/>
          <w:szCs w:val="24"/>
        </w:rPr>
      </w:pPr>
      <w:bookmarkStart w:id="199" w:name="_Toc6526"/>
      <w:bookmarkStart w:id="200" w:name="_Toc23644"/>
      <w:bookmarkStart w:id="201" w:name="_Toc6254"/>
      <w:r>
        <w:rPr>
          <w:rFonts w:hint="eastAsia" w:asciiTheme="minorEastAsia" w:hAnsiTheme="minorEastAsia" w:eastAsia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sz w:val="24"/>
          <w:szCs w:val="24"/>
          <w:lang w:eastAsia="zh-CN"/>
        </w:rPr>
        <w:t>征集响应文件</w:t>
      </w:r>
      <w:r>
        <w:rPr>
          <w:rFonts w:hint="eastAsia" w:asciiTheme="minorEastAsia" w:hAnsiTheme="minorEastAsia" w:eastAsiaTheme="minorEastAsia" w:cstheme="minorEastAsia"/>
          <w:b/>
          <w:bCs/>
          <w:color w:val="auto"/>
          <w:sz w:val="24"/>
          <w:szCs w:val="24"/>
        </w:rPr>
        <w:t>的初审</w:t>
      </w:r>
      <w:bookmarkEnd w:id="199"/>
      <w:bookmarkEnd w:id="200"/>
      <w:bookmarkEnd w:id="201"/>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征集响应文件</w:t>
      </w:r>
      <w:r>
        <w:rPr>
          <w:rFonts w:hint="eastAsia" w:asciiTheme="minorEastAsia" w:hAnsiTheme="minorEastAsia" w:eastAsiaTheme="minorEastAsia" w:cstheme="minorEastAsia"/>
          <w:b w:val="0"/>
          <w:bCs w:val="0"/>
          <w:color w:val="auto"/>
          <w:sz w:val="24"/>
          <w:szCs w:val="24"/>
        </w:rPr>
        <w:t>初审分为资格审查和符合性审查</w:t>
      </w:r>
      <w:r>
        <w:rPr>
          <w:rFonts w:hint="eastAsia" w:asciiTheme="minorEastAsia" w:hAnsiTheme="minorEastAsia" w:eastAsiaTheme="minorEastAsia" w:cstheme="minorEastAsia"/>
          <w:b w:val="0"/>
          <w:bCs w:val="0"/>
          <w:color w:val="auto"/>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资格审查。根据法律法规和征集文件的规定，</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及集采</w:t>
      </w:r>
      <w:r>
        <w:rPr>
          <w:rFonts w:hint="eastAsia" w:asciiTheme="minorEastAsia" w:hAnsiTheme="minorEastAsia" w:eastAsiaTheme="minorEastAsia" w:cstheme="minorEastAsia"/>
          <w:color w:val="auto"/>
          <w:sz w:val="24"/>
          <w:szCs w:val="24"/>
        </w:rPr>
        <w:t>机构依法对</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进行资格审查，或出具委托授权函委托评委会对</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进行资格审查，以确定</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是否具备投标资格。</w:t>
      </w:r>
      <w:r>
        <w:rPr>
          <w:rFonts w:hint="eastAsia" w:asciiTheme="minorEastAsia" w:hAnsiTheme="minorEastAsia" w:eastAsiaTheme="minorEastAsia" w:cstheme="minorEastAsia"/>
          <w:b/>
          <w:bCs/>
          <w:color w:val="auto"/>
          <w:sz w:val="24"/>
          <w:szCs w:val="24"/>
        </w:rPr>
        <w:t>资格审查要求详见</w:t>
      </w:r>
      <w:r>
        <w:rPr>
          <w:rFonts w:hint="eastAsia" w:asciiTheme="minorEastAsia" w:hAnsiTheme="minorEastAsia" w:eastAsiaTheme="minorEastAsia" w:cstheme="minorEastAsia"/>
          <w:b/>
          <w:bCs/>
          <w:color w:val="auto"/>
          <w:sz w:val="24"/>
          <w:szCs w:val="24"/>
          <w:lang w:eastAsia="zh-CN"/>
        </w:rPr>
        <w:t>供应商</w:t>
      </w:r>
      <w:r>
        <w:rPr>
          <w:rFonts w:hint="eastAsia" w:asciiTheme="minorEastAsia" w:hAnsiTheme="minorEastAsia" w:eastAsiaTheme="minorEastAsia" w:cstheme="minorEastAsia"/>
          <w:b/>
          <w:bCs/>
          <w:color w:val="auto"/>
          <w:sz w:val="24"/>
          <w:szCs w:val="24"/>
        </w:rPr>
        <w:t>须知前附表</w:t>
      </w:r>
      <w:r>
        <w:rPr>
          <w:rFonts w:hint="eastAsia" w:asciiTheme="minorEastAsia" w:hAnsiTheme="minorEastAsia" w:eastAsiaTheme="minorEastAsia" w:cstheme="minorEastAsia"/>
          <w:b/>
          <w:bCs/>
          <w:color w:val="auto"/>
          <w:sz w:val="24"/>
          <w:szCs w:val="24"/>
          <w:lang w:val="en-US" w:eastAsia="zh-CN"/>
        </w:rPr>
        <w:t>及第三部分总则（七）征集响应文件的组成的资格性证明文件</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符合性审查。评标委员会应当对符合资格的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进行符合 性审查，以确定其是否满足征集文件的实质性要求</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具体包括以下内容：</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是否按照征集文件的规定编制；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是否按照征集文件要求签署、盖章；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是否按照征集文件规定的格式填写相关内容；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投标报价是否在征集文件中规定的预算金额或者最高限价范围内；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pacing w:val="-6"/>
          <w:sz w:val="24"/>
          <w:szCs w:val="24"/>
          <w:lang w:eastAsia="zh-CN"/>
        </w:rPr>
        <w:t>征集响应文件</w:t>
      </w:r>
      <w:r>
        <w:rPr>
          <w:rFonts w:hint="eastAsia" w:asciiTheme="minorEastAsia" w:hAnsiTheme="minorEastAsia" w:eastAsiaTheme="minorEastAsia" w:cstheme="minorEastAsia"/>
          <w:color w:val="auto"/>
          <w:spacing w:val="-6"/>
          <w:sz w:val="24"/>
          <w:szCs w:val="24"/>
        </w:rPr>
        <w:t>是否对征集文件提出的商务、技术等要求作出实质性响应（资</w:t>
      </w:r>
      <w:r>
        <w:rPr>
          <w:rFonts w:hint="eastAsia" w:asciiTheme="minorEastAsia" w:hAnsiTheme="minorEastAsia" w:eastAsiaTheme="minorEastAsia" w:cstheme="minorEastAsia"/>
          <w:color w:val="auto"/>
          <w:spacing w:val="-18"/>
          <w:sz w:val="24"/>
          <w:szCs w:val="24"/>
        </w:rPr>
        <w:t>格要求除外）；</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是否含有</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不能接受的附加条件；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投标有效期是否符合规定</w:t>
      </w:r>
      <w:r>
        <w:rPr>
          <w:rFonts w:hint="eastAsia" w:asciiTheme="minorEastAsia" w:hAnsiTheme="minorEastAsia" w:eastAsiaTheme="minorEastAsia" w:cstheme="minorEastAsia"/>
          <w:color w:val="auto"/>
          <w:spacing w:val="-6"/>
          <w:sz w:val="24"/>
          <w:szCs w:val="24"/>
        </w:rPr>
        <w:t>；</w:t>
      </w:r>
      <w:r>
        <w:rPr>
          <w:rFonts w:hint="eastAsia" w:asciiTheme="minorEastAsia" w:hAnsiTheme="minorEastAsia" w:eastAsiaTheme="minorEastAsia" w:cstheme="minorEastAsia"/>
          <w:color w:val="auto"/>
          <w:sz w:val="24"/>
          <w:szCs w:val="24"/>
        </w:rPr>
        <w:t xml:space="preserve"> </w:t>
      </w:r>
    </w:p>
    <w:p>
      <w:pPr>
        <w:keepNext w:val="0"/>
        <w:keepLines w:val="0"/>
        <w:pageBreakBefore w:val="0"/>
        <w:widowControl w:val="0"/>
        <w:numPr>
          <w:ilvl w:val="2"/>
          <w:numId w:val="0"/>
        </w:numPr>
        <w:kinsoku/>
        <w:wordWrap/>
        <w:overflowPunct/>
        <w:topLinePunct w:val="0"/>
        <w:autoSpaceDE/>
        <w:autoSpaceDN/>
        <w:bidi w:val="0"/>
        <w:adjustRightInd/>
        <w:snapToGrid/>
        <w:spacing w:before="0" w:after="0" w:line="420" w:lineRule="exact"/>
        <w:ind w:left="0" w:right="0" w:firstLine="480" w:firstLineChars="200"/>
        <w:jc w:val="both"/>
        <w:outlineLvl w:val="9"/>
        <w:rPr>
          <w:rFonts w:hint="eastAsia" w:asciiTheme="minorEastAsia" w:hAnsiTheme="minorEastAsia" w:eastAsiaTheme="minorEastAsia" w:cstheme="minorEastAsia"/>
          <w:b w:val="0"/>
          <w:bCs/>
          <w:color w:val="auto"/>
          <w:sz w:val="24"/>
          <w:szCs w:val="24"/>
        </w:rPr>
      </w:pPr>
      <w:bookmarkStart w:id="202" w:name="_Toc3151"/>
      <w:bookmarkStart w:id="203" w:name="_Toc23705"/>
      <w:bookmarkStart w:id="204" w:name="_Toc3468"/>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9</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征集文件规定的其它无效投标条件。</w:t>
      </w:r>
      <w:bookmarkEnd w:id="202"/>
      <w:bookmarkEnd w:id="203"/>
      <w:bookmarkEnd w:id="204"/>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评委会决定</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的响应性只根据</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真实无误的内容，而不依据外部的证据。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96"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lang w:val="en-US" w:eastAsia="zh-CN"/>
        </w:rPr>
        <w:t>4.</w:t>
      </w:r>
      <w:r>
        <w:rPr>
          <w:rFonts w:hint="eastAsia" w:asciiTheme="minorEastAsia" w:hAnsiTheme="minorEastAsia" w:eastAsiaTheme="minorEastAsia" w:cstheme="minorEastAsia"/>
          <w:color w:val="auto"/>
          <w:spacing w:val="4"/>
          <w:sz w:val="24"/>
          <w:szCs w:val="24"/>
          <w:lang w:eastAsia="zh-CN"/>
        </w:rPr>
        <w:t>供应商</w:t>
      </w:r>
      <w:r>
        <w:rPr>
          <w:rFonts w:hint="eastAsia" w:asciiTheme="minorEastAsia" w:hAnsiTheme="minorEastAsia" w:eastAsiaTheme="minorEastAsia" w:cstheme="minorEastAsia"/>
          <w:color w:val="auto"/>
          <w:spacing w:val="4"/>
          <w:sz w:val="24"/>
          <w:szCs w:val="24"/>
        </w:rPr>
        <w:t>不得通过修正或撤销不合要求的偏离从而使其投标成为实质上响应</w:t>
      </w:r>
      <w:r>
        <w:rPr>
          <w:rFonts w:hint="eastAsia" w:asciiTheme="minorEastAsia" w:hAnsiTheme="minorEastAsia" w:eastAsiaTheme="minorEastAsia" w:cstheme="minorEastAsia"/>
          <w:color w:val="auto"/>
          <w:sz w:val="24"/>
          <w:szCs w:val="24"/>
        </w:rPr>
        <w:t xml:space="preserve">的投标。 </w:t>
      </w:r>
    </w:p>
    <w:p>
      <w:pPr>
        <w:pStyle w:val="2"/>
        <w:keepNext w:val="0"/>
        <w:keepLines w:val="0"/>
        <w:pageBreakBefore w:val="0"/>
        <w:widowControl w:val="0"/>
        <w:kinsoku/>
        <w:wordWrap/>
        <w:overflowPunct/>
        <w:topLinePunct w:val="0"/>
        <w:autoSpaceDE/>
        <w:autoSpaceDN/>
        <w:bidi w:val="0"/>
        <w:snapToGrid/>
        <w:spacing w:line="420" w:lineRule="exact"/>
        <w:ind w:left="0" w:right="0" w:firstLine="482" w:firstLineChars="200"/>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val="en-US" w:eastAsia="zh-CN"/>
        </w:rPr>
        <w:t>二</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eastAsia="zh-CN"/>
        </w:rPr>
        <w:t>征集响应文件</w:t>
      </w:r>
      <w:r>
        <w:rPr>
          <w:rFonts w:hint="eastAsia" w:asciiTheme="minorEastAsia" w:hAnsiTheme="minorEastAsia" w:eastAsiaTheme="minorEastAsia" w:cstheme="minorEastAsia"/>
          <w:b/>
          <w:color w:val="auto"/>
          <w:sz w:val="24"/>
          <w:szCs w:val="24"/>
        </w:rPr>
        <w:t>的</w:t>
      </w:r>
      <w:r>
        <w:rPr>
          <w:rFonts w:hint="eastAsia" w:asciiTheme="minorEastAsia" w:hAnsiTheme="minorEastAsia" w:eastAsiaTheme="minorEastAsia" w:cstheme="minorEastAsia"/>
          <w:b/>
          <w:color w:val="auto"/>
          <w:sz w:val="24"/>
          <w:szCs w:val="24"/>
          <w:lang w:val="en-US" w:eastAsia="zh-CN"/>
        </w:rPr>
        <w:t>修正</w:t>
      </w:r>
    </w:p>
    <w:p>
      <w:pPr>
        <w:pStyle w:val="2"/>
        <w:keepNext w:val="0"/>
        <w:keepLines w:val="0"/>
        <w:pageBreakBefore w:val="0"/>
        <w:widowControl w:val="0"/>
        <w:kinsoku/>
        <w:wordWrap/>
        <w:overflowPunct/>
        <w:topLinePunct w:val="0"/>
        <w:autoSpaceDE/>
        <w:autoSpaceDN/>
        <w:bidi w:val="0"/>
        <w:snapToGrid/>
        <w:spacing w:line="420" w:lineRule="exact"/>
        <w:ind w:left="0" w:right="0" w:firstLine="448"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lang w:eastAsia="zh-CN"/>
        </w:rPr>
        <w:t>征集响应文件</w:t>
      </w:r>
      <w:r>
        <w:rPr>
          <w:rFonts w:hint="eastAsia" w:asciiTheme="minorEastAsia" w:hAnsiTheme="minorEastAsia" w:eastAsiaTheme="minorEastAsia" w:cstheme="minorEastAsia"/>
          <w:color w:val="auto"/>
          <w:spacing w:val="-8"/>
          <w:sz w:val="24"/>
          <w:szCs w:val="24"/>
        </w:rPr>
        <w:t>报价出现前后不一致的，除征集文件另有规定外，按照下列规定修正：</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snapToGrid/>
        <w:spacing w:line="420" w:lineRule="exact"/>
        <w:ind w:left="0" w:right="0" w:firstLine="496"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lang w:val="en-US" w:eastAsia="zh-CN"/>
        </w:rPr>
        <w:t>1.</w:t>
      </w:r>
      <w:r>
        <w:rPr>
          <w:rFonts w:hint="eastAsia" w:asciiTheme="minorEastAsia" w:hAnsiTheme="minorEastAsia" w:eastAsiaTheme="minorEastAsia" w:cstheme="minorEastAsia"/>
          <w:color w:val="auto"/>
          <w:spacing w:val="4"/>
          <w:sz w:val="24"/>
          <w:szCs w:val="24"/>
          <w:lang w:eastAsia="zh-CN"/>
        </w:rPr>
        <w:t>征集响应文件</w:t>
      </w:r>
      <w:r>
        <w:rPr>
          <w:rFonts w:hint="eastAsia" w:asciiTheme="minorEastAsia" w:hAnsiTheme="minorEastAsia" w:eastAsiaTheme="minorEastAsia" w:cstheme="minorEastAsia"/>
          <w:color w:val="auto"/>
          <w:spacing w:val="4"/>
          <w:sz w:val="24"/>
          <w:szCs w:val="24"/>
        </w:rPr>
        <w:t>中开标一览表(报价表)内容与</w:t>
      </w:r>
      <w:r>
        <w:rPr>
          <w:rFonts w:hint="eastAsia" w:asciiTheme="minorEastAsia" w:hAnsiTheme="minorEastAsia" w:eastAsiaTheme="minorEastAsia" w:cstheme="minorEastAsia"/>
          <w:color w:val="auto"/>
          <w:spacing w:val="4"/>
          <w:sz w:val="24"/>
          <w:szCs w:val="24"/>
          <w:lang w:eastAsia="zh-CN"/>
        </w:rPr>
        <w:t>征集响应文件</w:t>
      </w:r>
      <w:r>
        <w:rPr>
          <w:rFonts w:hint="eastAsia" w:asciiTheme="minorEastAsia" w:hAnsiTheme="minorEastAsia" w:eastAsiaTheme="minorEastAsia" w:cstheme="minorEastAsia"/>
          <w:color w:val="auto"/>
          <w:spacing w:val="4"/>
          <w:sz w:val="24"/>
          <w:szCs w:val="24"/>
        </w:rPr>
        <w:t>中相应内容不一</w:t>
      </w:r>
      <w:r>
        <w:rPr>
          <w:rFonts w:hint="eastAsia" w:asciiTheme="minorEastAsia" w:hAnsiTheme="minorEastAsia" w:eastAsiaTheme="minorEastAsia" w:cstheme="minorEastAsia"/>
          <w:color w:val="auto"/>
          <w:sz w:val="24"/>
          <w:szCs w:val="24"/>
        </w:rPr>
        <w:t xml:space="preserve">致的，以开标一览表(报价表)为准；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大写金额和小写金额不一致的，以大写金额为准；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单价金额小数点或者百分比有明显错位的，以开标一览表的总价为准，并修 改单价；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总价金额与按单价汇总金额不一致的，以单价金额计算结果为准。同时出现两种以上不一致的，按照前款规定的顺序修正。修正后的报价按照政府采购货物和服务招标投标管理办法（财政部令（第87号）第五十一条第二款的规定，</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z w:val="24"/>
          <w:szCs w:val="24"/>
        </w:rPr>
        <w:t>经</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确认后产生约束力，</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不确认的，其投标无效。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1"/>
        <w:rPr>
          <w:rFonts w:hint="eastAsia" w:asciiTheme="minorEastAsia" w:hAnsiTheme="minorEastAsia" w:eastAsiaTheme="minorEastAsia" w:cstheme="minorEastAsia"/>
          <w:b w:val="0"/>
          <w:bCs/>
          <w:color w:val="auto"/>
          <w:sz w:val="24"/>
          <w:szCs w:val="24"/>
        </w:rPr>
      </w:pPr>
      <w:bookmarkStart w:id="205" w:name="_Toc4295"/>
      <w:bookmarkStart w:id="206" w:name="_Toc30990"/>
      <w:r>
        <w:rPr>
          <w:rFonts w:hint="eastAsia" w:asciiTheme="minorEastAsia" w:hAnsiTheme="minorEastAsia" w:eastAsiaTheme="minorEastAsia" w:cstheme="minorEastAsia"/>
          <w:b w:val="0"/>
          <w:bCs/>
          <w:color w:val="auto"/>
          <w:sz w:val="24"/>
          <w:szCs w:val="24"/>
          <w:lang w:val="en-US" w:eastAsia="zh-CN"/>
        </w:rPr>
        <w:t>五、</w:t>
      </w:r>
      <w:r>
        <w:rPr>
          <w:rFonts w:hint="eastAsia" w:asciiTheme="minorEastAsia" w:hAnsiTheme="minorEastAsia" w:eastAsiaTheme="minorEastAsia" w:cstheme="minorEastAsia"/>
          <w:b w:val="0"/>
          <w:bCs/>
          <w:color w:val="auto"/>
          <w:sz w:val="24"/>
          <w:szCs w:val="24"/>
        </w:rPr>
        <w:t>无效投标条款</w:t>
      </w:r>
      <w:bookmarkEnd w:id="205"/>
      <w:bookmarkEnd w:id="206"/>
    </w:p>
    <w:p>
      <w:pPr>
        <w:keepNext w:val="0"/>
        <w:keepLines w:val="0"/>
        <w:pageBreakBefore w:val="0"/>
        <w:widowControl w:val="0"/>
        <w:kinsoku/>
        <w:wordWrap/>
        <w:overflowPunct/>
        <w:topLinePunct w:val="0"/>
        <w:autoSpaceDE/>
        <w:autoSpaceDN/>
        <w:bidi w:val="0"/>
        <w:adjustRightInd/>
        <w:spacing w:line="42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（一）</w:t>
      </w:r>
      <w:r>
        <w:rPr>
          <w:rFonts w:hint="eastAsia" w:asciiTheme="minorEastAsia" w:hAnsiTheme="minorEastAsia" w:eastAsiaTheme="minorEastAsia" w:cstheme="minorEastAsia"/>
          <w:b/>
          <w:bCs w:val="0"/>
          <w:color w:val="auto"/>
          <w:sz w:val="24"/>
          <w:szCs w:val="24"/>
        </w:rPr>
        <w:t>如果</w:t>
      </w:r>
      <w:r>
        <w:rPr>
          <w:rFonts w:hint="eastAsia" w:asciiTheme="minorEastAsia" w:hAnsiTheme="minorEastAsia" w:eastAsiaTheme="minorEastAsia" w:cstheme="minorEastAsia"/>
          <w:b/>
          <w:bCs w:val="0"/>
          <w:color w:val="auto"/>
          <w:sz w:val="24"/>
          <w:szCs w:val="24"/>
          <w:lang w:val="en-US" w:eastAsia="zh-CN"/>
        </w:rPr>
        <w:t>征集响应文件</w:t>
      </w:r>
      <w:r>
        <w:rPr>
          <w:rFonts w:hint="eastAsia" w:asciiTheme="minorEastAsia" w:hAnsiTheme="minorEastAsia" w:eastAsiaTheme="minorEastAsia" w:cstheme="minorEastAsia"/>
          <w:b/>
          <w:bCs w:val="0"/>
          <w:color w:val="auto"/>
          <w:sz w:val="24"/>
          <w:szCs w:val="24"/>
        </w:rPr>
        <w:t>没有实质性响应</w:t>
      </w:r>
      <w:r>
        <w:rPr>
          <w:rFonts w:hint="eastAsia" w:asciiTheme="minorEastAsia" w:hAnsiTheme="minorEastAsia" w:eastAsiaTheme="minorEastAsia" w:cstheme="minorEastAsia"/>
          <w:b/>
          <w:bCs w:val="0"/>
          <w:color w:val="auto"/>
          <w:sz w:val="24"/>
          <w:szCs w:val="24"/>
          <w:lang w:eastAsia="zh-CN"/>
        </w:rPr>
        <w:t>征集文件</w:t>
      </w:r>
      <w:r>
        <w:rPr>
          <w:rFonts w:hint="eastAsia" w:asciiTheme="minorEastAsia" w:hAnsiTheme="minorEastAsia" w:eastAsiaTheme="minorEastAsia" w:cstheme="minorEastAsia"/>
          <w:b/>
          <w:bCs w:val="0"/>
          <w:color w:val="auto"/>
          <w:sz w:val="24"/>
          <w:szCs w:val="24"/>
        </w:rPr>
        <w:t>的要求，其投标将被拒绝。</w:t>
      </w:r>
      <w:r>
        <w:rPr>
          <w:rFonts w:hint="eastAsia" w:asciiTheme="minorEastAsia" w:hAnsiTheme="minorEastAsia" w:eastAsiaTheme="minorEastAsia" w:cstheme="minorEastAsia"/>
          <w:b/>
          <w:bCs w:val="0"/>
          <w:color w:val="auto"/>
          <w:sz w:val="24"/>
          <w:szCs w:val="24"/>
          <w:lang w:eastAsia="zh-CN"/>
        </w:rPr>
        <w:t>供应商</w:t>
      </w:r>
      <w:r>
        <w:rPr>
          <w:rFonts w:hint="eastAsia" w:asciiTheme="minorEastAsia" w:hAnsiTheme="minorEastAsia" w:eastAsiaTheme="minorEastAsia" w:cstheme="minorEastAsia"/>
          <w:b/>
          <w:bCs w:val="0"/>
          <w:color w:val="auto"/>
          <w:sz w:val="24"/>
          <w:szCs w:val="24"/>
        </w:rPr>
        <w:t>不得通过修正或撤消不合要求的偏离或保留从而使其投标成为实质上响应的投标。如发现有下列情形之一的，视为无效投标，其投标将被拒绝：</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不符合《中华人民共和国政府采购法》第二十二条规定；</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color w:val="auto"/>
          <w:sz w:val="24"/>
          <w:szCs w:val="24"/>
        </w:rPr>
        <w:t>逾期送达</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响应文件的</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超出其营业执照或事业单位法人证书上经营范围（业务范围）投标的；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未按</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要求签署、盖章的；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有不符合</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带“★”（如有）要求内容5项的或不满足</w:t>
      </w:r>
      <w:r>
        <w:rPr>
          <w:rFonts w:hint="eastAsia" w:asciiTheme="minorEastAsia" w:hAnsiTheme="minorEastAsia" w:eastAsiaTheme="minorEastAsia" w:cstheme="minorEastAsia"/>
          <w:b w:val="0"/>
          <w:bCs/>
          <w:color w:val="auto"/>
          <w:sz w:val="24"/>
          <w:szCs w:val="24"/>
          <w:lang w:val="en-US" w:eastAsia="zh-CN"/>
        </w:rPr>
        <w:t>采购</w:t>
      </w:r>
      <w:r>
        <w:rPr>
          <w:rFonts w:hint="eastAsia" w:asciiTheme="minorEastAsia" w:hAnsiTheme="minorEastAsia" w:eastAsiaTheme="minorEastAsia" w:cstheme="minorEastAsia"/>
          <w:b w:val="0"/>
          <w:bCs/>
          <w:color w:val="auto"/>
          <w:sz w:val="24"/>
          <w:szCs w:val="24"/>
        </w:rPr>
        <w:t>需求中主要参数和超出偏差范围的（评标办法规定的另行除外）。</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同一包的货物，制造商参与投标，再委托代理商参与投标的；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7.</w:t>
      </w:r>
      <w:r>
        <w:rPr>
          <w:rFonts w:hint="eastAsia" w:asciiTheme="minorEastAsia" w:hAnsiTheme="minorEastAsia" w:eastAsiaTheme="minorEastAsia" w:cstheme="minorEastAsia"/>
          <w:b w:val="0"/>
          <w:bCs/>
          <w:color w:val="auto"/>
          <w:sz w:val="24"/>
          <w:szCs w:val="24"/>
        </w:rPr>
        <w:t>电子文件出现多个投标方案或投标报价的；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8.</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的交货期（或：实施时间）、质量保证期及投标有效期不满足</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要求的；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9.</w:t>
      </w:r>
      <w:r>
        <w:rPr>
          <w:rFonts w:hint="eastAsia" w:asciiTheme="minorEastAsia" w:hAnsiTheme="minorEastAsia" w:eastAsiaTheme="minorEastAsia" w:cstheme="minorEastAsia"/>
          <w:b w:val="0"/>
          <w:bCs/>
          <w:color w:val="auto"/>
          <w:sz w:val="24"/>
          <w:szCs w:val="24"/>
        </w:rPr>
        <w:t>产品不符合必须强制执行的国家标准的；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10.</w:t>
      </w:r>
      <w:r>
        <w:rPr>
          <w:rFonts w:hint="eastAsia" w:asciiTheme="minorEastAsia" w:hAnsiTheme="minorEastAsia" w:eastAsiaTheme="minorEastAsia" w:cstheme="minorEastAsia"/>
          <w:b w:val="0"/>
          <w:bCs/>
          <w:color w:val="auto"/>
          <w:sz w:val="24"/>
          <w:szCs w:val="24"/>
        </w:rPr>
        <w:t>单位负责人为同一人或者存在直接控股、管理关系的不同供应商，不得参加同一合同项下的政府采购活动，上述</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的投标均无效；</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11.</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的投标报价超出</w:t>
      </w:r>
      <w:r>
        <w:rPr>
          <w:rFonts w:hint="eastAsia" w:asciiTheme="minorEastAsia" w:hAnsiTheme="minorEastAsia" w:eastAsiaTheme="minorEastAsia" w:cstheme="minorEastAsia"/>
          <w:b w:val="0"/>
          <w:bCs/>
          <w:color w:val="auto"/>
          <w:sz w:val="24"/>
          <w:szCs w:val="24"/>
          <w:lang w:eastAsia="zh-CN"/>
        </w:rPr>
        <w:t>征集人</w:t>
      </w:r>
      <w:r>
        <w:rPr>
          <w:rFonts w:hint="eastAsia" w:asciiTheme="minorEastAsia" w:hAnsiTheme="minorEastAsia" w:eastAsiaTheme="minorEastAsia" w:cstheme="minorEastAsia"/>
          <w:b w:val="0"/>
          <w:bCs/>
          <w:color w:val="auto"/>
          <w:sz w:val="24"/>
          <w:szCs w:val="24"/>
        </w:rPr>
        <w:t>采购预算，</w:t>
      </w:r>
      <w:r>
        <w:rPr>
          <w:rFonts w:hint="eastAsia" w:asciiTheme="minorEastAsia" w:hAnsiTheme="minorEastAsia" w:eastAsiaTheme="minorEastAsia" w:cstheme="minorEastAsia"/>
          <w:b w:val="0"/>
          <w:bCs/>
          <w:color w:val="auto"/>
          <w:sz w:val="24"/>
          <w:szCs w:val="24"/>
          <w:lang w:eastAsia="zh-CN"/>
        </w:rPr>
        <w:t>征集人</w:t>
      </w:r>
      <w:r>
        <w:rPr>
          <w:rFonts w:hint="eastAsia" w:asciiTheme="minorEastAsia" w:hAnsiTheme="minorEastAsia" w:eastAsiaTheme="minorEastAsia" w:cstheme="minorEastAsia"/>
          <w:b w:val="0"/>
          <w:bCs/>
          <w:color w:val="auto"/>
          <w:sz w:val="24"/>
          <w:szCs w:val="24"/>
        </w:rPr>
        <w:t>不能支付的；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10.</w:t>
      </w:r>
      <w:r>
        <w:rPr>
          <w:rFonts w:hint="eastAsia" w:asciiTheme="minorEastAsia" w:hAnsiTheme="minorEastAsia" w:eastAsiaTheme="minorEastAsia" w:cstheme="minorEastAsia"/>
          <w:b w:val="0"/>
          <w:bCs/>
          <w:color w:val="auto"/>
          <w:sz w:val="24"/>
          <w:szCs w:val="24"/>
        </w:rPr>
        <w:t>不符合法律、法规和</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中规定的其他实质性要求的。</w:t>
      </w:r>
    </w:p>
    <w:p>
      <w:pPr>
        <w:keepNext w:val="0"/>
        <w:keepLines w:val="0"/>
        <w:pageBreakBefore w:val="0"/>
        <w:widowControl w:val="0"/>
        <w:kinsoku/>
        <w:wordWrap/>
        <w:overflowPunct/>
        <w:topLinePunct w:val="0"/>
        <w:autoSpaceDE/>
        <w:autoSpaceDN/>
        <w:bidi w:val="0"/>
        <w:adjustRightInd/>
        <w:spacing w:line="42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（二）</w:t>
      </w:r>
      <w:r>
        <w:rPr>
          <w:rFonts w:hint="eastAsia" w:asciiTheme="minorEastAsia" w:hAnsiTheme="minorEastAsia" w:eastAsiaTheme="minorEastAsia" w:cstheme="minorEastAsia"/>
          <w:b/>
          <w:bCs w:val="0"/>
          <w:color w:val="auto"/>
          <w:sz w:val="24"/>
          <w:szCs w:val="24"/>
        </w:rPr>
        <w:t>有下列情形之一的，视为</w:t>
      </w:r>
      <w:r>
        <w:rPr>
          <w:rFonts w:hint="eastAsia" w:asciiTheme="minorEastAsia" w:hAnsiTheme="minorEastAsia" w:eastAsiaTheme="minorEastAsia" w:cstheme="minorEastAsia"/>
          <w:b/>
          <w:bCs w:val="0"/>
          <w:color w:val="auto"/>
          <w:sz w:val="24"/>
          <w:szCs w:val="24"/>
          <w:lang w:eastAsia="zh-CN"/>
        </w:rPr>
        <w:t>供应商</w:t>
      </w:r>
      <w:r>
        <w:rPr>
          <w:rFonts w:hint="eastAsia" w:asciiTheme="minorEastAsia" w:hAnsiTheme="minorEastAsia" w:eastAsiaTheme="minorEastAsia" w:cstheme="minorEastAsia"/>
          <w:b/>
          <w:bCs w:val="0"/>
          <w:color w:val="auto"/>
          <w:sz w:val="24"/>
          <w:szCs w:val="24"/>
        </w:rPr>
        <w:t>串通投标，其投标无效：</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不同</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由同一单位或者个人编制；</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rPr>
        <w:t>不同</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委托同一单位或者个人办理投标事宜；</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3.不同供应商的征集响应文件载明的项目管理成员或者联系人员为同一人；</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4.不同供应商的征集响应文件异常一致或者投标报价呈规律性差异；</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5.不同供应商的征集响应文件相互混装；</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6.不同供应商在同一IP上传投标文件；</w:t>
      </w:r>
    </w:p>
    <w:p>
      <w:pPr>
        <w:pStyle w:val="32"/>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outlineLvl w:val="9"/>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val="en-US" w:eastAsia="zh-CN"/>
        </w:rPr>
        <w:t>（三）</w:t>
      </w:r>
      <w:r>
        <w:rPr>
          <w:rFonts w:hint="eastAsia" w:asciiTheme="minorEastAsia" w:hAnsiTheme="minorEastAsia" w:eastAsiaTheme="minorEastAsia" w:cstheme="minorEastAsia"/>
          <w:b/>
          <w:bCs w:val="0"/>
          <w:color w:val="auto"/>
          <w:sz w:val="24"/>
          <w:szCs w:val="24"/>
          <w:lang w:eastAsia="zh-CN"/>
        </w:rPr>
        <w:t>入围供应商有下列情形之一，尚未签订框架协议的，取消其入围资格；已经签订框架协议的，解除与其签订的框架协议：</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lang w:eastAsia="zh-CN"/>
        </w:rPr>
        <w:t>恶意串通谋取入围或者合同成交的；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lang w:eastAsia="zh-CN"/>
        </w:rPr>
        <w:t>提供虚假材料谋取入围或者合同成交的；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eastAsia="zh-CN"/>
        </w:rPr>
        <w:t>无正当理由拒不接受合同授予的；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lang w:eastAsia="zh-CN"/>
        </w:rPr>
        <w:t>不履行合同义务或者履行合同义务不符合约定，经征集人请求履行后仍不履行或者仍未按约定履行的；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lang w:eastAsia="zh-CN"/>
        </w:rPr>
        <w:t>框架协议有效期内，因违法行为被禁止或限制参加政府采购活动的；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lang w:eastAsia="zh-CN"/>
        </w:rPr>
        <w:t>框架协议约定的其他情形。</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被取消入围资格或者被解除框架协议的供应商不得参加同一封闭式框架协议补充征集，或者重新申请加入同一开放式框架协议。</w:t>
      </w:r>
    </w:p>
    <w:p>
      <w:pPr>
        <w:pStyle w:val="5"/>
        <w:keepNext w:val="0"/>
        <w:keepLines w:val="0"/>
        <w:pageBreakBefore w:val="0"/>
        <w:widowControl w:val="0"/>
        <w:numPr>
          <w:ilvl w:val="1"/>
          <w:numId w:val="0"/>
        </w:numPr>
        <w:kinsoku/>
        <w:wordWrap/>
        <w:overflowPunct/>
        <w:topLinePunct w:val="0"/>
        <w:autoSpaceDE/>
        <w:autoSpaceDN/>
        <w:bidi w:val="0"/>
        <w:adjustRightInd w:val="0"/>
        <w:snapToGrid/>
        <w:spacing w:before="0" w:after="0" w:line="420" w:lineRule="exact"/>
        <w:ind w:right="0" w:rightChars="0" w:firstLine="480" w:firstLineChars="200"/>
        <w:jc w:val="both"/>
        <w:textAlignment w:val="baseline"/>
        <w:outlineLvl w:val="1"/>
        <w:rPr>
          <w:rFonts w:hint="eastAsia" w:asciiTheme="minorEastAsia" w:hAnsiTheme="minorEastAsia" w:eastAsiaTheme="minorEastAsia" w:cstheme="minorEastAsia"/>
          <w:b w:val="0"/>
          <w:bCs/>
          <w:color w:val="auto"/>
          <w:sz w:val="24"/>
          <w:szCs w:val="24"/>
        </w:rPr>
      </w:pPr>
      <w:bookmarkStart w:id="207" w:name="_Toc9223"/>
      <w:bookmarkStart w:id="208" w:name="_Toc20328"/>
      <w:bookmarkStart w:id="209" w:name="_Toc22341"/>
      <w:bookmarkStart w:id="210" w:name="_Toc705"/>
      <w:bookmarkStart w:id="211" w:name="_Toc1275"/>
      <w:r>
        <w:rPr>
          <w:rFonts w:hint="eastAsia" w:asciiTheme="minorEastAsia" w:hAnsiTheme="minorEastAsia" w:eastAsiaTheme="minorEastAsia" w:cstheme="minorEastAsia"/>
          <w:b w:val="0"/>
          <w:bCs/>
          <w:color w:val="auto"/>
          <w:sz w:val="24"/>
          <w:szCs w:val="24"/>
          <w:lang w:val="en-US" w:eastAsia="zh-CN"/>
        </w:rPr>
        <w:t>六、</w:t>
      </w:r>
      <w:r>
        <w:rPr>
          <w:rFonts w:hint="eastAsia" w:asciiTheme="minorEastAsia" w:hAnsiTheme="minorEastAsia" w:eastAsiaTheme="minorEastAsia" w:cstheme="minorEastAsia"/>
          <w:b w:val="0"/>
          <w:bCs/>
          <w:color w:val="auto"/>
          <w:sz w:val="24"/>
          <w:szCs w:val="24"/>
        </w:rPr>
        <w:t>评标方法</w:t>
      </w:r>
      <w:bookmarkEnd w:id="207"/>
      <w:bookmarkEnd w:id="208"/>
      <w:bookmarkEnd w:id="209"/>
      <w:bookmarkEnd w:id="210"/>
      <w:bookmarkEnd w:id="211"/>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left"/>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根据中华人民共和国财政部令第 110 号《政府采购框架协议采购方式管理暂行办法》，确定第一阶段入围供应商的评审方法为质量优先法，确定第二阶段成交供应商的方式为</w:t>
      </w:r>
      <w:r>
        <w:rPr>
          <w:rFonts w:hint="eastAsia" w:asciiTheme="minorEastAsia" w:hAnsiTheme="minorEastAsia" w:eastAsiaTheme="minorEastAsia" w:cstheme="minorEastAsia"/>
          <w:color w:val="auto"/>
          <w:spacing w:val="0"/>
          <w:sz w:val="24"/>
          <w:szCs w:val="24"/>
          <w:lang w:eastAsia="zh-CN"/>
        </w:rPr>
        <w:t>直接选定</w:t>
      </w:r>
      <w:r>
        <w:rPr>
          <w:rFonts w:hint="eastAsia" w:asciiTheme="minorEastAsia" w:hAnsiTheme="minorEastAsia" w:eastAsiaTheme="minorEastAsia" w:cstheme="minorEastAsia"/>
          <w:color w:val="auto"/>
          <w:spacing w:val="0"/>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 xml:space="preserve">质量优先法是指对满足采购需求且响应报价不超过最高限制单价的货物、服务进行质量综合评分，按照质量评分从高到低排序，根据征集文件规定的淘汰率或者入围供应商数量上限，确定入围供应商的评审方法。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left"/>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lang w:eastAsia="zh-CN"/>
        </w:rPr>
        <w:t>直接选定</w:t>
      </w:r>
      <w:r>
        <w:rPr>
          <w:rFonts w:hint="eastAsia" w:asciiTheme="minorEastAsia" w:hAnsiTheme="minorEastAsia" w:eastAsiaTheme="minorEastAsia" w:cstheme="minorEastAsia"/>
          <w:color w:val="auto"/>
          <w:spacing w:val="0"/>
          <w:sz w:val="24"/>
          <w:szCs w:val="24"/>
        </w:rPr>
        <w:t>是指确定第二阶段成交供应商应当由</w:t>
      </w:r>
      <w:r>
        <w:rPr>
          <w:rFonts w:hint="eastAsia" w:asciiTheme="minorEastAsia" w:hAnsiTheme="minorEastAsia" w:eastAsiaTheme="minorEastAsia" w:cstheme="minorEastAsia"/>
          <w:color w:val="auto"/>
          <w:spacing w:val="0"/>
          <w:sz w:val="24"/>
          <w:szCs w:val="24"/>
          <w:lang w:eastAsia="zh-CN"/>
        </w:rPr>
        <w:t>征集人</w:t>
      </w:r>
      <w:r>
        <w:rPr>
          <w:rFonts w:hint="eastAsia" w:asciiTheme="minorEastAsia" w:hAnsiTheme="minorEastAsia" w:eastAsiaTheme="minorEastAsia" w:cstheme="minorEastAsia"/>
          <w:color w:val="auto"/>
          <w:spacing w:val="0"/>
          <w:sz w:val="24"/>
          <w:szCs w:val="24"/>
        </w:rPr>
        <w:t>或者服务对象依据入围服务便利性、用户评价等因素，从第一阶段入围供应商中</w:t>
      </w:r>
      <w:r>
        <w:rPr>
          <w:rFonts w:hint="eastAsia" w:asciiTheme="minorEastAsia" w:hAnsiTheme="minorEastAsia" w:eastAsiaTheme="minorEastAsia" w:cstheme="minorEastAsia"/>
          <w:color w:val="auto"/>
          <w:spacing w:val="0"/>
          <w:sz w:val="24"/>
          <w:szCs w:val="24"/>
          <w:lang w:eastAsia="zh-CN"/>
        </w:rPr>
        <w:t>直接选定</w:t>
      </w:r>
      <w:r>
        <w:rPr>
          <w:rFonts w:hint="eastAsia" w:asciiTheme="minorEastAsia" w:hAnsiTheme="minorEastAsia" w:eastAsiaTheme="minorEastAsia" w:cstheme="minorEastAsia"/>
          <w:color w:val="auto"/>
          <w:spacing w:val="0"/>
          <w:sz w:val="24"/>
          <w:szCs w:val="24"/>
        </w:rPr>
        <w:t>。</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法律、法规、规章和省级以上财政部门涉及政府采购政策功能及其他规定，见征集文件前附表。评委会应根据征集文件</w:t>
      </w:r>
      <w:r>
        <w:rPr>
          <w:rFonts w:hint="eastAsia" w:asciiTheme="minorEastAsia" w:hAnsiTheme="minorEastAsia" w:eastAsiaTheme="minorEastAsia" w:cstheme="minorEastAsia"/>
          <w:color w:val="auto"/>
          <w:spacing w:val="0"/>
          <w:sz w:val="24"/>
          <w:szCs w:val="24"/>
          <w:lang w:val="en-US" w:eastAsia="zh-CN"/>
        </w:rPr>
        <w:t>及</w:t>
      </w:r>
      <w:r>
        <w:rPr>
          <w:rFonts w:hint="eastAsia" w:asciiTheme="minorEastAsia" w:hAnsiTheme="minorEastAsia" w:eastAsiaTheme="minorEastAsia" w:cstheme="minorEastAsia"/>
          <w:color w:val="auto"/>
          <w:spacing w:val="0"/>
          <w:sz w:val="24"/>
          <w:szCs w:val="24"/>
        </w:rPr>
        <w:t>《政府采购促进中小企业发展管理办法》（财库[2020]46 号）、《财政部司法部关于政府采购支持监狱企业发展有关问题的通知》（财库〔2014〕68 号）和《财政部</w:t>
      </w:r>
      <w:r>
        <w:rPr>
          <w:rFonts w:hint="eastAsia" w:asciiTheme="minorEastAsia" w:hAnsiTheme="minorEastAsia" w:eastAsiaTheme="minorEastAsia" w:cstheme="minorEastAsia"/>
          <w:color w:val="auto"/>
          <w:spacing w:val="0"/>
          <w:sz w:val="24"/>
          <w:szCs w:val="24"/>
          <w:lang w:val="en-US" w:eastAsia="zh-CN"/>
        </w:rPr>
        <w:t xml:space="preserve"> </w:t>
      </w:r>
      <w:r>
        <w:rPr>
          <w:rFonts w:hint="eastAsia" w:asciiTheme="minorEastAsia" w:hAnsiTheme="minorEastAsia" w:eastAsiaTheme="minorEastAsia" w:cstheme="minorEastAsia"/>
          <w:color w:val="auto"/>
          <w:spacing w:val="0"/>
          <w:sz w:val="24"/>
          <w:szCs w:val="24"/>
        </w:rPr>
        <w:t>民政部 中国残疾人联合会关于促进残疾人就业政府采购政策的通知》（财库〔2017〕141号）的规定，对满足价格扣除条件且在</w:t>
      </w:r>
      <w:r>
        <w:rPr>
          <w:rFonts w:hint="eastAsia" w:asciiTheme="minorEastAsia" w:hAnsiTheme="minorEastAsia" w:eastAsiaTheme="minorEastAsia" w:cstheme="minorEastAsia"/>
          <w:color w:val="auto"/>
          <w:spacing w:val="0"/>
          <w:sz w:val="24"/>
          <w:szCs w:val="24"/>
          <w:lang w:eastAsia="zh-CN"/>
        </w:rPr>
        <w:t>征集响应文件</w:t>
      </w:r>
      <w:r>
        <w:rPr>
          <w:rFonts w:hint="eastAsia" w:asciiTheme="minorEastAsia" w:hAnsiTheme="minorEastAsia" w:eastAsiaTheme="minorEastAsia" w:cstheme="minorEastAsia"/>
          <w:color w:val="auto"/>
          <w:spacing w:val="0"/>
          <w:sz w:val="24"/>
          <w:szCs w:val="24"/>
        </w:rPr>
        <w:t xml:space="preserve">中提交了《中小企业声明函》或省级以上监狱管理局、戒毒管理局（含新疆生产建设兵团）出具的属于监狱企业的证明文 件或《残疾人福利性单位声明函》的投标供应商，其投标报价扣除10%后参与评审。 对符合以上要求的供应商本项目价格给予 </w:t>
      </w:r>
      <w:r>
        <w:rPr>
          <w:rFonts w:hint="eastAsia" w:asciiTheme="minorEastAsia" w:hAnsiTheme="minorEastAsia" w:eastAsiaTheme="minorEastAsia" w:cstheme="minorEastAsia"/>
          <w:color w:val="auto"/>
          <w:spacing w:val="0"/>
          <w:sz w:val="24"/>
          <w:szCs w:val="24"/>
          <w:lang w:val="en-US" w:eastAsia="zh-CN"/>
        </w:rPr>
        <w:t>10</w:t>
      </w:r>
      <w:r>
        <w:rPr>
          <w:rFonts w:hint="eastAsia" w:asciiTheme="minorEastAsia" w:hAnsiTheme="minorEastAsia" w:eastAsiaTheme="minorEastAsia" w:cstheme="minorEastAsia"/>
          <w:color w:val="auto"/>
          <w:spacing w:val="0"/>
          <w:sz w:val="24"/>
          <w:szCs w:val="24"/>
        </w:rPr>
        <w:t>%的扣除后参与评审。残疾人福利性单位</w:t>
      </w:r>
      <w:r>
        <w:rPr>
          <w:rFonts w:hint="eastAsia" w:asciiTheme="minorEastAsia" w:hAnsiTheme="minorEastAsia" w:eastAsiaTheme="minorEastAsia" w:cstheme="minorEastAsia"/>
          <w:color w:val="auto"/>
          <w:spacing w:val="0"/>
          <w:sz w:val="24"/>
          <w:szCs w:val="24"/>
          <w:lang w:val="en-US" w:eastAsia="zh-CN"/>
        </w:rPr>
        <w:t>视为</w:t>
      </w:r>
      <w:r>
        <w:rPr>
          <w:rFonts w:hint="eastAsia" w:asciiTheme="minorEastAsia" w:hAnsiTheme="minorEastAsia" w:eastAsiaTheme="minorEastAsia" w:cstheme="minorEastAsia"/>
          <w:color w:val="auto"/>
          <w:spacing w:val="0"/>
          <w:sz w:val="24"/>
          <w:szCs w:val="24"/>
        </w:rPr>
        <w:t>小型、微型企业的，不重复享受政策。不符合以上规定的价格不予扣除，其投标报价即为评标价。</w:t>
      </w:r>
    </w:p>
    <w:tbl>
      <w:tblPr>
        <w:tblStyle w:val="39"/>
        <w:tblpPr w:leftFromText="180" w:rightFromText="180" w:vertAnchor="text" w:horzAnchor="page" w:tblpX="1175" w:tblpY="400"/>
        <w:tblOverlap w:val="never"/>
        <w:tblW w:w="10040" w:type="dxa"/>
        <w:tblInd w:w="0" w:type="dxa"/>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77"/>
        <w:gridCol w:w="1153"/>
        <w:gridCol w:w="1170"/>
        <w:gridCol w:w="7140"/>
      </w:tblGrid>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序号</w:t>
            </w:r>
          </w:p>
        </w:tc>
        <w:tc>
          <w:tcPr>
            <w:tcW w:w="115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类别</w:t>
            </w: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评分因素</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评分标准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153"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价格分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(30分)</w:t>
            </w: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投标报价得分计算</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完全响应招标文件要求的报价定为优惠报价，以最高优惠率为基准</w:t>
            </w:r>
            <w:r>
              <w:rPr>
                <w:rFonts w:hint="eastAsia" w:asciiTheme="minorEastAsia" w:hAnsiTheme="minorEastAsia" w:eastAsiaTheme="minorEastAsia" w:cstheme="minorEastAsia"/>
                <w:color w:val="auto"/>
                <w:sz w:val="24"/>
                <w:szCs w:val="24"/>
                <w:lang w:val="en-US" w:eastAsia="zh-CN"/>
              </w:rPr>
              <w:t>价</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对满足招标文件要求的供应商，以最高优惠率为基准价。即最高优惠率为满分。其他供应商的价格分统一按照下列公式计算：报价得分=30×（投标报价/评审基准价）；四舍五入，小数点后保留两位。</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7" w:hRule="atLeast"/>
        </w:trPr>
        <w:tc>
          <w:tcPr>
            <w:tcW w:w="577"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153"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技术分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CN"/>
              </w:rPr>
              <w:t>（27分）</w:t>
            </w:r>
          </w:p>
        </w:tc>
        <w:tc>
          <w:tcPr>
            <w:tcW w:w="1170"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性能</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分）</w:t>
            </w:r>
          </w:p>
        </w:tc>
        <w:tc>
          <w:tcPr>
            <w:tcW w:w="7140" w:type="dxa"/>
            <w:tcBorders>
              <w:right w:val="single" w:color="auto" w:sz="4" w:space="0"/>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主动安全系统（如前碰预警、车道保持、自行适应巡航等主动安全系统），每增加一种配置得2分，最高得10分。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7" w:hRule="atLeast"/>
        </w:trPr>
        <w:tc>
          <w:tcPr>
            <w:tcW w:w="577" w:type="dxa"/>
            <w:vMerge w:val="continue"/>
            <w:tcBorders>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1153" w:type="dxa"/>
            <w:vMerge w:val="continue"/>
            <w:tcBorders>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1170" w:type="dxa"/>
            <w:vMerge w:val="continue"/>
            <w:tcBorders>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7140" w:type="dxa"/>
            <w:tcBorders>
              <w:right w:val="single" w:color="auto" w:sz="4" w:space="0"/>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被动安全系统，（如安全气囊等被动安全系统），每增加一种配置得1分，最高得5分。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保修</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场地</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投标人在项目实施地设有自营的售后服务站设有维修场地、配件仓库、服务车或投标人委托维修服务机构（7分），未提供者得0分。</w:t>
            </w:r>
          </w:p>
          <w:p>
            <w:pPr>
              <w:pStyle w:val="9"/>
              <w:ind w:left="0" w:leftChars="0" w:firstLine="0" w:firstLineChars="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注：1、自营的售后服务站设有维修场地须提供售后服务机构相关证明材料彩色扫描件。</w:t>
            </w:r>
          </w:p>
          <w:p>
            <w:pPr>
              <w:pStyle w:val="9"/>
              <w:ind w:left="0" w:leftChars="0" w:firstLine="0" w:firstLineChars="0"/>
              <w:rPr>
                <w:rFonts w:hint="default"/>
                <w:sz w:val="24"/>
                <w:szCs w:val="24"/>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2、被委托维修服务机构所具有的汽车维修行业管理部门核发的《道路运输经营许可证》的汽车维修资质（彩色扫描件）、被委托维修服务机构的营</w:t>
            </w:r>
            <w:r>
              <w:rPr>
                <w:rFonts w:hint="eastAsia"/>
                <w:sz w:val="24"/>
                <w:szCs w:val="24"/>
                <w:lang w:val="en-US" w:eastAsia="zh-CN"/>
              </w:rPr>
              <w:t>业执照（彩色扫描件、委托协议书或委托合同（彩色扫描件）。</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有本项目专门机构及相关服务人员得1分，无得0分；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有计算机管理系统和客户服务系统得1分，无得0分；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能满足采购人的管理要求得1分，不能得0分。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有可行的服务保障措施得1分，无得0分。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特殊情况有应急预案并可行得1分，无得0分。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153"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商务分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（43分）</w:t>
            </w: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经营</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场所</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提供产品展示场所使用权证明文件或租赁合同：面积150-200平方米（含）的得10分；200-300平方米以内得12分。301平方米以上的得15分。（该项须提供场所彩色照片、门头照片及使用权证明文件或租赁合同，不提供的，此项得0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240" w:firstLineChars="1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业绩</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每提供一个机关事业单位公务用车供应业绩加1分，满分6分。（提供业绩合同协议书或中标通知书复印件）</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环保</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政策</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投标产品符合优先采购环境标志产品政策情形的，附所投优先采购环境标志产品认证证书复印件，每种产品得1分，最高4分。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服务承诺</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交货时间保证在采购人提出需求之日起7天之内的，得2分。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新车交货时油箱内燃油可维持正常行驶不少于50公里，得1分。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交货时提供交车前（PDI）检查表复印件，得1分。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车辆清洁、附件（参考前面所述，随车工具，技术文件，备胎等）齐全，得1分。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车辆维修时间和质量按交通部20号令和国家相关规定执行，得2分。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四年或10万公里以内 （含四年，10万公里）得1分，大于以上承诺，得3分。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质保期内所购车辆如出现质量问题，致使车辆需进厂维修时间三天以上，供应商提供与所购车辆同型号的替换车辆，得2分。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有明显的制造和设计缺陷，涉及动力总成及安全性故障的，无法通过2次正常维修解决的，可予以更换相应的总成，若更换总成2次仍无法解决的可予以更换整车，得3分。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其他服务承诺</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投标人自行填写，每一条合理有效承诺得1分，最高3分。 </w:t>
            </w:r>
          </w:p>
        </w:tc>
      </w:tr>
    </w:tbl>
    <w:p>
      <w:pPr>
        <w:pStyle w:val="21"/>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lang w:val="en-US" w:eastAsia="zh-CN"/>
        </w:rPr>
        <w:t>具体评分权重如下：</w:t>
      </w:r>
    </w:p>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ind w:left="0" w:right="0" w:firstLine="482" w:firstLineChars="200"/>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lang w:val="en-US" w:eastAsia="zh-CN"/>
        </w:rPr>
        <w:t>注：</w:t>
      </w:r>
      <w:r>
        <w:rPr>
          <w:rFonts w:hint="eastAsia" w:asciiTheme="minorEastAsia" w:hAnsiTheme="minorEastAsia" w:eastAsiaTheme="minorEastAsia" w:cstheme="minorEastAsia"/>
          <w:b/>
          <w:bCs/>
          <w:i w:val="0"/>
          <w:iCs w:val="0"/>
          <w:caps w:val="0"/>
          <w:color w:val="auto"/>
          <w:spacing w:val="0"/>
          <w:sz w:val="24"/>
          <w:szCs w:val="24"/>
          <w:shd w:val="clear" w:fill="FFFFFF"/>
        </w:rPr>
        <w:t>依据《政府采购框架协议采购方式管理暂行办法》（财政部</w:t>
      </w:r>
      <w:r>
        <w:rPr>
          <w:rFonts w:hint="eastAsia" w:asciiTheme="minorEastAsia" w:hAnsiTheme="minorEastAsia" w:eastAsiaTheme="minorEastAsia" w:cstheme="minorEastAsia"/>
          <w:b/>
          <w:bCs/>
          <w:i w:val="0"/>
          <w:iCs w:val="0"/>
          <w:caps w:val="0"/>
          <w:color w:val="auto"/>
          <w:spacing w:val="0"/>
          <w:sz w:val="24"/>
          <w:szCs w:val="24"/>
          <w:shd w:val="clear" w:fill="FFFFFF"/>
          <w:lang w:val="en-US"/>
        </w:rPr>
        <w:t>110</w:t>
      </w:r>
      <w:r>
        <w:rPr>
          <w:rFonts w:hint="eastAsia" w:asciiTheme="minorEastAsia" w:hAnsiTheme="minorEastAsia" w:eastAsiaTheme="minorEastAsia" w:cstheme="minorEastAsia"/>
          <w:b/>
          <w:bCs/>
          <w:i w:val="0"/>
          <w:iCs w:val="0"/>
          <w:caps w:val="0"/>
          <w:color w:val="auto"/>
          <w:spacing w:val="0"/>
          <w:sz w:val="24"/>
          <w:szCs w:val="24"/>
          <w:shd w:val="clear" w:fill="FFFFFF"/>
        </w:rPr>
        <w:t>号令）要求，</w:t>
      </w:r>
      <w:r>
        <w:rPr>
          <w:rFonts w:hint="eastAsia" w:asciiTheme="minorEastAsia" w:hAnsiTheme="minorEastAsia" w:eastAsiaTheme="minorEastAsia" w:cstheme="minorEastAsia"/>
          <w:b/>
          <w:bCs/>
          <w:i w:val="0"/>
          <w:iCs w:val="0"/>
          <w:caps w:val="0"/>
          <w:color w:val="auto"/>
          <w:spacing w:val="0"/>
          <w:sz w:val="24"/>
          <w:szCs w:val="24"/>
          <w:shd w:val="clear" w:fill="FFFFFF"/>
          <w:lang w:val="en-US" w:eastAsia="zh-CN"/>
        </w:rPr>
        <w:t>本项目由评标委员会从征集响应供应商中根据其</w:t>
      </w:r>
      <w:r>
        <w:rPr>
          <w:rFonts w:hint="eastAsia" w:asciiTheme="minorEastAsia" w:hAnsiTheme="minorEastAsia" w:eastAsiaTheme="minorEastAsia" w:cstheme="minorEastAsia"/>
          <w:b/>
          <w:bCs/>
          <w:color w:val="auto"/>
          <w:spacing w:val="0"/>
          <w:sz w:val="24"/>
          <w:szCs w:val="24"/>
        </w:rPr>
        <w:t>得分由高到低的顺序</w:t>
      </w:r>
      <w:r>
        <w:rPr>
          <w:rFonts w:hint="eastAsia" w:asciiTheme="minorEastAsia" w:hAnsiTheme="minorEastAsia" w:eastAsiaTheme="minorEastAsia" w:cstheme="minorEastAsia"/>
          <w:b/>
          <w:bCs/>
          <w:color w:val="auto"/>
          <w:spacing w:val="0"/>
          <w:sz w:val="24"/>
          <w:szCs w:val="24"/>
          <w:lang w:eastAsia="zh-CN"/>
        </w:rPr>
        <w:t>，</w:t>
      </w:r>
      <w:r>
        <w:rPr>
          <w:rFonts w:hint="eastAsia" w:asciiTheme="minorEastAsia" w:hAnsiTheme="minorEastAsia" w:eastAsiaTheme="minorEastAsia" w:cstheme="minorEastAsia"/>
          <w:b/>
          <w:bCs/>
          <w:color w:val="auto"/>
          <w:spacing w:val="0"/>
          <w:sz w:val="24"/>
          <w:szCs w:val="24"/>
          <w:lang w:val="en-US" w:eastAsia="zh-CN"/>
        </w:rPr>
        <w:t>按照淘汰率不低于20%的原则确定入围供应商</w:t>
      </w:r>
      <w:r>
        <w:rPr>
          <w:rFonts w:hint="eastAsia" w:asciiTheme="minorEastAsia" w:hAnsiTheme="minorEastAsia" w:eastAsiaTheme="minorEastAsia" w:cstheme="minorEastAsia"/>
          <w:b/>
          <w:bCs/>
          <w:color w:val="auto"/>
          <w:sz w:val="24"/>
          <w:szCs w:val="24"/>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212" w:name="_Toc8355"/>
      <w:bookmarkStart w:id="213" w:name="_Toc21656"/>
      <w:r>
        <w:rPr>
          <w:rFonts w:hint="eastAsia" w:asciiTheme="minorEastAsia" w:hAnsiTheme="minorEastAsia" w:eastAsiaTheme="minorEastAsia" w:cstheme="minorEastAsia"/>
          <w:b w:val="0"/>
          <w:bCs/>
          <w:color w:val="auto"/>
          <w:sz w:val="24"/>
          <w:szCs w:val="24"/>
          <w:lang w:val="en-US" w:eastAsia="zh-CN"/>
        </w:rPr>
        <w:t>七、评标报告</w:t>
      </w:r>
      <w:bookmarkEnd w:id="212"/>
      <w:bookmarkEnd w:id="213"/>
      <w:r>
        <w:rPr>
          <w:rFonts w:hint="eastAsia" w:asciiTheme="minorEastAsia" w:hAnsiTheme="minorEastAsia" w:eastAsiaTheme="minorEastAsia" w:cstheme="minorEastAsia"/>
          <w:b w:val="0"/>
          <w:bCs/>
          <w:color w:val="auto"/>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51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pacing w:val="7"/>
          <w:sz w:val="24"/>
          <w:szCs w:val="24"/>
        </w:rPr>
        <w:t>（</w:t>
      </w:r>
      <w:r>
        <w:rPr>
          <w:rFonts w:hint="eastAsia" w:asciiTheme="minorEastAsia" w:hAnsiTheme="minorEastAsia" w:eastAsiaTheme="minorEastAsia" w:cstheme="minorEastAsia"/>
          <w:b/>
          <w:color w:val="auto"/>
          <w:spacing w:val="7"/>
          <w:sz w:val="24"/>
          <w:szCs w:val="24"/>
          <w:lang w:val="en-US" w:eastAsia="zh-CN"/>
        </w:rPr>
        <w:t>一</w:t>
      </w:r>
      <w:r>
        <w:rPr>
          <w:rFonts w:hint="eastAsia" w:asciiTheme="minorEastAsia" w:hAnsiTheme="minorEastAsia" w:eastAsiaTheme="minorEastAsia" w:cstheme="minorEastAsia"/>
          <w:b/>
          <w:color w:val="auto"/>
          <w:spacing w:val="7"/>
          <w:sz w:val="24"/>
          <w:szCs w:val="24"/>
        </w:rPr>
        <w:t xml:space="preserve">） </w:t>
      </w:r>
      <w:r>
        <w:rPr>
          <w:rFonts w:hint="eastAsia" w:asciiTheme="minorEastAsia" w:hAnsiTheme="minorEastAsia" w:eastAsiaTheme="minorEastAsia" w:cstheme="minorEastAsia"/>
          <w:color w:val="auto"/>
          <w:spacing w:val="4"/>
          <w:sz w:val="24"/>
          <w:szCs w:val="24"/>
        </w:rPr>
        <w:t>评标委员会根据全体评标成员签字的原始评标记录和评标结果编写评标报</w:t>
      </w:r>
      <w:r>
        <w:rPr>
          <w:rFonts w:hint="eastAsia" w:asciiTheme="minorEastAsia" w:hAnsiTheme="minorEastAsia" w:eastAsiaTheme="minorEastAsia" w:cstheme="minorEastAsia"/>
          <w:color w:val="auto"/>
          <w:sz w:val="24"/>
          <w:szCs w:val="24"/>
        </w:rPr>
        <w:t xml:space="preserve">告。评标报告应当包括以下内容：  </w:t>
      </w:r>
    </w:p>
    <w:p>
      <w:pPr>
        <w:pStyle w:val="2"/>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 xml:space="preserve">征集公告刊登的媒体名称、开标日期和地点；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76"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val="en-US" w:eastAsia="zh-CN"/>
        </w:rPr>
        <w:t>2.</w:t>
      </w:r>
      <w:r>
        <w:rPr>
          <w:rFonts w:hint="eastAsia" w:asciiTheme="minorEastAsia" w:hAnsiTheme="minorEastAsia" w:eastAsiaTheme="minorEastAsia" w:cstheme="minorEastAsia"/>
          <w:color w:val="auto"/>
          <w:sz w:val="24"/>
          <w:szCs w:val="24"/>
        </w:rPr>
        <w:t xml:space="preserve">入围供应商名单和评标委员会成员名单；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评标方法和标准；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开标记录和评标情况及说明，包括无效</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名单及原因；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确定的入围供应商名单或者经</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委托直接确定的入围供应商；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其他需要说明的情况，包括评标过程中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根据评标委员会要求进行的澄清、 说明或者补正，评标委员会成员的更换等。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46"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pacing w:val="-9"/>
          <w:sz w:val="24"/>
          <w:szCs w:val="24"/>
        </w:rPr>
        <w:t>（</w:t>
      </w:r>
      <w:r>
        <w:rPr>
          <w:rFonts w:hint="eastAsia" w:asciiTheme="minorEastAsia" w:hAnsiTheme="minorEastAsia" w:eastAsiaTheme="minorEastAsia" w:cstheme="minorEastAsia"/>
          <w:b/>
          <w:color w:val="auto"/>
          <w:spacing w:val="-9"/>
          <w:sz w:val="24"/>
          <w:szCs w:val="24"/>
          <w:lang w:val="en-US" w:eastAsia="zh-CN"/>
        </w:rPr>
        <w:t>二</w:t>
      </w:r>
      <w:r>
        <w:rPr>
          <w:rFonts w:hint="eastAsia" w:asciiTheme="minorEastAsia" w:hAnsiTheme="minorEastAsia" w:eastAsiaTheme="minorEastAsia" w:cstheme="minorEastAsia"/>
          <w:b/>
          <w:color w:val="auto"/>
          <w:spacing w:val="-9"/>
          <w:sz w:val="24"/>
          <w:szCs w:val="24"/>
        </w:rPr>
        <w:t>）</w:t>
      </w:r>
      <w:r>
        <w:rPr>
          <w:rFonts w:hint="eastAsia" w:asciiTheme="minorEastAsia" w:hAnsiTheme="minorEastAsia" w:eastAsiaTheme="minorEastAsia" w:cstheme="minorEastAsia"/>
          <w:color w:val="auto"/>
          <w:sz w:val="24"/>
          <w:szCs w:val="24"/>
        </w:rPr>
        <w:t>评标报告由评委会全体成员签字。评标委员会成员对需要共同认定的事项存在争议的，应当按照少数服从多数的原则做出结论。持不同意见的评标委员会成员应当 在评标报告上签署不同意见及理由，否则视为同意评标报告。评标报告签署前，经复核</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z w:val="24"/>
          <w:szCs w:val="24"/>
        </w:rPr>
        <w:t xml:space="preserve">发现存在以下情形之一的，评标委员会应当当场修改评标结果，并在评标报告中记载：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 xml:space="preserve">分值汇总计算错误的；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分项评分超出评分标准范围的；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评标委员会成员对客观评审因素评分不一致的；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经评标委员会认定评分畸高、畸低。</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outlineLvl w:val="1"/>
        <w:rPr>
          <w:rFonts w:hint="eastAsia" w:asciiTheme="minorEastAsia" w:hAnsiTheme="minorEastAsia" w:eastAsiaTheme="minorEastAsia" w:cstheme="minorEastAsia"/>
          <w:b w:val="0"/>
          <w:bCs/>
          <w:color w:val="auto"/>
          <w:sz w:val="24"/>
          <w:szCs w:val="24"/>
        </w:rPr>
      </w:pPr>
      <w:bookmarkStart w:id="214" w:name="_Toc23437"/>
      <w:bookmarkStart w:id="215" w:name="_Toc25095"/>
      <w:r>
        <w:rPr>
          <w:rFonts w:hint="eastAsia" w:asciiTheme="minorEastAsia" w:hAnsiTheme="minorEastAsia" w:eastAsiaTheme="minorEastAsia" w:cstheme="minorEastAsia"/>
          <w:b w:val="0"/>
          <w:bCs/>
          <w:color w:val="auto"/>
          <w:sz w:val="24"/>
          <w:szCs w:val="24"/>
          <w:lang w:val="en-US" w:eastAsia="zh-CN"/>
        </w:rPr>
        <w:t>八、</w:t>
      </w:r>
      <w:r>
        <w:rPr>
          <w:rFonts w:hint="eastAsia" w:asciiTheme="minorEastAsia" w:hAnsiTheme="minorEastAsia" w:eastAsiaTheme="minorEastAsia" w:cstheme="minorEastAsia"/>
          <w:b w:val="0"/>
          <w:bCs/>
          <w:color w:val="auto"/>
          <w:sz w:val="24"/>
          <w:szCs w:val="24"/>
        </w:rPr>
        <w:t>定标程序</w:t>
      </w:r>
      <w:bookmarkEnd w:id="214"/>
      <w:bookmarkEnd w:id="215"/>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依据《政府采购框架协议采购方式管理暂行办法》（财政部</w:t>
      </w:r>
      <w:r>
        <w:rPr>
          <w:rFonts w:hint="eastAsia" w:asciiTheme="minorEastAsia" w:hAnsiTheme="minorEastAsia" w:eastAsiaTheme="minorEastAsia" w:cstheme="minorEastAsia"/>
          <w:i w:val="0"/>
          <w:iCs w:val="0"/>
          <w:caps w:val="0"/>
          <w:color w:val="auto"/>
          <w:spacing w:val="0"/>
          <w:sz w:val="24"/>
          <w:szCs w:val="24"/>
          <w:shd w:val="clear" w:fill="FFFFFF"/>
          <w:lang w:val="en-US"/>
        </w:rPr>
        <w:t>110</w:t>
      </w:r>
      <w:r>
        <w:rPr>
          <w:rFonts w:hint="eastAsia" w:asciiTheme="minorEastAsia" w:hAnsiTheme="minorEastAsia" w:eastAsiaTheme="minorEastAsia" w:cstheme="minorEastAsia"/>
          <w:i w:val="0"/>
          <w:iCs w:val="0"/>
          <w:caps w:val="0"/>
          <w:color w:val="auto"/>
          <w:spacing w:val="0"/>
          <w:sz w:val="24"/>
          <w:szCs w:val="24"/>
          <w:shd w:val="clear" w:fill="FFFFFF"/>
        </w:rPr>
        <w:t>号令）要求，</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本项目由评标委员会从征集响应供应商中根据其</w:t>
      </w:r>
      <w:r>
        <w:rPr>
          <w:rFonts w:hint="eastAsia" w:asciiTheme="minorEastAsia" w:hAnsiTheme="minorEastAsia" w:eastAsiaTheme="minorEastAsia" w:cstheme="minorEastAsia"/>
          <w:b/>
          <w:bCs/>
          <w:color w:val="auto"/>
          <w:spacing w:val="0"/>
          <w:sz w:val="24"/>
          <w:szCs w:val="24"/>
        </w:rPr>
        <w:t>得分由高到低的顺序</w:t>
      </w:r>
      <w:r>
        <w:rPr>
          <w:rFonts w:hint="eastAsia" w:asciiTheme="minorEastAsia" w:hAnsiTheme="minorEastAsia" w:eastAsiaTheme="minorEastAsia" w:cstheme="minorEastAsia"/>
          <w:b/>
          <w:bCs/>
          <w:color w:val="auto"/>
          <w:spacing w:val="0"/>
          <w:sz w:val="24"/>
          <w:szCs w:val="24"/>
          <w:lang w:eastAsia="zh-CN"/>
        </w:rPr>
        <w:t>，</w:t>
      </w:r>
      <w:r>
        <w:rPr>
          <w:rFonts w:hint="eastAsia" w:asciiTheme="minorEastAsia" w:hAnsiTheme="minorEastAsia" w:eastAsiaTheme="minorEastAsia" w:cstheme="minorEastAsia"/>
          <w:b/>
          <w:bCs/>
          <w:color w:val="auto"/>
          <w:spacing w:val="0"/>
          <w:sz w:val="24"/>
          <w:szCs w:val="24"/>
          <w:lang w:val="en-US" w:eastAsia="zh-CN"/>
        </w:rPr>
        <w:t>按照淘汰率不低于20%的原则确定入围供应商</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集采机构在评标结束后2个工作日内将评标报告送</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应当自收到评标报告之日起５个工作日内，在评标报告确定的中标候选人名单中按顺序确定</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。中标候选人并列的，由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委托评标委员会按照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规定的方式确定</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未规定的，采取随机抽取的方式确定。</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sz w:val="24"/>
          <w:szCs w:val="24"/>
          <w:lang w:eastAsia="zh-CN"/>
        </w:rPr>
        <w:t>征集人</w:t>
      </w:r>
      <w:r>
        <w:rPr>
          <w:rFonts w:hint="eastAsia" w:asciiTheme="minorEastAsia" w:hAnsiTheme="minorEastAsia" w:eastAsiaTheme="minorEastAsia" w:cstheme="minorEastAsia"/>
          <w:b w:val="0"/>
          <w:bCs w:val="0"/>
          <w:color w:val="auto"/>
          <w:sz w:val="24"/>
          <w:szCs w:val="24"/>
        </w:rPr>
        <w:t>在收到评标报告5个工作日内未按评标报告推荐的中标候选人顺序确定</w:t>
      </w:r>
      <w:r>
        <w:rPr>
          <w:rFonts w:hint="eastAsia" w:asciiTheme="minorEastAsia" w:hAnsiTheme="minorEastAsia" w:eastAsiaTheme="minorEastAsia" w:cstheme="minorEastAsia"/>
          <w:b w:val="0"/>
          <w:bCs w:val="0"/>
          <w:color w:val="auto"/>
          <w:sz w:val="24"/>
          <w:szCs w:val="24"/>
          <w:lang w:eastAsia="zh-CN"/>
        </w:rPr>
        <w:t>入围供应商</w:t>
      </w:r>
      <w:r>
        <w:rPr>
          <w:rFonts w:hint="eastAsia" w:asciiTheme="minorEastAsia" w:hAnsiTheme="minorEastAsia" w:eastAsiaTheme="minorEastAsia" w:cstheme="minorEastAsia"/>
          <w:b w:val="0"/>
          <w:bCs w:val="0"/>
          <w:color w:val="auto"/>
          <w:sz w:val="24"/>
          <w:szCs w:val="24"/>
        </w:rPr>
        <w:t>，又不能说明合法理由的，视同按评标报告推荐的顺序确定的中标候选人为</w:t>
      </w:r>
      <w:r>
        <w:rPr>
          <w:rFonts w:hint="eastAsia" w:asciiTheme="minorEastAsia" w:hAnsiTheme="minorEastAsia" w:eastAsiaTheme="minorEastAsia" w:cstheme="minorEastAsia"/>
          <w:b w:val="0"/>
          <w:bCs w:val="0"/>
          <w:color w:val="auto"/>
          <w:sz w:val="24"/>
          <w:szCs w:val="24"/>
          <w:lang w:eastAsia="zh-CN"/>
        </w:rPr>
        <w:t>入围供应商</w:t>
      </w:r>
      <w:r>
        <w:rPr>
          <w:rFonts w:hint="eastAsia" w:asciiTheme="minorEastAsia" w:hAnsiTheme="minorEastAsia" w:eastAsiaTheme="minorEastAsia" w:cstheme="minorEastAsia"/>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根据确定的</w:t>
      </w:r>
      <w:r>
        <w:rPr>
          <w:rFonts w:hint="eastAsia" w:asciiTheme="minorEastAsia" w:hAnsiTheme="minorEastAsia" w:eastAsiaTheme="minorEastAsia" w:cstheme="minorEastAsia"/>
          <w:color w:val="auto"/>
          <w:sz w:val="24"/>
          <w:szCs w:val="24"/>
          <w:lang w:val="en-US" w:eastAsia="zh-CN"/>
        </w:rPr>
        <w:t>入围</w:t>
      </w:r>
      <w:r>
        <w:rPr>
          <w:rFonts w:hint="eastAsia" w:asciiTheme="minorEastAsia" w:hAnsiTheme="minorEastAsia" w:eastAsiaTheme="minorEastAsia" w:cstheme="minorEastAsia"/>
          <w:color w:val="auto"/>
          <w:sz w:val="24"/>
          <w:szCs w:val="24"/>
        </w:rPr>
        <w:t>供应商，集采机构在甘肃政府采购网、天水市公共资源交易中心网上发布中标公告</w:t>
      </w:r>
      <w:r>
        <w:rPr>
          <w:rFonts w:hint="eastAsia" w:asciiTheme="minorEastAsia" w:hAnsiTheme="minorEastAsia" w:eastAsiaTheme="minorEastAsia" w:cstheme="minorEastAsia"/>
          <w:color w:val="auto"/>
          <w:sz w:val="24"/>
          <w:szCs w:val="24"/>
          <w:lang w:val="en-US" w:eastAsia="zh-CN"/>
        </w:rPr>
        <w:t>及中标通知书</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采购单位不退回</w:t>
      </w:r>
      <w:r>
        <w:rPr>
          <w:rFonts w:hint="eastAsia" w:asciiTheme="minorEastAsia" w:hAnsiTheme="minorEastAsia" w:eastAsiaTheme="minorEastAsia" w:cstheme="minorEastAsia"/>
          <w:color w:val="auto"/>
          <w:sz w:val="24"/>
          <w:szCs w:val="24"/>
          <w:lang w:eastAsia="zh-CN"/>
        </w:rPr>
        <w:t>供应商征集响应文件</w:t>
      </w:r>
      <w:r>
        <w:rPr>
          <w:rFonts w:hint="eastAsia" w:asciiTheme="minorEastAsia" w:hAnsiTheme="minorEastAsia" w:eastAsiaTheme="minorEastAsia" w:cstheme="minorEastAsia"/>
          <w:color w:val="auto"/>
          <w:sz w:val="24"/>
          <w:szCs w:val="24"/>
        </w:rPr>
        <w:t>和其他投标资料</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216" w:name="_Toc405"/>
      <w:bookmarkStart w:id="217" w:name="_Toc23856"/>
      <w:r>
        <w:rPr>
          <w:rFonts w:hint="eastAsia" w:asciiTheme="minorEastAsia" w:hAnsiTheme="minorEastAsia" w:eastAsiaTheme="minorEastAsia" w:cstheme="minorEastAsia"/>
          <w:b w:val="0"/>
          <w:bCs/>
          <w:color w:val="auto"/>
          <w:sz w:val="24"/>
          <w:szCs w:val="24"/>
          <w:lang w:val="en-US" w:eastAsia="zh-CN"/>
        </w:rPr>
        <w:t>九、废标</w:t>
      </w:r>
      <w:bookmarkEnd w:id="216"/>
      <w:bookmarkEnd w:id="217"/>
      <w:r>
        <w:rPr>
          <w:rFonts w:hint="eastAsia" w:asciiTheme="minorEastAsia" w:hAnsiTheme="minorEastAsia" w:eastAsiaTheme="minorEastAsia" w:cstheme="minorEastAsia"/>
          <w:b w:val="0"/>
          <w:bCs/>
          <w:color w:val="auto"/>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在</w:t>
      </w:r>
      <w:r>
        <w:rPr>
          <w:rFonts w:hint="eastAsia" w:asciiTheme="minorEastAsia" w:hAnsiTheme="minorEastAsia" w:eastAsiaTheme="minorEastAsia" w:cstheme="minorEastAsia"/>
          <w:color w:val="auto"/>
          <w:sz w:val="24"/>
          <w:szCs w:val="24"/>
          <w:lang w:val="en-US" w:eastAsia="zh-CN"/>
        </w:rPr>
        <w:t>框架协议</w:t>
      </w:r>
      <w:r>
        <w:rPr>
          <w:rFonts w:hint="eastAsia" w:asciiTheme="minorEastAsia" w:hAnsiTheme="minorEastAsia" w:eastAsiaTheme="minorEastAsia" w:cstheme="minorEastAsia"/>
          <w:color w:val="auto"/>
          <w:sz w:val="24"/>
          <w:szCs w:val="24"/>
        </w:rPr>
        <w:t>采购中，出现下列情形之一的，应予废标：</w:t>
      </w:r>
      <w:r>
        <w:rPr>
          <w:rFonts w:hint="eastAsia" w:asciiTheme="minorEastAsia" w:hAnsiTheme="minorEastAsia" w:eastAsiaTheme="minorEastAsia" w:cstheme="minorEastAsia"/>
          <w:b/>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z w:val="24"/>
          <w:szCs w:val="24"/>
        </w:rPr>
        <w:t>①符合专业条件的供应商或者对</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作实质响应的供应商不足</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家的（经同级</w:t>
      </w:r>
      <w:r>
        <w:rPr>
          <w:rFonts w:hint="eastAsia" w:asciiTheme="minorEastAsia" w:hAnsiTheme="minorEastAsia" w:eastAsiaTheme="minorEastAsia" w:cstheme="minorEastAsia"/>
          <w:color w:val="auto"/>
          <w:spacing w:val="-8"/>
          <w:sz w:val="24"/>
          <w:szCs w:val="24"/>
        </w:rPr>
        <w:t>政府采购监管部门审核批准的除外）；</w:t>
      </w:r>
      <w:r>
        <w:rPr>
          <w:rFonts w:hint="eastAsia" w:asciiTheme="minorEastAsia" w:hAnsiTheme="minorEastAsia" w:eastAsiaTheme="minorEastAsia" w:cstheme="minorEastAsia"/>
          <w:b/>
          <w:color w:val="auto"/>
          <w:spacing w:val="-8"/>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②出现影响采购公正的违法、违规行为的；</w:t>
      </w:r>
      <w:r>
        <w:rPr>
          <w:rFonts w:hint="eastAsia" w:asciiTheme="minorEastAsia" w:hAnsiTheme="minorEastAsia" w:eastAsiaTheme="minorEastAsia" w:cstheme="minorEastAsia"/>
          <w:b/>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的报价均超过了采购预算，</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不能支付的；</w:t>
      </w:r>
      <w:r>
        <w:rPr>
          <w:rFonts w:hint="eastAsia" w:asciiTheme="minorEastAsia" w:hAnsiTheme="minorEastAsia" w:eastAsiaTheme="minorEastAsia" w:cstheme="minorEastAsia"/>
          <w:b/>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④因重大变故，采购任务取消的。废标后，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应当将废标理由通知所有采购当事人。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bCs/>
          <w:color w:val="auto"/>
          <w:sz w:val="44"/>
          <w:szCs w:val="44"/>
          <w:shd w:val="clear" w:color="auto" w:fill="auto"/>
        </w:rPr>
      </w:pPr>
      <w:bookmarkStart w:id="218" w:name="_Toc18064"/>
      <w:r>
        <w:rPr>
          <w:rFonts w:hint="eastAsia" w:asciiTheme="minorEastAsia" w:hAnsiTheme="minorEastAsia" w:eastAsiaTheme="minorEastAsia" w:cstheme="minorEastAsia"/>
          <w:b/>
          <w:bCs/>
          <w:color w:val="auto"/>
          <w:sz w:val="44"/>
          <w:szCs w:val="44"/>
          <w:shd w:val="clear" w:color="auto" w:fill="auto"/>
        </w:rPr>
        <w:t>第</w:t>
      </w:r>
      <w:r>
        <w:rPr>
          <w:rFonts w:hint="eastAsia" w:asciiTheme="minorEastAsia" w:hAnsiTheme="minorEastAsia" w:eastAsiaTheme="minorEastAsia" w:cstheme="minorEastAsia"/>
          <w:b/>
          <w:bCs/>
          <w:color w:val="auto"/>
          <w:sz w:val="44"/>
          <w:szCs w:val="44"/>
          <w:shd w:val="clear" w:color="auto" w:fill="auto"/>
          <w:lang w:val="en-US" w:eastAsia="zh-CN"/>
        </w:rPr>
        <w:t>六</w:t>
      </w:r>
      <w:r>
        <w:rPr>
          <w:rFonts w:hint="eastAsia" w:asciiTheme="minorEastAsia" w:hAnsiTheme="minorEastAsia" w:eastAsiaTheme="minorEastAsia" w:cstheme="minorEastAsia"/>
          <w:b/>
          <w:bCs/>
          <w:color w:val="auto"/>
          <w:sz w:val="44"/>
          <w:szCs w:val="44"/>
          <w:shd w:val="clear" w:color="auto" w:fill="auto"/>
        </w:rPr>
        <w:t>部分</w:t>
      </w:r>
      <w:r>
        <w:rPr>
          <w:rFonts w:hint="eastAsia" w:asciiTheme="minorEastAsia" w:hAnsiTheme="minorEastAsia" w:eastAsiaTheme="minorEastAsia" w:cstheme="minorEastAsia"/>
          <w:b/>
          <w:bCs/>
          <w:color w:val="auto"/>
          <w:sz w:val="44"/>
          <w:szCs w:val="44"/>
          <w:shd w:val="clear" w:color="auto" w:fill="auto"/>
          <w:lang w:val="en-US" w:eastAsia="zh-CN"/>
        </w:rPr>
        <w:t xml:space="preserve"> </w:t>
      </w:r>
      <w:r>
        <w:rPr>
          <w:rFonts w:hint="eastAsia" w:asciiTheme="minorEastAsia" w:hAnsiTheme="minorEastAsia" w:eastAsiaTheme="minorEastAsia" w:cstheme="minorEastAsia"/>
          <w:b/>
          <w:bCs/>
          <w:color w:val="auto"/>
          <w:sz w:val="44"/>
          <w:szCs w:val="44"/>
          <w:shd w:val="clear" w:color="auto" w:fill="auto"/>
        </w:rPr>
        <w:t>政府采购框架协议(范本)</w:t>
      </w:r>
      <w:bookmarkEnd w:id="218"/>
    </w:p>
    <w:p>
      <w:pPr>
        <w:jc w:val="center"/>
        <w:rPr>
          <w:rFonts w:hint="eastAsia" w:asciiTheme="minorEastAsia" w:hAnsiTheme="minorEastAsia" w:eastAsiaTheme="minorEastAsia" w:cstheme="minorEastAsia"/>
          <w:b/>
          <w:bCs/>
          <w:color w:val="auto"/>
          <w:sz w:val="56"/>
          <w:szCs w:val="5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rPr>
          <w:rFonts w:hint="eastAsia" w:asciiTheme="minorEastAsia" w:hAnsiTheme="minorEastAsia" w:eastAsiaTheme="minorEastAsia" w:cstheme="minorEastAsia"/>
          <w:b/>
          <w:bCs/>
          <w:color w:val="auto"/>
          <w:sz w:val="48"/>
          <w:szCs w:val="48"/>
          <w:lang w:eastAsia="zh-CN"/>
        </w:rPr>
      </w:pPr>
    </w:p>
    <w:p>
      <w:pPr>
        <w:pStyle w:val="2"/>
        <w:rPr>
          <w:rFonts w:hint="eastAsia"/>
          <w:lang w:eastAsia="zh-CN"/>
        </w:rPr>
      </w:pPr>
    </w:p>
    <w:p>
      <w:pPr>
        <w:jc w:val="center"/>
        <w:rPr>
          <w:rFonts w:hint="eastAsia" w:asciiTheme="minorEastAsia" w:hAnsiTheme="minorEastAsia" w:eastAsiaTheme="minorEastAsia" w:cstheme="minorEastAsia"/>
          <w:b/>
          <w:bCs/>
          <w:color w:val="auto"/>
          <w:sz w:val="44"/>
          <w:szCs w:val="44"/>
          <w:lang w:eastAsia="zh-CN"/>
        </w:rPr>
      </w:pPr>
      <w:r>
        <w:rPr>
          <w:rFonts w:hint="eastAsia" w:asciiTheme="minorEastAsia" w:hAnsiTheme="minorEastAsia" w:eastAsiaTheme="minorEastAsia" w:cstheme="minorEastAsia"/>
          <w:b/>
          <w:bCs/>
          <w:color w:val="auto"/>
          <w:sz w:val="44"/>
          <w:szCs w:val="44"/>
          <w:lang w:eastAsia="zh-CN"/>
        </w:rPr>
        <w:t>天水市行政事业单位2023-2024年度公务用车框架协议采购项目（</w:t>
      </w:r>
      <w:r>
        <w:rPr>
          <w:rFonts w:hint="eastAsia" w:asciiTheme="minorEastAsia" w:hAnsiTheme="minorEastAsia" w:eastAsiaTheme="minorEastAsia" w:cstheme="minorEastAsia"/>
          <w:b/>
          <w:bCs/>
          <w:color w:val="auto"/>
          <w:sz w:val="44"/>
          <w:szCs w:val="44"/>
          <w:lang w:val="en-US" w:eastAsia="zh-CN"/>
        </w:rPr>
        <w:t>样本</w:t>
      </w:r>
      <w:r>
        <w:rPr>
          <w:rFonts w:hint="eastAsia" w:asciiTheme="minorEastAsia" w:hAnsiTheme="minorEastAsia" w:eastAsiaTheme="minorEastAsia" w:cstheme="minorEastAsia"/>
          <w:b/>
          <w:bCs/>
          <w:color w:val="auto"/>
          <w:sz w:val="44"/>
          <w:szCs w:val="44"/>
          <w:lang w:eastAsia="zh-CN"/>
        </w:rPr>
        <w:t>）</w:t>
      </w: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52"/>
          <w:szCs w:val="52"/>
        </w:rPr>
      </w:pPr>
      <w:r>
        <w:rPr>
          <w:rFonts w:hint="eastAsia" w:asciiTheme="minorEastAsia" w:hAnsiTheme="minorEastAsia" w:eastAsiaTheme="minorEastAsia" w:cstheme="minorEastAsia"/>
          <w:b/>
          <w:bCs/>
          <w:color w:val="auto"/>
          <w:sz w:val="52"/>
          <w:szCs w:val="52"/>
        </w:rPr>
        <w:t>政府采购框架协议</w:t>
      </w:r>
    </w:p>
    <w:p>
      <w:pPr>
        <w:jc w:val="center"/>
        <w:rPr>
          <w:rFonts w:hint="eastAsia" w:asciiTheme="minorEastAsia" w:hAnsiTheme="minorEastAsia" w:eastAsiaTheme="minorEastAsia" w:cstheme="minorEastAsia"/>
          <w:color w:val="auto"/>
          <w:sz w:val="44"/>
          <w:szCs w:val="44"/>
        </w:rPr>
      </w:pPr>
    </w:p>
    <w:p>
      <w:pPr>
        <w:jc w:val="left"/>
        <w:rPr>
          <w:rFonts w:hint="eastAsia" w:asciiTheme="minorEastAsia" w:hAnsiTheme="minorEastAsia" w:eastAsiaTheme="minorEastAsia" w:cstheme="minorEastAsia"/>
          <w:b/>
          <w:bCs/>
          <w:color w:val="auto"/>
          <w:sz w:val="36"/>
          <w:szCs w:val="36"/>
          <w:lang w:eastAsia="zh-CN"/>
        </w:rPr>
      </w:pPr>
    </w:p>
    <w:p>
      <w:pPr>
        <w:pStyle w:val="5"/>
        <w:numPr>
          <w:ilvl w:val="1"/>
          <w:numId w:val="0"/>
        </w:numPr>
        <w:jc w:val="both"/>
        <w:rPr>
          <w:rFonts w:hint="eastAsia" w:asciiTheme="minorEastAsia" w:hAnsiTheme="minorEastAsia" w:eastAsiaTheme="minorEastAsia" w:cs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left"/>
        <w:textAlignment w:val="auto"/>
        <w:rPr>
          <w:rFonts w:hint="eastAsia" w:asciiTheme="minorEastAsia" w:hAnsiTheme="minorEastAsia" w:eastAsiaTheme="minorEastAsia" w:cstheme="minorEastAsia"/>
          <w:b w:val="0"/>
          <w:bCs w:val="0"/>
          <w:color w:val="auto"/>
          <w:sz w:val="32"/>
          <w:szCs w:val="32"/>
          <w:lang w:eastAsia="zh-CN"/>
        </w:rPr>
      </w:pPr>
      <w:r>
        <w:rPr>
          <w:rFonts w:hint="eastAsia" w:asciiTheme="minorEastAsia" w:hAnsiTheme="minorEastAsia" w:eastAsiaTheme="minorEastAsia" w:cstheme="minorEastAsia"/>
          <w:b w:val="0"/>
          <w:bCs w:val="0"/>
          <w:color w:val="auto"/>
          <w:sz w:val="32"/>
          <w:szCs w:val="32"/>
          <w:lang w:eastAsia="zh-CN"/>
        </w:rPr>
        <w:t>甲</w:t>
      </w: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color w:val="auto"/>
          <w:sz w:val="32"/>
          <w:szCs w:val="32"/>
          <w:lang w:eastAsia="zh-CN"/>
        </w:rPr>
        <w:t>方：</w:t>
      </w:r>
      <w:r>
        <w:rPr>
          <w:rFonts w:hint="eastAsia" w:asciiTheme="minorEastAsia" w:hAnsiTheme="minorEastAsia" w:eastAsiaTheme="minorEastAsia" w:cstheme="minorEastAsia"/>
          <w:b w:val="0"/>
          <w:bCs w:val="0"/>
          <w:color w:val="auto"/>
          <w:sz w:val="32"/>
          <w:szCs w:val="32"/>
          <w:lang w:val="en-US" w:eastAsia="zh-CN"/>
        </w:rPr>
        <w:t>天水市财政局</w:t>
      </w:r>
      <w:r>
        <w:rPr>
          <w:rFonts w:hint="eastAsia" w:asciiTheme="minorEastAsia" w:hAnsiTheme="minorEastAsia" w:eastAsiaTheme="minorEastAsia" w:cstheme="minorEastAsia"/>
          <w:b w:val="0"/>
          <w:bCs w:val="0"/>
          <w:i w:val="0"/>
          <w:i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left"/>
        <w:textAlignment w:val="auto"/>
        <w:rPr>
          <w:rFonts w:hint="eastAsia" w:asciiTheme="minorEastAsia" w:hAnsiTheme="minorEastAsia" w:eastAsiaTheme="minorEastAsia" w:cstheme="minorEastAsia"/>
          <w:b w:val="0"/>
          <w:bCs w:val="0"/>
          <w:color w:val="auto"/>
          <w:sz w:val="32"/>
          <w:szCs w:val="32"/>
          <w:lang w:eastAsia="zh-CN"/>
        </w:rPr>
      </w:pPr>
      <w:r>
        <w:rPr>
          <w:rFonts w:hint="eastAsia" w:asciiTheme="minorEastAsia" w:hAnsiTheme="minorEastAsia" w:eastAsiaTheme="minorEastAsia" w:cstheme="minorEastAsia"/>
          <w:b w:val="0"/>
          <w:bCs w:val="0"/>
          <w:color w:val="auto"/>
          <w:sz w:val="32"/>
          <w:szCs w:val="32"/>
          <w:lang w:eastAsia="zh-CN"/>
        </w:rPr>
        <w:t>乙</w:t>
      </w: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color w:val="auto"/>
          <w:sz w:val="32"/>
          <w:szCs w:val="32"/>
          <w:lang w:eastAsia="zh-CN"/>
        </w:rPr>
        <w:t>方：</w:t>
      </w:r>
      <w:r>
        <w:rPr>
          <w:rFonts w:hint="eastAsia" w:asciiTheme="minorEastAsia" w:hAnsiTheme="minorEastAsia" w:eastAsiaTheme="minorEastAsia" w:cstheme="minorEastAsia"/>
          <w:b w:val="0"/>
          <w:b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both"/>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集采机构：天水市公共资源交易中心</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b w:val="0"/>
          <w:bCs w:val="0"/>
          <w:color w:val="auto"/>
          <w:sz w:val="32"/>
          <w:szCs w:val="32"/>
          <w:lang w:eastAsia="zh-CN"/>
        </w:rPr>
        <w:t>签订日期：</w:t>
      </w:r>
      <w:r>
        <w:rPr>
          <w:rFonts w:hint="eastAsia" w:asciiTheme="minorEastAsia" w:hAnsiTheme="minorEastAsia" w:eastAsiaTheme="minorEastAsia" w:cstheme="minorEastAsia"/>
          <w:b w:val="0"/>
          <w:b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lang w:val="en-US" w:eastAsia="zh-CN"/>
        </w:rPr>
        <w:t>年</w:t>
      </w:r>
      <w:r>
        <w:rPr>
          <w:rFonts w:hint="eastAsia" w:asciiTheme="minorEastAsia" w:hAnsiTheme="minorEastAsia" w:eastAsiaTheme="minorEastAsia" w:cstheme="minorEastAsia"/>
          <w:b w:val="0"/>
          <w:b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lang w:val="en-US" w:eastAsia="zh-CN"/>
        </w:rPr>
        <w:t>月</w:t>
      </w:r>
      <w:r>
        <w:rPr>
          <w:rFonts w:hint="eastAsia" w:asciiTheme="minorEastAsia" w:hAnsiTheme="minorEastAsia" w:eastAsiaTheme="minorEastAsia" w:cstheme="minorEastAsia"/>
          <w:b w:val="0"/>
          <w:b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9"/>
        <w:rPr>
          <w:rFonts w:hint="eastAsia" w:asciiTheme="minorEastAsia" w:hAnsiTheme="minorEastAsia" w:eastAsiaTheme="minorEastAsia" w:cstheme="minorEastAsia"/>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9"/>
        <w:rPr>
          <w:rFonts w:hint="eastAsia" w:asciiTheme="minorEastAsia" w:hAnsiTheme="minorEastAsia" w:eastAsiaTheme="minorEastAsia" w:cstheme="minorEastAsia"/>
          <w:color w:val="auto"/>
          <w:sz w:val="32"/>
          <w:szCs w:val="32"/>
          <w:lang w:eastAsia="zh-CN"/>
        </w:rPr>
      </w:pPr>
    </w:p>
    <w:p>
      <w:pPr>
        <w:pStyle w:val="9"/>
        <w:rPr>
          <w:rFonts w:hint="eastAsia" w:asciiTheme="minorEastAsia" w:hAnsiTheme="minorEastAsia" w:eastAsiaTheme="minorEastAsia" w:cstheme="minorEastAsia"/>
          <w:color w:val="auto"/>
          <w:sz w:val="32"/>
          <w:szCs w:val="32"/>
          <w:lang w:eastAsia="zh-CN"/>
        </w:rPr>
      </w:pPr>
    </w:p>
    <w:p>
      <w:pPr>
        <w:pStyle w:val="9"/>
        <w:rPr>
          <w:rFonts w:hint="eastAsia" w:asciiTheme="minorEastAsia" w:hAnsiTheme="minorEastAsia" w:eastAsiaTheme="minorEastAsia" w:cstheme="minorEastAsia"/>
          <w:color w:val="auto"/>
          <w:sz w:val="32"/>
          <w:szCs w:val="32"/>
          <w:lang w:eastAsia="zh-CN"/>
        </w:rPr>
      </w:pPr>
    </w:p>
    <w:p>
      <w:pPr>
        <w:spacing w:line="360" w:lineRule="auto"/>
        <w:rPr>
          <w:rFonts w:hint="eastAsia" w:ascii="宋体" w:hAnsi="宋体" w:cs="Arial"/>
          <w:color w:val="auto"/>
          <w:sz w:val="24"/>
          <w:szCs w:val="24"/>
        </w:rPr>
      </w:pPr>
      <w:bookmarkStart w:id="219" w:name="_Toc10137"/>
      <w:bookmarkStart w:id="220" w:name="_Toc15787"/>
      <w:bookmarkStart w:id="221" w:name="_Toc60421813"/>
      <w:bookmarkStart w:id="222" w:name="_Toc327949263"/>
      <w:r>
        <w:rPr>
          <w:rFonts w:hint="eastAsia" w:ascii="宋体" w:hAnsi="宋体" w:cs="Arial"/>
          <w:color w:val="auto"/>
          <w:sz w:val="24"/>
          <w:szCs w:val="24"/>
        </w:rPr>
        <w:t>甲方：</w:t>
      </w:r>
    </w:p>
    <w:p>
      <w:pPr>
        <w:spacing w:line="360" w:lineRule="auto"/>
        <w:rPr>
          <w:rFonts w:hint="eastAsia" w:ascii="宋体" w:hAnsi="宋体" w:cs="Arial"/>
          <w:color w:val="auto"/>
          <w:sz w:val="24"/>
          <w:szCs w:val="24"/>
        </w:rPr>
      </w:pPr>
      <w:r>
        <w:rPr>
          <w:rFonts w:hint="eastAsia" w:ascii="宋体" w:hAnsi="宋体" w:cs="Arial"/>
          <w:color w:val="auto"/>
          <w:sz w:val="24"/>
          <w:szCs w:val="24"/>
        </w:rPr>
        <w:t>乙方（中标供应商）：</w:t>
      </w:r>
    </w:p>
    <w:p>
      <w:pPr>
        <w:spacing w:line="360" w:lineRule="auto"/>
        <w:ind w:firstLine="480" w:firstLineChars="200"/>
        <w:rPr>
          <w:rFonts w:hint="eastAsia" w:ascii="宋体" w:hAnsi="宋体" w:cs="宋体"/>
          <w:sz w:val="24"/>
        </w:rPr>
      </w:pPr>
      <w:r>
        <w:rPr>
          <w:rFonts w:hint="eastAsia" w:ascii="宋体" w:hAnsi="宋体" w:cs="宋体"/>
          <w:sz w:val="24"/>
        </w:rPr>
        <w:t>为了保护供需双方的合法权益，根据《中华人民共和国政府采购法》《中华人民共和国合同法》等相关法规和政府采购招标文件、政府采购投标文件承诺的相关规定，签订本合同，以便共同遵照执行：</w:t>
      </w:r>
    </w:p>
    <w:p>
      <w:pPr>
        <w:spacing w:after="156" w:afterLines="50" w:line="360" w:lineRule="auto"/>
        <w:rPr>
          <w:rFonts w:hint="eastAsia" w:ascii="宋体" w:hAnsi="宋体" w:cs="宋体"/>
          <w:sz w:val="24"/>
        </w:rPr>
      </w:pPr>
      <w:r>
        <w:rPr>
          <w:rFonts w:hint="eastAsia" w:ascii="宋体" w:hAnsi="宋体" w:cs="宋体"/>
          <w:b/>
          <w:bCs/>
          <w:sz w:val="24"/>
        </w:rPr>
        <w:t>一、采购品目、型号、数量及金额</w:t>
      </w:r>
      <w:r>
        <w:rPr>
          <w:rFonts w:hint="eastAsia" w:ascii="宋体" w:hAnsi="宋体" w:cs="宋体"/>
          <w:sz w:val="24"/>
        </w:rPr>
        <w:t>（注：填写不下时，可按此表格自行打印清单）</w:t>
      </w:r>
    </w:p>
    <w:tbl>
      <w:tblPr>
        <w:tblStyle w:val="3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820"/>
        <w:gridCol w:w="1275"/>
        <w:gridCol w:w="1170"/>
        <w:gridCol w:w="130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59" w:type="dxa"/>
            <w:noWrap w:val="0"/>
            <w:vAlign w:val="center"/>
          </w:tcPr>
          <w:p>
            <w:pPr>
              <w:spacing w:line="360" w:lineRule="auto"/>
              <w:jc w:val="center"/>
              <w:rPr>
                <w:rFonts w:hint="eastAsia" w:ascii="宋体" w:hAnsi="宋体" w:cs="宋体"/>
                <w:sz w:val="24"/>
              </w:rPr>
            </w:pPr>
            <w:r>
              <w:rPr>
                <w:rFonts w:hint="eastAsia" w:ascii="宋体" w:hAnsi="宋体" w:cs="宋体"/>
                <w:sz w:val="24"/>
              </w:rPr>
              <w:t>品目</w:t>
            </w:r>
          </w:p>
        </w:tc>
        <w:tc>
          <w:tcPr>
            <w:tcW w:w="2820" w:type="dxa"/>
            <w:noWrap w:val="0"/>
            <w:vAlign w:val="center"/>
          </w:tcPr>
          <w:p>
            <w:pPr>
              <w:spacing w:line="360" w:lineRule="auto"/>
              <w:jc w:val="center"/>
              <w:rPr>
                <w:rFonts w:hint="eastAsia" w:ascii="宋体" w:hAnsi="宋体" w:cs="宋体"/>
                <w:sz w:val="24"/>
              </w:rPr>
            </w:pPr>
            <w:r>
              <w:rPr>
                <w:rFonts w:hint="eastAsia" w:ascii="宋体" w:hAnsi="宋体" w:cs="宋体"/>
                <w:sz w:val="24"/>
              </w:rPr>
              <w:t>型号及主要技术指标</w:t>
            </w:r>
          </w:p>
        </w:tc>
        <w:tc>
          <w:tcPr>
            <w:tcW w:w="1275" w:type="dxa"/>
            <w:noWrap w:val="0"/>
            <w:vAlign w:val="center"/>
          </w:tcPr>
          <w:p>
            <w:pPr>
              <w:spacing w:line="360" w:lineRule="auto"/>
              <w:jc w:val="center"/>
              <w:rPr>
                <w:rFonts w:hint="eastAsia" w:ascii="宋体" w:hAnsi="宋体" w:cs="宋体"/>
                <w:sz w:val="24"/>
              </w:rPr>
            </w:pPr>
            <w:r>
              <w:rPr>
                <w:rFonts w:hint="eastAsia" w:ascii="宋体" w:hAnsi="宋体" w:cs="宋体"/>
                <w:sz w:val="24"/>
              </w:rPr>
              <w:t>采购预算（万元）</w:t>
            </w:r>
          </w:p>
        </w:tc>
        <w:tc>
          <w:tcPr>
            <w:tcW w:w="1170" w:type="dxa"/>
            <w:noWrap w:val="0"/>
            <w:vAlign w:val="center"/>
          </w:tcPr>
          <w:p>
            <w:pPr>
              <w:spacing w:line="360" w:lineRule="auto"/>
              <w:jc w:val="center"/>
              <w:rPr>
                <w:rFonts w:hint="eastAsia" w:ascii="宋体" w:hAnsi="宋体" w:cs="宋体"/>
                <w:sz w:val="24"/>
              </w:rPr>
            </w:pPr>
            <w:r>
              <w:rPr>
                <w:rFonts w:hint="eastAsia" w:ascii="宋体" w:hAnsi="宋体" w:cs="宋体"/>
                <w:sz w:val="24"/>
              </w:rPr>
              <w:t>中标价（万元）</w:t>
            </w:r>
          </w:p>
        </w:tc>
        <w:tc>
          <w:tcPr>
            <w:tcW w:w="1305" w:type="dxa"/>
            <w:noWrap w:val="0"/>
            <w:vAlign w:val="center"/>
          </w:tcPr>
          <w:p>
            <w:pPr>
              <w:spacing w:line="360" w:lineRule="auto"/>
              <w:jc w:val="center"/>
              <w:rPr>
                <w:rFonts w:hint="eastAsia" w:ascii="宋体" w:hAnsi="宋体" w:cs="宋体"/>
                <w:sz w:val="24"/>
              </w:rPr>
            </w:pPr>
            <w:r>
              <w:rPr>
                <w:rFonts w:hint="eastAsia" w:ascii="宋体" w:hAnsi="宋体" w:cs="宋体"/>
                <w:sz w:val="24"/>
              </w:rPr>
              <w:t>节约资金（万元）</w:t>
            </w:r>
          </w:p>
        </w:tc>
        <w:tc>
          <w:tcPr>
            <w:tcW w:w="855" w:type="dxa"/>
            <w:noWrap w:val="0"/>
            <w:vAlign w:val="center"/>
          </w:tcPr>
          <w:p>
            <w:pPr>
              <w:spacing w:line="360" w:lineRule="auto"/>
              <w:jc w:val="center"/>
              <w:rPr>
                <w:rFonts w:hint="eastAsia" w:ascii="宋体" w:hAnsi="宋体" w:cs="宋体"/>
                <w:sz w:val="24"/>
              </w:rPr>
            </w:pPr>
            <w:r>
              <w:rPr>
                <w:rFonts w:hint="eastAsia" w:ascii="宋体" w:hAnsi="宋体" w:cs="宋体"/>
                <w:sz w:val="24"/>
              </w:rPr>
              <w:t>节约率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59" w:type="dxa"/>
            <w:noWrap w:val="0"/>
            <w:vAlign w:val="center"/>
          </w:tcPr>
          <w:p>
            <w:pPr>
              <w:spacing w:line="360" w:lineRule="auto"/>
              <w:jc w:val="center"/>
              <w:rPr>
                <w:rFonts w:hint="eastAsia" w:ascii="宋体" w:hAnsi="宋体" w:cs="宋体"/>
                <w:sz w:val="24"/>
              </w:rPr>
            </w:pPr>
            <w:r>
              <w:rPr>
                <w:rFonts w:hint="eastAsia" w:ascii="宋体" w:hAnsi="宋体" w:cs="宋体"/>
                <w:sz w:val="24"/>
              </w:rPr>
              <w:t xml:space="preserve"> </w:t>
            </w:r>
          </w:p>
        </w:tc>
        <w:tc>
          <w:tcPr>
            <w:tcW w:w="2820" w:type="dxa"/>
            <w:noWrap w:val="0"/>
            <w:vAlign w:val="center"/>
          </w:tcPr>
          <w:p>
            <w:pPr>
              <w:spacing w:line="360" w:lineRule="auto"/>
              <w:jc w:val="center"/>
              <w:rPr>
                <w:rFonts w:hint="eastAsia" w:ascii="宋体" w:hAnsi="宋体" w:cs="宋体"/>
                <w:sz w:val="24"/>
              </w:rPr>
            </w:pPr>
          </w:p>
        </w:tc>
        <w:tc>
          <w:tcPr>
            <w:tcW w:w="1275" w:type="dxa"/>
            <w:noWrap w:val="0"/>
            <w:vAlign w:val="center"/>
          </w:tcPr>
          <w:p>
            <w:pPr>
              <w:spacing w:line="360" w:lineRule="auto"/>
              <w:jc w:val="center"/>
              <w:rPr>
                <w:rFonts w:hint="eastAsia" w:ascii="宋体" w:hAnsi="宋体" w:cs="宋体"/>
                <w:sz w:val="24"/>
              </w:rPr>
            </w:pPr>
          </w:p>
        </w:tc>
        <w:tc>
          <w:tcPr>
            <w:tcW w:w="1170" w:type="dxa"/>
            <w:noWrap w:val="0"/>
            <w:vAlign w:val="center"/>
          </w:tcPr>
          <w:p>
            <w:pPr>
              <w:spacing w:line="360" w:lineRule="auto"/>
              <w:jc w:val="center"/>
              <w:rPr>
                <w:rFonts w:hint="eastAsia" w:ascii="宋体" w:hAnsi="宋体" w:cs="宋体"/>
                <w:sz w:val="24"/>
              </w:rPr>
            </w:pPr>
          </w:p>
        </w:tc>
        <w:tc>
          <w:tcPr>
            <w:tcW w:w="1305" w:type="dxa"/>
            <w:noWrap w:val="0"/>
            <w:vAlign w:val="center"/>
          </w:tcPr>
          <w:p>
            <w:pPr>
              <w:spacing w:line="360" w:lineRule="auto"/>
              <w:jc w:val="center"/>
              <w:rPr>
                <w:rFonts w:hint="eastAsia" w:ascii="宋体" w:hAnsi="宋体" w:cs="宋体"/>
                <w:sz w:val="24"/>
              </w:rPr>
            </w:pPr>
          </w:p>
        </w:tc>
        <w:tc>
          <w:tcPr>
            <w:tcW w:w="855" w:type="dxa"/>
            <w:noWrap w:val="0"/>
            <w:vAlign w:val="center"/>
          </w:tcPr>
          <w:p>
            <w:pPr>
              <w:spacing w:line="360" w:lineRule="auto"/>
              <w:jc w:val="center"/>
              <w:rPr>
                <w:rFonts w:hint="eastAsia" w:ascii="宋体" w:hAnsi="宋体" w:cs="宋体"/>
                <w:sz w:val="24"/>
              </w:rPr>
            </w:pPr>
          </w:p>
        </w:tc>
      </w:tr>
    </w:tbl>
    <w:p>
      <w:pPr>
        <w:spacing w:line="360" w:lineRule="auto"/>
        <w:rPr>
          <w:rFonts w:hint="eastAsia" w:ascii="宋体" w:hAnsi="宋体" w:cs="宋体"/>
          <w:b/>
          <w:bCs/>
          <w:sz w:val="24"/>
        </w:rPr>
      </w:pPr>
      <w:r>
        <w:rPr>
          <w:rFonts w:hint="eastAsia" w:ascii="宋体" w:hAnsi="宋体" w:cs="宋体"/>
          <w:b/>
          <w:bCs/>
          <w:sz w:val="24"/>
        </w:rPr>
        <w:t>二、交货地点、时间：</w:t>
      </w:r>
    </w:p>
    <w:p>
      <w:pPr>
        <w:spacing w:line="360" w:lineRule="auto"/>
        <w:rPr>
          <w:rFonts w:hint="eastAsia" w:ascii="宋体" w:hAnsi="宋体" w:cs="宋体"/>
          <w:sz w:val="24"/>
        </w:rPr>
      </w:pPr>
      <w:r>
        <w:rPr>
          <w:rFonts w:hint="eastAsia" w:ascii="宋体" w:hAnsi="宋体" w:cs="宋体"/>
          <w:sz w:val="24"/>
        </w:rPr>
        <w:t>交货时间：于 年 月 日到 年 月 日前供货安装完毕。</w:t>
      </w:r>
    </w:p>
    <w:p>
      <w:pPr>
        <w:spacing w:line="360" w:lineRule="auto"/>
        <w:rPr>
          <w:rFonts w:hint="eastAsia" w:ascii="宋体" w:hAnsi="宋体" w:cs="宋体"/>
          <w:sz w:val="24"/>
        </w:rPr>
      </w:pPr>
      <w:r>
        <w:rPr>
          <w:rFonts w:hint="eastAsia" w:ascii="宋体" w:hAnsi="宋体" w:cs="宋体"/>
          <w:sz w:val="24"/>
        </w:rPr>
        <w:t xml:space="preserve">收货单位名称：                      指定地点：     </w:t>
      </w:r>
    </w:p>
    <w:p>
      <w:pPr>
        <w:spacing w:line="360" w:lineRule="auto"/>
        <w:rPr>
          <w:rFonts w:hint="eastAsia" w:ascii="宋体" w:hAnsi="宋体" w:cs="宋体"/>
          <w:sz w:val="24"/>
        </w:rPr>
      </w:pPr>
      <w:r>
        <w:rPr>
          <w:rFonts w:hint="eastAsia" w:ascii="宋体" w:hAnsi="宋体" w:cs="宋体"/>
          <w:sz w:val="24"/>
        </w:rPr>
        <w:t>收货联系人：                        联系电话 ：</w:t>
      </w:r>
    </w:p>
    <w:p>
      <w:pPr>
        <w:spacing w:line="360" w:lineRule="auto"/>
        <w:rPr>
          <w:rFonts w:hint="eastAsia" w:ascii="宋体" w:hAnsi="宋体" w:cs="宋体"/>
          <w:sz w:val="24"/>
        </w:rPr>
      </w:pPr>
      <w:r>
        <w:rPr>
          <w:rFonts w:hint="eastAsia" w:ascii="宋体" w:hAnsi="宋体" w:cs="宋体"/>
          <w:sz w:val="24"/>
        </w:rPr>
        <w:t>交货方式：</w:t>
      </w:r>
    </w:p>
    <w:p>
      <w:pPr>
        <w:spacing w:line="360" w:lineRule="auto"/>
        <w:ind w:firstLine="480" w:firstLineChars="200"/>
        <w:rPr>
          <w:rFonts w:hint="eastAsia" w:ascii="宋体" w:hAnsi="宋体" w:cs="宋体"/>
          <w:sz w:val="24"/>
        </w:rPr>
      </w:pPr>
      <w:r>
        <w:rPr>
          <w:rFonts w:hint="eastAsia" w:ascii="宋体" w:hAnsi="宋体" w:cs="宋体"/>
          <w:sz w:val="24"/>
        </w:rPr>
        <w:t>1、供货方送货上门，供方将货物送到指定地点，交由指定收货人验收。此外，供方应在交货前向需方提供交货计划；运输、保险和装箱的费用由供方承担。</w:t>
      </w:r>
    </w:p>
    <w:p>
      <w:pPr>
        <w:spacing w:line="360" w:lineRule="auto"/>
        <w:ind w:firstLine="480" w:firstLineChars="200"/>
        <w:rPr>
          <w:rFonts w:hint="eastAsia" w:ascii="宋体" w:hAnsi="宋体" w:cs="宋体"/>
          <w:sz w:val="24"/>
        </w:rPr>
      </w:pPr>
      <w:r>
        <w:rPr>
          <w:rFonts w:hint="eastAsia" w:ascii="宋体" w:hAnsi="宋体" w:cs="宋体"/>
          <w:sz w:val="24"/>
        </w:rPr>
        <w:t>2、供方有权要求需方在收到货物时在收货清单上加盖鲜章或由合同约定的收货联系人签字并提供身份证明进行签收，否则可以不交接货物并不承担可能造成的延期供货责任。</w:t>
      </w:r>
    </w:p>
    <w:p>
      <w:pPr>
        <w:spacing w:line="360" w:lineRule="auto"/>
        <w:rPr>
          <w:rFonts w:hint="eastAsia" w:ascii="宋体" w:hAnsi="宋体" w:cs="宋体"/>
          <w:b/>
          <w:bCs/>
          <w:sz w:val="24"/>
        </w:rPr>
      </w:pPr>
      <w:r>
        <w:rPr>
          <w:rFonts w:hint="eastAsia" w:ascii="宋体" w:hAnsi="宋体" w:cs="宋体"/>
          <w:b/>
          <w:bCs/>
          <w:sz w:val="24"/>
        </w:rPr>
        <w:t>三、质量与验收标准及提出异议时间：</w:t>
      </w:r>
    </w:p>
    <w:p>
      <w:pPr>
        <w:numPr>
          <w:ilvl w:val="0"/>
          <w:numId w:val="11"/>
        </w:numPr>
        <w:spacing w:line="360" w:lineRule="auto"/>
        <w:ind w:firstLine="360" w:firstLineChars="150"/>
        <w:rPr>
          <w:rFonts w:hint="eastAsia" w:ascii="宋体" w:hAnsi="宋体" w:cs="宋体"/>
          <w:sz w:val="24"/>
        </w:rPr>
      </w:pPr>
      <w:r>
        <w:rPr>
          <w:rFonts w:hint="eastAsia" w:ascii="宋体" w:hAnsi="宋体" w:cs="宋体"/>
          <w:sz w:val="24"/>
        </w:rPr>
        <w:t>验收标准：</w:t>
      </w:r>
    </w:p>
    <w:p>
      <w:pPr>
        <w:numPr>
          <w:ilvl w:val="0"/>
          <w:numId w:val="12"/>
        </w:numPr>
        <w:spacing w:line="360" w:lineRule="auto"/>
        <w:ind w:firstLine="480" w:firstLineChars="200"/>
        <w:rPr>
          <w:rFonts w:hint="eastAsia" w:ascii="宋体" w:hAnsi="宋体" w:cs="宋体"/>
          <w:sz w:val="24"/>
        </w:rPr>
      </w:pPr>
      <w:r>
        <w:rPr>
          <w:rFonts w:hint="eastAsia" w:ascii="宋体" w:hAnsi="宋体" w:cs="宋体"/>
          <w:sz w:val="24"/>
        </w:rPr>
        <w:t>所提供的产品必须符合国家及行业统一质量标准；</w:t>
      </w:r>
    </w:p>
    <w:p>
      <w:pPr>
        <w:numPr>
          <w:ilvl w:val="0"/>
          <w:numId w:val="12"/>
        </w:numPr>
        <w:spacing w:line="360" w:lineRule="auto"/>
        <w:ind w:firstLine="480" w:firstLineChars="200"/>
        <w:rPr>
          <w:rFonts w:hint="eastAsia" w:ascii="宋体" w:hAnsi="宋体" w:cs="宋体"/>
          <w:sz w:val="24"/>
        </w:rPr>
      </w:pPr>
      <w:r>
        <w:rPr>
          <w:rFonts w:hint="eastAsia" w:ascii="宋体" w:hAnsi="宋体" w:cs="宋体"/>
          <w:sz w:val="24"/>
        </w:rPr>
        <w:t>招投标文件要求和投标文件响应标准；</w:t>
      </w:r>
    </w:p>
    <w:p>
      <w:pPr>
        <w:numPr>
          <w:ilvl w:val="0"/>
          <w:numId w:val="11"/>
        </w:numPr>
        <w:spacing w:line="360" w:lineRule="auto"/>
        <w:ind w:firstLine="360" w:firstLineChars="150"/>
        <w:rPr>
          <w:rFonts w:hint="eastAsia" w:ascii="宋体" w:hAnsi="宋体" w:cs="宋体"/>
          <w:sz w:val="24"/>
        </w:rPr>
      </w:pPr>
      <w:r>
        <w:rPr>
          <w:rFonts w:hint="eastAsia" w:ascii="宋体" w:hAnsi="宋体" w:cs="宋体"/>
          <w:sz w:val="24"/>
        </w:rPr>
        <w:t>验收依据：</w:t>
      </w:r>
    </w:p>
    <w:p>
      <w:pPr>
        <w:spacing w:line="360" w:lineRule="auto"/>
        <w:ind w:firstLine="480" w:firstLineChars="200"/>
        <w:rPr>
          <w:rFonts w:hint="eastAsia" w:ascii="宋体" w:hAnsi="宋体" w:cs="宋体"/>
          <w:sz w:val="24"/>
        </w:rPr>
      </w:pPr>
      <w:r>
        <w:rPr>
          <w:rFonts w:hint="eastAsia" w:ascii="宋体" w:hAnsi="宋体" w:cs="宋体"/>
          <w:sz w:val="24"/>
        </w:rPr>
        <w:t>1.产品合格证；</w:t>
      </w:r>
    </w:p>
    <w:p>
      <w:pPr>
        <w:spacing w:line="360" w:lineRule="auto"/>
        <w:ind w:firstLine="480" w:firstLineChars="200"/>
        <w:rPr>
          <w:rFonts w:hint="eastAsia" w:ascii="宋体" w:hAnsi="宋体" w:cs="宋体"/>
          <w:sz w:val="24"/>
        </w:rPr>
      </w:pPr>
      <w:r>
        <w:rPr>
          <w:rFonts w:hint="eastAsia" w:ascii="宋体" w:hAnsi="宋体" w:cs="宋体"/>
          <w:sz w:val="24"/>
        </w:rPr>
        <w:t>2.投标文件“投标产品的品牌、型号配置表”；</w:t>
      </w:r>
    </w:p>
    <w:p>
      <w:pPr>
        <w:spacing w:line="360" w:lineRule="auto"/>
        <w:ind w:firstLine="480" w:firstLineChars="200"/>
        <w:rPr>
          <w:rFonts w:hint="eastAsia" w:ascii="宋体" w:hAnsi="宋体" w:cs="宋体"/>
          <w:sz w:val="24"/>
        </w:rPr>
      </w:pPr>
      <w:r>
        <w:rPr>
          <w:rFonts w:hint="eastAsia" w:ascii="宋体" w:hAnsi="宋体" w:cs="宋体"/>
          <w:sz w:val="24"/>
        </w:rPr>
        <w:t>3.投标文件“详细的技术指标参数表”；</w:t>
      </w:r>
    </w:p>
    <w:p>
      <w:pPr>
        <w:spacing w:line="360" w:lineRule="auto"/>
        <w:ind w:firstLine="480" w:firstLineChars="200"/>
        <w:rPr>
          <w:rFonts w:hint="eastAsia" w:ascii="宋体" w:hAnsi="宋体" w:cs="宋体"/>
          <w:sz w:val="24"/>
        </w:rPr>
      </w:pPr>
      <w:r>
        <w:rPr>
          <w:rFonts w:hint="eastAsia" w:ascii="宋体" w:hAnsi="宋体" w:cs="宋体"/>
          <w:sz w:val="24"/>
        </w:rPr>
        <w:t>4.投标文件“投标产品检验报告”；</w:t>
      </w:r>
    </w:p>
    <w:p>
      <w:pPr>
        <w:spacing w:line="360" w:lineRule="auto"/>
        <w:ind w:firstLine="480" w:firstLineChars="200"/>
        <w:rPr>
          <w:rFonts w:hint="eastAsia" w:ascii="宋体" w:hAnsi="宋体" w:cs="宋体"/>
          <w:sz w:val="24"/>
        </w:rPr>
      </w:pPr>
      <w:r>
        <w:rPr>
          <w:rFonts w:hint="eastAsia" w:ascii="宋体" w:hAnsi="宋体" w:cs="宋体"/>
          <w:sz w:val="24"/>
        </w:rPr>
        <w:t>5.投标文件“验收标准和验收方法”；</w:t>
      </w:r>
    </w:p>
    <w:p>
      <w:pPr>
        <w:numPr>
          <w:ilvl w:val="0"/>
          <w:numId w:val="0"/>
        </w:numPr>
        <w:spacing w:line="360" w:lineRule="auto"/>
        <w:rPr>
          <w:rFonts w:hint="eastAsia" w:ascii="宋体" w:hAnsi="宋体" w:cs="宋体"/>
          <w:b/>
          <w:bCs/>
          <w:color w:val="auto"/>
          <w:sz w:val="24"/>
          <w:szCs w:val="24"/>
        </w:rPr>
      </w:pPr>
      <w:r>
        <w:rPr>
          <w:rFonts w:hint="eastAsia" w:ascii="宋体" w:hAnsi="宋体" w:cs="宋体"/>
          <w:b/>
          <w:bCs/>
          <w:color w:val="auto"/>
          <w:sz w:val="24"/>
          <w:szCs w:val="24"/>
          <w:lang w:val="en-US" w:eastAsia="zh-CN"/>
        </w:rPr>
        <w:t xml:space="preserve">   四、</w:t>
      </w:r>
      <w:r>
        <w:rPr>
          <w:rFonts w:hint="eastAsia" w:ascii="宋体" w:hAnsi="宋体" w:cs="宋体"/>
          <w:b/>
          <w:bCs/>
          <w:color w:val="auto"/>
          <w:sz w:val="24"/>
          <w:szCs w:val="24"/>
        </w:rPr>
        <w:t>结算方式</w:t>
      </w:r>
    </w:p>
    <w:p>
      <w:pPr>
        <w:spacing w:line="360" w:lineRule="auto"/>
        <w:ind w:firstLine="480" w:firstLineChars="200"/>
        <w:rPr>
          <w:rFonts w:hint="eastAsia" w:ascii="宋体" w:hAnsi="宋体" w:cs="宋体"/>
          <w:color w:val="FF0000"/>
          <w:sz w:val="24"/>
        </w:rPr>
      </w:pPr>
      <w:r>
        <w:rPr>
          <w:rFonts w:hint="eastAsia" w:ascii="宋体" w:hAnsi="宋体" w:cs="宋体"/>
          <w:sz w:val="24"/>
        </w:rPr>
        <w:t>本项目无预付款，按照合同签订时间地点供货经验收合格后凭验收合格证明及按合同总价开具的发票（完税价）由采购人支付。</w:t>
      </w:r>
    </w:p>
    <w:p>
      <w:pPr>
        <w:spacing w:line="360" w:lineRule="auto"/>
        <w:rPr>
          <w:rFonts w:hint="eastAsia" w:ascii="宋体" w:hAnsi="宋体" w:cs="宋体"/>
          <w:b/>
          <w:bCs/>
          <w:sz w:val="24"/>
        </w:rPr>
      </w:pPr>
      <w:r>
        <w:rPr>
          <w:rFonts w:hint="eastAsia" w:ascii="宋体" w:hAnsi="宋体" w:cs="宋体"/>
          <w:b/>
          <w:bCs/>
          <w:sz w:val="24"/>
          <w:lang w:val="en-US" w:eastAsia="zh-CN"/>
        </w:rPr>
        <w:t xml:space="preserve">  </w:t>
      </w:r>
      <w:r>
        <w:rPr>
          <w:rFonts w:hint="eastAsia" w:ascii="宋体" w:hAnsi="宋体" w:cs="宋体"/>
          <w:b/>
          <w:bCs/>
          <w:sz w:val="24"/>
        </w:rPr>
        <w:t>五、售后服务：</w:t>
      </w:r>
    </w:p>
    <w:p>
      <w:pPr>
        <w:spacing w:line="360" w:lineRule="auto"/>
        <w:ind w:firstLine="240" w:firstLineChars="100"/>
        <w:rPr>
          <w:rFonts w:hint="eastAsia" w:ascii="宋体" w:hAnsi="宋体" w:cs="宋体"/>
          <w:sz w:val="24"/>
        </w:rPr>
      </w:pPr>
      <w:r>
        <w:rPr>
          <w:rFonts w:hint="eastAsia" w:ascii="宋体" w:hAnsi="宋体" w:cs="宋体"/>
          <w:sz w:val="24"/>
        </w:rPr>
        <w:t xml:space="preserve"> 1、供方必须按需方要求清单所需要的配置、参数、保质保量供货。</w:t>
      </w:r>
    </w:p>
    <w:p>
      <w:pPr>
        <w:numPr>
          <w:ilvl w:val="0"/>
          <w:numId w:val="13"/>
        </w:numPr>
        <w:spacing w:line="360" w:lineRule="auto"/>
        <w:ind w:firstLine="360" w:firstLineChars="150"/>
        <w:rPr>
          <w:rFonts w:hint="default" w:eastAsia="宋体"/>
          <w:lang w:val="en-US" w:eastAsia="zh-CN"/>
        </w:rPr>
      </w:pPr>
      <w:r>
        <w:rPr>
          <w:rFonts w:hint="eastAsia" w:ascii="宋体" w:hAnsi="宋体" w:cs="宋体"/>
          <w:sz w:val="24"/>
        </w:rPr>
        <w:t>所提供的产品必须符合国家统一质量标准。</w:t>
      </w:r>
    </w:p>
    <w:p>
      <w:pPr>
        <w:spacing w:line="360" w:lineRule="auto"/>
        <w:rPr>
          <w:rFonts w:hint="eastAsia" w:ascii="宋体" w:hAnsi="宋体" w:cs="宋体"/>
          <w:b/>
          <w:bCs/>
          <w:sz w:val="24"/>
        </w:rPr>
      </w:pPr>
      <w:r>
        <w:rPr>
          <w:rFonts w:hint="eastAsia" w:ascii="宋体" w:hAnsi="宋体" w:cs="宋体"/>
          <w:b/>
          <w:bCs/>
          <w:sz w:val="24"/>
          <w:lang w:val="en-US" w:eastAsia="zh-CN"/>
        </w:rPr>
        <w:t xml:space="preserve">    </w:t>
      </w:r>
      <w:r>
        <w:rPr>
          <w:rFonts w:hint="eastAsia" w:ascii="宋体" w:hAnsi="宋体" w:cs="宋体"/>
          <w:b/>
          <w:bCs/>
          <w:sz w:val="24"/>
          <w:lang w:eastAsia="zh-CN"/>
        </w:rPr>
        <w:t>六</w:t>
      </w:r>
      <w:r>
        <w:rPr>
          <w:rFonts w:hint="eastAsia" w:ascii="宋体" w:hAnsi="宋体" w:cs="宋体"/>
          <w:b/>
          <w:bCs/>
          <w:sz w:val="24"/>
        </w:rPr>
        <w:t>、违约责任：</w:t>
      </w:r>
    </w:p>
    <w:p>
      <w:pPr>
        <w:spacing w:line="360" w:lineRule="auto"/>
        <w:ind w:firstLine="360" w:firstLineChars="150"/>
        <w:rPr>
          <w:rFonts w:hint="eastAsia" w:ascii="宋体" w:hAnsi="宋体" w:cs="宋体"/>
          <w:sz w:val="24"/>
        </w:rPr>
      </w:pPr>
      <w:r>
        <w:rPr>
          <w:rFonts w:hint="eastAsia" w:ascii="宋体" w:hAnsi="宋体" w:cs="宋体"/>
          <w:sz w:val="24"/>
        </w:rPr>
        <w:t>1、供方未能按供货合同的约定近期完成交货或需方延期付款，每逾期一天，违约方应按合同总额1%向对方支付违约金，但违约金最高金额不超过合同金额的5%，逾期超过5日，有权解除合同。</w:t>
      </w:r>
    </w:p>
    <w:p>
      <w:pPr>
        <w:spacing w:line="360" w:lineRule="auto"/>
        <w:ind w:firstLine="360" w:firstLineChars="150"/>
        <w:rPr>
          <w:rFonts w:hint="eastAsia" w:ascii="宋体" w:hAnsi="宋体"/>
          <w:color w:val="auto"/>
          <w:sz w:val="24"/>
          <w:szCs w:val="24"/>
        </w:rPr>
      </w:pPr>
      <w:r>
        <w:rPr>
          <w:rFonts w:hint="eastAsia" w:ascii="宋体" w:hAnsi="宋体" w:cs="宋体"/>
          <w:sz w:val="24"/>
        </w:rPr>
        <w:t>2、如因供方提供的设备质量或安装施工问题造成需方损失，供方应承担全部责任，情节严重者追究刑事责任。</w:t>
      </w:r>
    </w:p>
    <w:p>
      <w:pPr>
        <w:numPr>
          <w:ilvl w:val="0"/>
          <w:numId w:val="0"/>
        </w:numPr>
        <w:spacing w:line="360" w:lineRule="auto"/>
        <w:ind w:left="540" w:leftChars="0"/>
        <w:rPr>
          <w:rFonts w:hint="eastAsia" w:ascii="宋体" w:hAnsi="宋体" w:cs="Arial"/>
          <w:b/>
          <w:color w:val="auto"/>
          <w:sz w:val="24"/>
          <w:szCs w:val="24"/>
        </w:rPr>
      </w:pPr>
      <w:r>
        <w:rPr>
          <w:rFonts w:hint="eastAsia" w:ascii="宋体" w:hAnsi="宋体" w:cs="Arial"/>
          <w:b/>
          <w:color w:val="auto"/>
          <w:sz w:val="24"/>
          <w:szCs w:val="24"/>
          <w:lang w:eastAsia="zh-CN"/>
        </w:rPr>
        <w:t>七、</w:t>
      </w:r>
      <w:r>
        <w:rPr>
          <w:rFonts w:hint="eastAsia" w:ascii="宋体" w:hAnsi="宋体" w:cs="Arial"/>
          <w:b/>
          <w:color w:val="auto"/>
          <w:sz w:val="24"/>
          <w:szCs w:val="24"/>
        </w:rPr>
        <w:t>争议及解决办法</w:t>
      </w:r>
    </w:p>
    <w:p>
      <w:pPr>
        <w:tabs>
          <w:tab w:val="left" w:pos="360"/>
        </w:tabs>
        <w:spacing w:line="360" w:lineRule="auto"/>
        <w:ind w:firstLine="480" w:firstLineChars="200"/>
        <w:rPr>
          <w:rFonts w:hint="eastAsia" w:ascii="宋体" w:hAnsi="宋体" w:cs="Arial"/>
          <w:color w:val="auto"/>
          <w:sz w:val="24"/>
          <w:szCs w:val="24"/>
        </w:rPr>
      </w:pPr>
      <w:r>
        <w:rPr>
          <w:rFonts w:hint="eastAsia" w:ascii="宋体" w:hAnsi="宋体"/>
          <w:color w:val="auto"/>
          <w:sz w:val="24"/>
          <w:szCs w:val="24"/>
        </w:rPr>
        <w:t>本协议发生争议，由双方协商或由政府采购监督管理部门调解解决，协商或调解不成时提交天水仲裁委员会仲裁。</w:t>
      </w:r>
    </w:p>
    <w:p>
      <w:pPr>
        <w:numPr>
          <w:ilvl w:val="0"/>
          <w:numId w:val="0"/>
        </w:numPr>
        <w:spacing w:line="360" w:lineRule="auto"/>
        <w:ind w:left="540" w:leftChars="0"/>
        <w:rPr>
          <w:rFonts w:hint="eastAsia" w:ascii="宋体" w:hAnsi="宋体" w:cs="Arial"/>
          <w:b/>
          <w:color w:val="auto"/>
          <w:sz w:val="24"/>
          <w:szCs w:val="24"/>
        </w:rPr>
      </w:pPr>
      <w:r>
        <w:rPr>
          <w:rFonts w:hint="eastAsia" w:ascii="宋体" w:hAnsi="宋体" w:cs="Arial"/>
          <w:b/>
          <w:color w:val="auto"/>
          <w:sz w:val="24"/>
          <w:szCs w:val="24"/>
          <w:lang w:eastAsia="zh-CN"/>
        </w:rPr>
        <w:t>八、</w:t>
      </w:r>
      <w:r>
        <w:rPr>
          <w:rFonts w:hint="eastAsia" w:ascii="宋体" w:hAnsi="宋体" w:cs="Arial"/>
          <w:b/>
          <w:color w:val="auto"/>
          <w:sz w:val="24"/>
          <w:szCs w:val="24"/>
        </w:rPr>
        <w:t>其他</w:t>
      </w:r>
    </w:p>
    <w:p>
      <w:pPr>
        <w:numPr>
          <w:ilvl w:val="1"/>
          <w:numId w:val="14"/>
        </w:numPr>
        <w:spacing w:line="360" w:lineRule="auto"/>
        <w:ind w:left="0" w:firstLine="425"/>
        <w:rPr>
          <w:rFonts w:hint="eastAsia" w:ascii="宋体" w:hAnsi="宋体" w:cs="Arial"/>
          <w:color w:val="auto"/>
          <w:sz w:val="24"/>
          <w:szCs w:val="24"/>
        </w:rPr>
      </w:pPr>
      <w:r>
        <w:rPr>
          <w:rFonts w:hint="eastAsia" w:ascii="宋体" w:hAnsi="宋体" w:cs="Arial"/>
          <w:color w:val="auto"/>
          <w:sz w:val="24"/>
          <w:szCs w:val="24"/>
        </w:rPr>
        <w:t>本协议一式</w:t>
      </w:r>
      <w:r>
        <w:rPr>
          <w:rFonts w:hint="eastAsia" w:ascii="宋体" w:hAnsi="宋体" w:cs="宋体"/>
          <w:color w:val="auto"/>
          <w:sz w:val="24"/>
          <w:szCs w:val="24"/>
        </w:rPr>
        <w:t>两</w:t>
      </w:r>
      <w:r>
        <w:rPr>
          <w:rFonts w:hint="eastAsia" w:ascii="宋体" w:hAnsi="宋体" w:cs="Arial"/>
          <w:color w:val="auto"/>
          <w:sz w:val="24"/>
          <w:szCs w:val="24"/>
        </w:rPr>
        <w:t>份，具有同等效力，甲、乙双方各执</w:t>
      </w:r>
      <w:r>
        <w:rPr>
          <w:rFonts w:hint="eastAsia" w:ascii="宋体" w:hAnsi="宋体" w:cs="宋体"/>
          <w:color w:val="auto"/>
          <w:sz w:val="24"/>
          <w:szCs w:val="24"/>
        </w:rPr>
        <w:t>一</w:t>
      </w:r>
      <w:r>
        <w:rPr>
          <w:rFonts w:hint="eastAsia" w:ascii="宋体" w:hAnsi="宋体" w:cs="Arial"/>
          <w:color w:val="auto"/>
          <w:sz w:val="24"/>
          <w:szCs w:val="24"/>
        </w:rPr>
        <w:t>份。协议自双方签字盖章之日起生效。</w:t>
      </w:r>
    </w:p>
    <w:p>
      <w:pPr>
        <w:numPr>
          <w:ilvl w:val="1"/>
          <w:numId w:val="14"/>
        </w:numPr>
        <w:spacing w:line="360" w:lineRule="auto"/>
        <w:ind w:left="0" w:firstLine="425"/>
        <w:rPr>
          <w:rFonts w:hint="eastAsia" w:ascii="宋体" w:hAnsi="宋体" w:cs="Arial"/>
          <w:color w:val="auto"/>
          <w:sz w:val="24"/>
          <w:szCs w:val="24"/>
        </w:rPr>
      </w:pPr>
      <w:r>
        <w:rPr>
          <w:rFonts w:hint="eastAsia" w:ascii="宋体" w:hAnsi="宋体" w:cs="Arial"/>
          <w:color w:val="auto"/>
          <w:sz w:val="24"/>
          <w:szCs w:val="24"/>
        </w:rPr>
        <w:t>本合同未尽事宜，由双方协商处理。</w:t>
      </w:r>
    </w:p>
    <w:p>
      <w:pPr>
        <w:spacing w:line="360" w:lineRule="auto"/>
        <w:rPr>
          <w:rFonts w:hint="eastAsia" w:ascii="宋体" w:hAnsi="宋体" w:cs="Arial"/>
          <w:color w:val="auto"/>
          <w:sz w:val="24"/>
          <w:szCs w:val="24"/>
        </w:rPr>
      </w:pPr>
    </w:p>
    <w:tbl>
      <w:tblPr>
        <w:tblStyle w:val="39"/>
        <w:tblW w:w="0" w:type="auto"/>
        <w:jc w:val="center"/>
        <w:tblLayout w:type="fixed"/>
        <w:tblCellMar>
          <w:top w:w="0" w:type="dxa"/>
          <w:left w:w="108" w:type="dxa"/>
          <w:bottom w:w="0" w:type="dxa"/>
          <w:right w:w="108" w:type="dxa"/>
        </w:tblCellMar>
      </w:tblPr>
      <w:tblGrid>
        <w:gridCol w:w="1390"/>
        <w:gridCol w:w="3146"/>
        <w:gridCol w:w="1390"/>
        <w:gridCol w:w="3146"/>
      </w:tblGrid>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甲方：</w:t>
            </w:r>
          </w:p>
        </w:tc>
        <w:tc>
          <w:tcPr>
            <w:tcW w:w="3146" w:type="dxa"/>
            <w:noWrap w:val="0"/>
            <w:vAlign w:val="top"/>
          </w:tcPr>
          <w:p>
            <w:pPr>
              <w:spacing w:line="360" w:lineRule="auto"/>
              <w:jc w:val="right"/>
              <w:rPr>
                <w:rFonts w:hint="eastAsia" w:ascii="宋体" w:hAnsi="宋体" w:cs="Arial"/>
                <w:color w:val="auto"/>
                <w:sz w:val="24"/>
                <w:szCs w:val="24"/>
              </w:rPr>
            </w:pPr>
            <w:r>
              <w:rPr>
                <w:rFonts w:hint="eastAsia" w:ascii="宋体" w:hAnsi="宋体" w:cs="Arial"/>
                <w:color w:val="auto"/>
                <w:sz w:val="24"/>
                <w:szCs w:val="24"/>
              </w:rPr>
              <w:t>（盖章）</w:t>
            </w: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乙方：</w:t>
            </w:r>
          </w:p>
        </w:tc>
        <w:tc>
          <w:tcPr>
            <w:tcW w:w="3146" w:type="dxa"/>
            <w:noWrap w:val="0"/>
            <w:vAlign w:val="top"/>
          </w:tcPr>
          <w:p>
            <w:pPr>
              <w:spacing w:line="360" w:lineRule="auto"/>
              <w:jc w:val="right"/>
              <w:rPr>
                <w:rFonts w:hint="eastAsia" w:ascii="宋体" w:hAnsi="宋体" w:cs="Arial"/>
                <w:color w:val="auto"/>
                <w:sz w:val="24"/>
                <w:szCs w:val="24"/>
              </w:rPr>
            </w:pPr>
            <w:r>
              <w:rPr>
                <w:rFonts w:hint="eastAsia" w:ascii="宋体" w:hAnsi="宋体" w:cs="Arial"/>
                <w:color w:val="auto"/>
                <w:sz w:val="24"/>
                <w:szCs w:val="24"/>
              </w:rPr>
              <w:t>（盖章）</w:t>
            </w:r>
          </w:p>
        </w:tc>
      </w:tr>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签约代表：</w:t>
            </w:r>
          </w:p>
        </w:tc>
        <w:tc>
          <w:tcPr>
            <w:tcW w:w="3146" w:type="dxa"/>
            <w:noWrap w:val="0"/>
            <w:vAlign w:val="top"/>
          </w:tcPr>
          <w:p>
            <w:pPr>
              <w:spacing w:line="360" w:lineRule="auto"/>
              <w:rPr>
                <w:rFonts w:hint="eastAsia" w:ascii="宋体" w:hAnsi="宋体" w:cs="Arial"/>
                <w:color w:val="auto"/>
                <w:sz w:val="24"/>
                <w:szCs w:val="24"/>
              </w:rPr>
            </w:pP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签约代表：</w:t>
            </w:r>
          </w:p>
        </w:tc>
        <w:tc>
          <w:tcPr>
            <w:tcW w:w="3146" w:type="dxa"/>
            <w:noWrap w:val="0"/>
            <w:vAlign w:val="top"/>
          </w:tcPr>
          <w:p>
            <w:pPr>
              <w:spacing w:line="360" w:lineRule="auto"/>
              <w:rPr>
                <w:rFonts w:hint="eastAsia" w:ascii="宋体" w:hAnsi="宋体" w:cs="Arial"/>
                <w:color w:val="auto"/>
                <w:sz w:val="24"/>
                <w:szCs w:val="24"/>
              </w:rPr>
            </w:pPr>
          </w:p>
        </w:tc>
      </w:tr>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地    址：</w:t>
            </w:r>
          </w:p>
        </w:tc>
        <w:tc>
          <w:tcPr>
            <w:tcW w:w="3146" w:type="dxa"/>
            <w:noWrap w:val="0"/>
            <w:vAlign w:val="top"/>
          </w:tcPr>
          <w:p>
            <w:pPr>
              <w:spacing w:line="360" w:lineRule="auto"/>
              <w:rPr>
                <w:rFonts w:hint="eastAsia" w:ascii="宋体" w:hAnsi="宋体" w:cs="Arial"/>
                <w:color w:val="auto"/>
                <w:sz w:val="24"/>
                <w:szCs w:val="24"/>
              </w:rPr>
            </w:pP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地    址：</w:t>
            </w:r>
          </w:p>
        </w:tc>
        <w:tc>
          <w:tcPr>
            <w:tcW w:w="3146" w:type="dxa"/>
            <w:noWrap w:val="0"/>
            <w:vAlign w:val="top"/>
          </w:tcPr>
          <w:p>
            <w:pPr>
              <w:spacing w:line="360" w:lineRule="auto"/>
              <w:rPr>
                <w:rFonts w:hint="eastAsia" w:ascii="宋体" w:hAnsi="宋体" w:cs="Arial"/>
                <w:color w:val="auto"/>
                <w:sz w:val="24"/>
                <w:szCs w:val="24"/>
              </w:rPr>
            </w:pPr>
          </w:p>
        </w:tc>
      </w:tr>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电    话：</w:t>
            </w:r>
          </w:p>
        </w:tc>
        <w:tc>
          <w:tcPr>
            <w:tcW w:w="3146" w:type="dxa"/>
            <w:noWrap w:val="0"/>
            <w:vAlign w:val="top"/>
          </w:tcPr>
          <w:p>
            <w:pPr>
              <w:spacing w:line="360" w:lineRule="auto"/>
              <w:rPr>
                <w:rFonts w:hint="eastAsia" w:ascii="宋体" w:hAnsi="宋体" w:cs="Arial"/>
                <w:color w:val="auto"/>
                <w:sz w:val="24"/>
                <w:szCs w:val="24"/>
              </w:rPr>
            </w:pP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电    话：</w:t>
            </w:r>
          </w:p>
        </w:tc>
        <w:tc>
          <w:tcPr>
            <w:tcW w:w="3146" w:type="dxa"/>
            <w:noWrap w:val="0"/>
            <w:vAlign w:val="top"/>
          </w:tcPr>
          <w:p>
            <w:pPr>
              <w:spacing w:line="360" w:lineRule="auto"/>
              <w:rPr>
                <w:rFonts w:hint="eastAsia" w:ascii="宋体" w:hAnsi="宋体" w:cs="Arial"/>
                <w:color w:val="auto"/>
                <w:sz w:val="24"/>
                <w:szCs w:val="24"/>
              </w:rPr>
            </w:pPr>
          </w:p>
        </w:tc>
      </w:tr>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传    真：</w:t>
            </w:r>
          </w:p>
        </w:tc>
        <w:tc>
          <w:tcPr>
            <w:tcW w:w="3146" w:type="dxa"/>
            <w:noWrap w:val="0"/>
            <w:vAlign w:val="top"/>
          </w:tcPr>
          <w:p>
            <w:pPr>
              <w:spacing w:line="360" w:lineRule="auto"/>
              <w:rPr>
                <w:rFonts w:hint="eastAsia" w:ascii="宋体" w:hAnsi="宋体" w:cs="Arial"/>
                <w:color w:val="auto"/>
                <w:sz w:val="24"/>
                <w:szCs w:val="24"/>
              </w:rPr>
            </w:pP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传    真：</w:t>
            </w:r>
          </w:p>
        </w:tc>
        <w:tc>
          <w:tcPr>
            <w:tcW w:w="3146" w:type="dxa"/>
            <w:noWrap w:val="0"/>
            <w:vAlign w:val="top"/>
          </w:tcPr>
          <w:p>
            <w:pPr>
              <w:spacing w:line="360" w:lineRule="auto"/>
              <w:rPr>
                <w:rFonts w:hint="eastAsia" w:ascii="宋体" w:hAnsi="宋体" w:cs="Arial"/>
                <w:color w:val="auto"/>
                <w:sz w:val="24"/>
                <w:szCs w:val="24"/>
              </w:rPr>
            </w:pPr>
          </w:p>
        </w:tc>
      </w:tr>
    </w:tbl>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pStyle w:val="9"/>
        <w:rPr>
          <w:rFonts w:hint="eastAsia" w:asciiTheme="minorEastAsia" w:hAnsiTheme="minorEastAsia" w:eastAsiaTheme="minorEastAsia" w:cstheme="minorEastAsia"/>
          <w:color w:val="auto"/>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bCs/>
          <w:color w:val="auto"/>
        </w:rPr>
      </w:pPr>
      <w:bookmarkStart w:id="223" w:name="_Toc28488"/>
      <w:r>
        <w:rPr>
          <w:rFonts w:hint="eastAsia" w:asciiTheme="minorEastAsia" w:hAnsiTheme="minorEastAsia" w:eastAsiaTheme="minorEastAsia" w:cstheme="minorEastAsia"/>
          <w:b/>
          <w:bCs/>
          <w:color w:val="auto"/>
          <w:sz w:val="44"/>
          <w:szCs w:val="44"/>
          <w:lang w:val="en-US" w:eastAsia="zh-CN"/>
        </w:rPr>
        <w:t xml:space="preserve">第七部分  </w:t>
      </w:r>
      <w:r>
        <w:rPr>
          <w:rFonts w:hint="eastAsia" w:asciiTheme="minorEastAsia" w:hAnsiTheme="minorEastAsia" w:eastAsiaTheme="minorEastAsia" w:cstheme="minorEastAsia"/>
          <w:b/>
          <w:bCs/>
          <w:color w:val="auto"/>
          <w:sz w:val="44"/>
          <w:szCs w:val="44"/>
          <w:lang w:eastAsia="zh-CN"/>
        </w:rPr>
        <w:t>征集响应文件</w:t>
      </w:r>
      <w:bookmarkEnd w:id="219"/>
      <w:bookmarkEnd w:id="220"/>
      <w:r>
        <w:rPr>
          <w:rFonts w:hint="eastAsia" w:asciiTheme="minorEastAsia" w:hAnsiTheme="minorEastAsia" w:eastAsiaTheme="minorEastAsia" w:cstheme="minorEastAsia"/>
          <w:b/>
          <w:bCs/>
          <w:color w:val="auto"/>
          <w:sz w:val="44"/>
          <w:szCs w:val="44"/>
          <w:lang w:val="en-US" w:eastAsia="zh-CN"/>
        </w:rPr>
        <w:t>格式</w:t>
      </w:r>
      <w:bookmarkEnd w:id="223"/>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val="0"/>
          <w:bCs w:val="0"/>
          <w:color w:val="auto"/>
          <w:sz w:val="52"/>
          <w:szCs w:val="52"/>
          <w:lang w:eastAsia="zh-CN"/>
        </w:rPr>
      </w:pPr>
    </w:p>
    <w:p>
      <w:pPr>
        <w:pStyle w:val="2"/>
        <w:rPr>
          <w:rFonts w:hint="eastAsia" w:asciiTheme="minorEastAsia" w:hAnsiTheme="minorEastAsia" w:eastAsiaTheme="minorEastAsia" w:cstheme="minorEastAsia"/>
          <w:b w:val="0"/>
          <w:bCs w:val="0"/>
          <w:color w:val="auto"/>
          <w:sz w:val="52"/>
          <w:szCs w:val="52"/>
          <w:lang w:eastAsia="zh-CN"/>
        </w:rPr>
      </w:pPr>
    </w:p>
    <w:p>
      <w:pPr>
        <w:pStyle w:val="3"/>
        <w:rPr>
          <w:rFonts w:hint="eastAsia"/>
          <w:lang w:eastAsia="zh-CN"/>
        </w:rPr>
      </w:pPr>
    </w:p>
    <w:p>
      <w:pPr>
        <w:jc w:val="center"/>
        <w:rPr>
          <w:rFonts w:hint="eastAsia" w:asciiTheme="minorEastAsia" w:hAnsiTheme="minorEastAsia" w:eastAsiaTheme="minorEastAsia" w:cstheme="minorEastAsia"/>
          <w:b/>
          <w:bCs/>
          <w:color w:val="auto"/>
          <w:sz w:val="48"/>
          <w:szCs w:val="48"/>
          <w:lang w:eastAsia="zh-CN"/>
        </w:rPr>
      </w:pPr>
      <w:r>
        <w:rPr>
          <w:rFonts w:hint="eastAsia" w:asciiTheme="minorEastAsia" w:hAnsiTheme="minorEastAsia" w:eastAsiaTheme="minorEastAsia" w:cstheme="minorEastAsia"/>
          <w:b/>
          <w:bCs/>
          <w:color w:val="auto"/>
          <w:sz w:val="48"/>
          <w:szCs w:val="48"/>
          <w:lang w:eastAsia="zh-CN"/>
        </w:rPr>
        <w:t>天水市行政事业单位2023-2024年度公务用车框架协议采购项目</w:t>
      </w:r>
    </w:p>
    <w:p>
      <w:pPr>
        <w:pStyle w:val="9"/>
        <w:rPr>
          <w:rFonts w:hint="eastAsia" w:asciiTheme="minorEastAsia" w:hAnsiTheme="minorEastAsia" w:eastAsiaTheme="minorEastAsia" w:cstheme="minorEastAsia"/>
          <w:b/>
          <w:bCs/>
          <w:color w:val="auto"/>
          <w:sz w:val="44"/>
          <w:szCs w:val="44"/>
          <w:lang w:eastAsia="zh-CN"/>
        </w:rPr>
      </w:pPr>
    </w:p>
    <w:p>
      <w:pPr>
        <w:pStyle w:val="9"/>
        <w:rPr>
          <w:rFonts w:hint="eastAsia" w:asciiTheme="minorEastAsia" w:hAnsiTheme="minorEastAsia" w:eastAsiaTheme="minorEastAsia" w:cstheme="minorEastAsia"/>
          <w:b/>
          <w:bCs/>
          <w:color w:val="auto"/>
          <w:sz w:val="44"/>
          <w:szCs w:val="44"/>
          <w:lang w:eastAsia="zh-CN"/>
        </w:rPr>
      </w:pPr>
    </w:p>
    <w:p>
      <w:pPr>
        <w:pStyle w:val="9"/>
        <w:rPr>
          <w:rFonts w:hint="eastAsia" w:asciiTheme="minorEastAsia" w:hAnsiTheme="minorEastAsia" w:eastAsiaTheme="minorEastAsia" w:cstheme="minorEastAsia"/>
          <w:b/>
          <w:bCs/>
          <w:color w:val="auto"/>
          <w:sz w:val="44"/>
          <w:szCs w:val="44"/>
          <w:lang w:eastAsia="zh-CN"/>
        </w:rPr>
      </w:pPr>
    </w:p>
    <w:p>
      <w:pPr>
        <w:jc w:val="center"/>
        <w:rPr>
          <w:rFonts w:hint="eastAsia" w:asciiTheme="minorEastAsia" w:hAnsiTheme="minorEastAsia" w:eastAsiaTheme="minorEastAsia" w:cstheme="minorEastAsia"/>
          <w:b/>
          <w:bCs w:val="0"/>
          <w:color w:val="auto"/>
          <w:sz w:val="32"/>
          <w:szCs w:val="32"/>
          <w:lang w:eastAsia="zh-CN"/>
        </w:rPr>
      </w:pPr>
      <w:r>
        <w:rPr>
          <w:rFonts w:hint="eastAsia" w:asciiTheme="minorEastAsia" w:hAnsiTheme="minorEastAsia" w:eastAsiaTheme="minorEastAsia" w:cstheme="minorEastAsia"/>
          <w:b/>
          <w:bCs w:val="0"/>
          <w:color w:val="auto"/>
          <w:sz w:val="32"/>
          <w:szCs w:val="32"/>
          <w:lang w:eastAsia="zh-CN"/>
        </w:rPr>
        <w:t>框架协议</w:t>
      </w:r>
      <w:r>
        <w:rPr>
          <w:rFonts w:hint="eastAsia" w:asciiTheme="minorEastAsia" w:hAnsiTheme="minorEastAsia" w:eastAsiaTheme="minorEastAsia" w:cstheme="minorEastAsia"/>
          <w:b/>
          <w:bCs w:val="0"/>
          <w:color w:val="auto"/>
          <w:sz w:val="32"/>
          <w:szCs w:val="32"/>
        </w:rPr>
        <w:t>编号：</w:t>
      </w:r>
      <w:r>
        <w:rPr>
          <w:rFonts w:hint="eastAsia" w:asciiTheme="minorEastAsia" w:hAnsiTheme="minorEastAsia" w:eastAsiaTheme="minorEastAsia" w:cstheme="minorEastAsia"/>
          <w:b/>
          <w:bCs w:val="0"/>
          <w:color w:val="auto"/>
          <w:sz w:val="32"/>
          <w:szCs w:val="32"/>
          <w:lang w:eastAsia="zh-CN"/>
        </w:rPr>
        <w:t>TGKX2023-022</w:t>
      </w:r>
    </w:p>
    <w:p>
      <w:pPr>
        <w:pStyle w:val="32"/>
        <w:jc w:val="center"/>
        <w:rPr>
          <w:rFonts w:hint="eastAsia" w:asciiTheme="minorEastAsia" w:hAnsiTheme="minorEastAsia" w:eastAsiaTheme="minorEastAsia" w:cstheme="minorEastAsia"/>
          <w:b/>
          <w:bCs w:val="0"/>
          <w:color w:val="auto"/>
          <w:kern w:val="2"/>
          <w:sz w:val="32"/>
          <w:szCs w:val="32"/>
          <w:lang w:val="en-US" w:eastAsia="zh-CN" w:bidi="ar-SA"/>
        </w:rPr>
      </w:pPr>
      <w:r>
        <w:rPr>
          <w:rFonts w:hint="eastAsia" w:asciiTheme="minorEastAsia" w:hAnsiTheme="minorEastAsia" w:eastAsiaTheme="minorEastAsia" w:cstheme="minorEastAsia"/>
          <w:b/>
          <w:bCs w:val="0"/>
          <w:color w:val="auto"/>
          <w:kern w:val="2"/>
          <w:sz w:val="32"/>
          <w:szCs w:val="32"/>
          <w:lang w:val="en-US" w:eastAsia="zh-CN" w:bidi="ar-SA"/>
        </w:rPr>
        <w:t>（第五包）</w:t>
      </w:r>
    </w:p>
    <w:p>
      <w:pPr>
        <w:rPr>
          <w:rFonts w:hint="eastAsia" w:asciiTheme="minorEastAsia" w:hAnsiTheme="minorEastAsia" w:eastAsiaTheme="minorEastAsia" w:cstheme="minorEastAsia"/>
          <w:color w:val="auto"/>
        </w:rPr>
      </w:pPr>
    </w:p>
    <w:p>
      <w:pPr>
        <w:pStyle w:val="9"/>
        <w:rPr>
          <w:rFonts w:hint="eastAsia" w:asciiTheme="minorEastAsia" w:hAnsiTheme="minorEastAsia" w:eastAsiaTheme="minorEastAsia" w:cstheme="minorEastAsia"/>
          <w:color w:val="auto"/>
        </w:rPr>
      </w:pPr>
    </w:p>
    <w:p>
      <w:pPr>
        <w:pStyle w:val="9"/>
        <w:rPr>
          <w:rFonts w:hint="eastAsia" w:asciiTheme="minorEastAsia" w:hAnsiTheme="minorEastAsia" w:eastAsiaTheme="minorEastAsia" w:cstheme="minorEastAsia"/>
          <w:color w:val="auto"/>
        </w:rPr>
      </w:pPr>
    </w:p>
    <w:p>
      <w:pPr>
        <w:spacing w:line="240" w:lineRule="exact"/>
        <w:jc w:val="center"/>
        <w:rPr>
          <w:rFonts w:hint="eastAsia" w:asciiTheme="minorEastAsia" w:hAnsiTheme="minorEastAsia" w:eastAsiaTheme="minorEastAsia" w:cstheme="minorEastAsia"/>
          <w:b/>
          <w:color w:val="auto"/>
          <w:sz w:val="18"/>
          <w:szCs w:val="18"/>
        </w:rPr>
      </w:pPr>
    </w:p>
    <w:p>
      <w:pPr>
        <w:jc w:val="center"/>
        <w:rPr>
          <w:rFonts w:hint="eastAsia" w:asciiTheme="minorEastAsia" w:hAnsiTheme="minorEastAsia" w:eastAsiaTheme="minorEastAsia" w:cstheme="minorEastAsia"/>
          <w:b/>
          <w:color w:val="auto"/>
          <w:sz w:val="84"/>
          <w:szCs w:val="84"/>
        </w:rPr>
      </w:pPr>
      <w:r>
        <w:rPr>
          <w:rFonts w:hint="eastAsia" w:asciiTheme="minorEastAsia" w:hAnsiTheme="minorEastAsia" w:eastAsiaTheme="minorEastAsia" w:cstheme="minorEastAsia"/>
          <w:b/>
          <w:color w:val="auto"/>
          <w:sz w:val="84"/>
          <w:szCs w:val="84"/>
          <w:lang w:val="en-US" w:eastAsia="zh-CN"/>
        </w:rPr>
        <w:t>征集响应</w:t>
      </w:r>
      <w:r>
        <w:rPr>
          <w:rFonts w:hint="eastAsia" w:asciiTheme="minorEastAsia" w:hAnsiTheme="minorEastAsia" w:eastAsiaTheme="minorEastAsia" w:cstheme="minorEastAsia"/>
          <w:b/>
          <w:color w:val="auto"/>
          <w:sz w:val="84"/>
          <w:szCs w:val="84"/>
        </w:rPr>
        <w:t>文件</w:t>
      </w:r>
    </w:p>
    <w:p>
      <w:pPr>
        <w:rPr>
          <w:rFonts w:hint="eastAsia" w:asciiTheme="minorEastAsia" w:hAnsiTheme="minorEastAsia" w:eastAsiaTheme="minorEastAsia" w:cstheme="minorEastAsia"/>
          <w:b/>
          <w:color w:val="auto"/>
          <w:sz w:val="30"/>
          <w:szCs w:val="30"/>
        </w:rPr>
      </w:pPr>
    </w:p>
    <w:p>
      <w:pPr>
        <w:pStyle w:val="56"/>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55"/>
        <w:rPr>
          <w:rFonts w:hint="eastAsia" w:asciiTheme="minorEastAsia" w:hAnsiTheme="minorEastAsia" w:eastAsiaTheme="minorEastAsia" w:cstheme="minorEastAsia"/>
          <w:color w:val="auto"/>
        </w:rPr>
      </w:pPr>
    </w:p>
    <w:p>
      <w:pPr>
        <w:pStyle w:val="55"/>
        <w:rPr>
          <w:rFonts w:hint="eastAsia" w:asciiTheme="minorEastAsia" w:hAnsiTheme="minorEastAsia" w:eastAsiaTheme="minorEastAsia" w:cstheme="minorEastAsia"/>
          <w:color w:val="auto"/>
        </w:rPr>
      </w:pPr>
    </w:p>
    <w:p>
      <w:pPr>
        <w:pStyle w:val="55"/>
        <w:rPr>
          <w:rFonts w:hint="eastAsia" w:asciiTheme="minorEastAsia" w:hAnsiTheme="minorEastAsia" w:eastAsiaTheme="minorEastAsia" w:cstheme="minorEastAsia"/>
          <w:color w:val="auto"/>
        </w:rPr>
      </w:pPr>
    </w:p>
    <w:p>
      <w:pPr>
        <w:keepNext w:val="0"/>
        <w:keepLines w:val="0"/>
        <w:pageBreakBefore w:val="0"/>
        <w:widowControl w:val="0"/>
        <w:kinsoku/>
        <w:wordWrap/>
        <w:overflowPunct/>
        <w:topLinePunct w:val="0"/>
        <w:autoSpaceDE/>
        <w:autoSpaceDN/>
        <w:bidi w:val="0"/>
        <w:adjustRightInd/>
        <w:snapToGrid/>
        <w:spacing w:line="800" w:lineRule="exact"/>
        <w:ind w:firstLine="643" w:firstLineChars="200"/>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lang w:eastAsia="zh-CN"/>
        </w:rPr>
        <w:t>供</w:t>
      </w:r>
      <w:r>
        <w:rPr>
          <w:rFonts w:hint="eastAsia" w:asciiTheme="minorEastAsia" w:hAnsiTheme="minorEastAsia" w:eastAsiaTheme="minorEastAsia" w:cstheme="minorEastAsia"/>
          <w:b/>
          <w:color w:val="auto"/>
          <w:sz w:val="32"/>
          <w:szCs w:val="32"/>
          <w:lang w:val="en-US" w:eastAsia="zh-CN"/>
        </w:rPr>
        <w:t xml:space="preserve">  </w:t>
      </w:r>
      <w:r>
        <w:rPr>
          <w:rFonts w:hint="eastAsia" w:asciiTheme="minorEastAsia" w:hAnsiTheme="minorEastAsia" w:eastAsiaTheme="minorEastAsia" w:cstheme="minorEastAsia"/>
          <w:b/>
          <w:color w:val="auto"/>
          <w:sz w:val="32"/>
          <w:szCs w:val="32"/>
          <w:lang w:eastAsia="zh-CN"/>
        </w:rPr>
        <w:t>应</w:t>
      </w:r>
      <w:r>
        <w:rPr>
          <w:rFonts w:hint="eastAsia" w:asciiTheme="minorEastAsia" w:hAnsiTheme="minorEastAsia" w:eastAsiaTheme="minorEastAsia" w:cstheme="minorEastAsia"/>
          <w:b/>
          <w:color w:val="auto"/>
          <w:sz w:val="32"/>
          <w:szCs w:val="32"/>
          <w:lang w:val="en-US" w:eastAsia="zh-CN"/>
        </w:rPr>
        <w:t xml:space="preserve">  </w:t>
      </w:r>
      <w:r>
        <w:rPr>
          <w:rFonts w:hint="eastAsia" w:asciiTheme="minorEastAsia" w:hAnsiTheme="minorEastAsia" w:eastAsiaTheme="minorEastAsia" w:cstheme="minorEastAsia"/>
          <w:b/>
          <w:color w:val="auto"/>
          <w:sz w:val="32"/>
          <w:szCs w:val="32"/>
          <w:lang w:eastAsia="zh-CN"/>
        </w:rPr>
        <w:t>商</w:t>
      </w:r>
      <w:r>
        <w:rPr>
          <w:rFonts w:hint="eastAsia" w:asciiTheme="minorEastAsia" w:hAnsiTheme="minorEastAsia" w:eastAsiaTheme="minorEastAsia" w:cstheme="minorEastAsia"/>
          <w:b/>
          <w:color w:val="auto"/>
          <w:sz w:val="32"/>
          <w:szCs w:val="32"/>
        </w:rPr>
        <w:t>：</w:t>
      </w:r>
      <w:r>
        <w:rPr>
          <w:rFonts w:hint="eastAsia" w:asciiTheme="minorEastAsia" w:hAnsiTheme="minorEastAsia" w:eastAsiaTheme="minorEastAsia" w:cstheme="minorEastAsia"/>
          <w:b/>
          <w:color w:val="auto"/>
          <w:sz w:val="32"/>
          <w:szCs w:val="32"/>
          <w:u w:val="single"/>
          <w:lang w:val="en-US" w:eastAsia="zh-CN"/>
        </w:rPr>
        <w:t xml:space="preserve">                  </w:t>
      </w:r>
      <w:r>
        <w:rPr>
          <w:rFonts w:hint="eastAsia" w:asciiTheme="minorEastAsia" w:hAnsiTheme="minorEastAsia" w:eastAsiaTheme="minorEastAsia" w:cstheme="minorEastAsia"/>
          <w:b/>
          <w:color w:val="auto"/>
          <w:sz w:val="32"/>
          <w:szCs w:val="32"/>
          <w:lang w:eastAsia="zh-CN"/>
        </w:rPr>
        <w:t>（</w:t>
      </w:r>
      <w:r>
        <w:rPr>
          <w:rFonts w:hint="eastAsia" w:asciiTheme="minorEastAsia" w:hAnsiTheme="minorEastAsia" w:eastAsiaTheme="minorEastAsia" w:cstheme="minorEastAsia"/>
          <w:b/>
          <w:color w:val="auto"/>
          <w:sz w:val="32"/>
          <w:szCs w:val="32"/>
          <w:lang w:val="en-US" w:eastAsia="zh-CN"/>
        </w:rPr>
        <w:t>盖</w:t>
      </w:r>
      <w:r>
        <w:rPr>
          <w:rFonts w:hint="eastAsia" w:asciiTheme="minorEastAsia" w:hAnsiTheme="minorEastAsia" w:eastAsiaTheme="minorEastAsia" w:cstheme="minorEastAsia"/>
          <w:b/>
          <w:color w:val="auto"/>
          <w:sz w:val="32"/>
          <w:szCs w:val="32"/>
        </w:rPr>
        <w:t>章</w:t>
      </w:r>
      <w:r>
        <w:rPr>
          <w:rFonts w:hint="eastAsia" w:asciiTheme="minorEastAsia" w:hAnsiTheme="minorEastAsia" w:eastAsiaTheme="minorEastAsia" w:cstheme="minorEastAsia"/>
          <w:b/>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800" w:lineRule="exact"/>
        <w:ind w:firstLine="643" w:firstLineChars="200"/>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法定代表人：</w:t>
      </w:r>
      <w:r>
        <w:rPr>
          <w:rFonts w:hint="eastAsia" w:asciiTheme="minorEastAsia" w:hAnsiTheme="minorEastAsia" w:eastAsiaTheme="minorEastAsia" w:cstheme="minorEastAsia"/>
          <w:b/>
          <w:color w:val="auto"/>
          <w:sz w:val="32"/>
          <w:szCs w:val="32"/>
          <w:u w:val="single"/>
          <w:lang w:val="en-US" w:eastAsia="zh-CN"/>
        </w:rPr>
        <w:t xml:space="preserve">                  </w:t>
      </w:r>
      <w:r>
        <w:rPr>
          <w:rFonts w:hint="eastAsia" w:asciiTheme="minorEastAsia" w:hAnsiTheme="minorEastAsia" w:eastAsiaTheme="minorEastAsia" w:cstheme="minorEastAsia"/>
          <w:b/>
          <w:color w:val="auto"/>
          <w:sz w:val="32"/>
          <w:szCs w:val="32"/>
        </w:rPr>
        <w:t>（签字或盖章）</w:t>
      </w:r>
    </w:p>
    <w:p>
      <w:pPr>
        <w:keepNext w:val="0"/>
        <w:keepLines w:val="0"/>
        <w:pageBreakBefore w:val="0"/>
        <w:widowControl/>
        <w:kinsoku/>
        <w:wordWrap/>
        <w:overflowPunct/>
        <w:topLinePunct w:val="0"/>
        <w:autoSpaceDE/>
        <w:autoSpaceDN/>
        <w:bidi w:val="0"/>
        <w:adjustRightInd/>
        <w:snapToGrid/>
        <w:spacing w:line="800" w:lineRule="exact"/>
        <w:ind w:firstLine="0"/>
        <w:jc w:val="center"/>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lang w:eastAsia="zh-CN"/>
        </w:rPr>
        <w:t>2023年</w:t>
      </w:r>
      <w:r>
        <w:rPr>
          <w:rFonts w:hint="eastAsia" w:asciiTheme="minorEastAsia" w:hAnsiTheme="minorEastAsia" w:eastAsiaTheme="minorEastAsia" w:cstheme="minorEastAsia"/>
          <w:b/>
          <w:color w:val="auto"/>
          <w:sz w:val="32"/>
          <w:szCs w:val="32"/>
          <w:lang w:val="en-US" w:eastAsia="zh-CN"/>
        </w:rPr>
        <w:t xml:space="preserve">   </w:t>
      </w:r>
      <w:r>
        <w:rPr>
          <w:rFonts w:hint="eastAsia" w:asciiTheme="minorEastAsia" w:hAnsiTheme="minorEastAsia" w:eastAsiaTheme="minorEastAsia" w:cstheme="minorEastAsia"/>
          <w:b/>
          <w:color w:val="auto"/>
          <w:sz w:val="32"/>
          <w:szCs w:val="32"/>
        </w:rPr>
        <w:t>月</w:t>
      </w:r>
      <w:r>
        <w:rPr>
          <w:rFonts w:hint="eastAsia" w:asciiTheme="minorEastAsia" w:hAnsiTheme="minorEastAsia" w:eastAsiaTheme="minorEastAsia" w:cstheme="minorEastAsia"/>
          <w:b/>
          <w:color w:val="auto"/>
          <w:sz w:val="32"/>
          <w:szCs w:val="32"/>
          <w:lang w:val="en-US" w:eastAsia="zh-CN"/>
        </w:rPr>
        <w:t xml:space="preserve">   </w:t>
      </w:r>
      <w:r>
        <w:rPr>
          <w:rFonts w:hint="eastAsia" w:asciiTheme="minorEastAsia" w:hAnsiTheme="minorEastAsia" w:eastAsiaTheme="minorEastAsia" w:cstheme="minorEastAsia"/>
          <w:b/>
          <w:color w:val="auto"/>
          <w:sz w:val="32"/>
          <w:szCs w:val="32"/>
        </w:rPr>
        <w:t>日</w:t>
      </w:r>
    </w:p>
    <w:p>
      <w:pPr>
        <w:widowControl/>
        <w:jc w:val="left"/>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rPr>
        <w:br w:type="page"/>
      </w:r>
      <w:r>
        <w:rPr>
          <w:rFonts w:hint="eastAsia" w:asciiTheme="minorEastAsia" w:hAnsiTheme="minorEastAsia" w:eastAsiaTheme="minorEastAsia" w:cstheme="minorEastAsia"/>
          <w:b/>
          <w:bCs w:val="0"/>
          <w:color w:val="auto"/>
          <w:sz w:val="28"/>
          <w:szCs w:val="28"/>
        </w:rPr>
        <w:t>附件一：</w:t>
      </w:r>
    </w:p>
    <w:p>
      <w:pPr>
        <w:keepNext w:val="0"/>
        <w:keepLines w:val="0"/>
        <w:pageBreakBefore w:val="0"/>
        <w:widowControl w:val="0"/>
        <w:kinsoku/>
        <w:wordWrap/>
        <w:overflowPunct/>
        <w:topLinePunct w:val="0"/>
        <w:autoSpaceDE/>
        <w:autoSpaceDN/>
        <w:bidi w:val="0"/>
        <w:adjustRightInd/>
        <w:snapToGrid/>
        <w:spacing w:line="700" w:lineRule="exact"/>
        <w:ind w:leftChars="0" w:firstLine="0" w:firstLineChars="0"/>
        <w:jc w:val="center"/>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投</w:t>
      </w: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color w:val="auto"/>
          <w:sz w:val="32"/>
          <w:szCs w:val="32"/>
        </w:rPr>
        <w:t>标</w:t>
      </w: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color w:val="auto"/>
          <w:sz w:val="32"/>
          <w:szCs w:val="32"/>
        </w:rPr>
        <w:t>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致：天水市公共资源交易中心</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我方确认收到贵方提供的</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编号：</w:t>
      </w:r>
      <w:r>
        <w:rPr>
          <w:rFonts w:hint="eastAsia" w:asciiTheme="minorEastAsia" w:hAnsiTheme="minorEastAsia" w:eastAsiaTheme="minorEastAsia" w:cstheme="minorEastAsia"/>
          <w:color w:val="auto"/>
          <w:sz w:val="24"/>
          <w:szCs w:val="24"/>
          <w:lang w:val="en-US" w:eastAsia="zh-CN"/>
        </w:rPr>
        <w:t>TGKX2023-022</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的全部内容，我方：</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eastAsia="zh-CN"/>
        </w:rPr>
        <w:t>供应商</w:t>
      </w:r>
      <w:r>
        <w:rPr>
          <w:rFonts w:hint="eastAsia" w:asciiTheme="minorEastAsia" w:hAnsiTheme="minorEastAsia" w:eastAsiaTheme="minorEastAsia" w:cstheme="minorEastAsia"/>
          <w:color w:val="auto"/>
          <w:sz w:val="24"/>
          <w:szCs w:val="24"/>
          <w:u w:val="single"/>
        </w:rPr>
        <w:t>名称）</w:t>
      </w:r>
      <w:r>
        <w:rPr>
          <w:rFonts w:hint="eastAsia" w:asciiTheme="minorEastAsia" w:hAnsiTheme="minorEastAsia" w:eastAsiaTheme="minorEastAsia" w:cstheme="minorEastAsia"/>
          <w:color w:val="auto"/>
          <w:sz w:val="24"/>
          <w:szCs w:val="24"/>
        </w:rPr>
        <w:t>作为投标者正式授权（授权代表全名、职务）代表我方进行有关本投标的一切事宜。</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在此提交的电子</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加密的电子征集响应文件1份</w:t>
      </w:r>
      <w:r>
        <w:rPr>
          <w:rFonts w:hint="eastAsia" w:asciiTheme="minorEastAsia" w:hAnsiTheme="minorEastAsia" w:eastAsiaTheme="minorEastAsia" w:cstheme="minorEastAsia"/>
          <w:color w:val="auto"/>
          <w:sz w:val="24"/>
          <w:szCs w:val="24"/>
        </w:rPr>
        <w:t>。包括如下等内容：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投标函（附件一）；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lang w:val="en-US" w:eastAsia="zh-CN"/>
        </w:rPr>
        <w:t>身份证明及</w:t>
      </w:r>
      <w:r>
        <w:rPr>
          <w:rFonts w:hint="eastAsia" w:asciiTheme="minorEastAsia" w:hAnsiTheme="minorEastAsia" w:eastAsiaTheme="minorEastAsia" w:cstheme="minorEastAsia"/>
          <w:color w:val="auto"/>
          <w:sz w:val="24"/>
          <w:szCs w:val="24"/>
        </w:rPr>
        <w:t>授权书（附加二）；</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供应商资格证明文件（附件三）；</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投标报价一览表（附件</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价格</w:t>
      </w:r>
      <w:r>
        <w:rPr>
          <w:rFonts w:hint="eastAsia" w:asciiTheme="minorEastAsia" w:hAnsiTheme="minorEastAsia" w:eastAsiaTheme="minorEastAsia" w:cstheme="minorEastAsia"/>
          <w:color w:val="auto"/>
          <w:sz w:val="24"/>
          <w:szCs w:val="24"/>
          <w:lang w:eastAsia="zh-CN"/>
        </w:rPr>
        <w:t>明细表</w:t>
      </w:r>
      <w:r>
        <w:rPr>
          <w:rFonts w:hint="eastAsia" w:asciiTheme="minorEastAsia" w:hAnsiTheme="minorEastAsia" w:eastAsiaTheme="minorEastAsia" w:cstheme="minorEastAsia"/>
          <w:color w:val="auto"/>
          <w:sz w:val="24"/>
          <w:szCs w:val="24"/>
        </w:rPr>
        <w:t>（附件五）；</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）商务条款偏离表（</w:t>
      </w:r>
      <w:r>
        <w:rPr>
          <w:rFonts w:hint="eastAsia" w:asciiTheme="minorEastAsia" w:hAnsiTheme="minorEastAsia" w:eastAsiaTheme="minorEastAsia" w:cstheme="minorEastAsia"/>
          <w:color w:val="auto"/>
          <w:sz w:val="24"/>
          <w:szCs w:val="24"/>
          <w:lang w:val="en-US" w:eastAsia="zh-CN"/>
        </w:rPr>
        <w:t>附件六</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）售后服务承诺（附件七）；</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lang w:eastAsia="zh-CN"/>
        </w:rPr>
        <w:t>）具备法律、行政法规规定的其他条件的证明材料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我方已完全明白</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的所有条款要求，并重申以下几点：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我方决定参加：</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编号为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号的投标；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全部</w:t>
      </w:r>
      <w:r>
        <w:rPr>
          <w:rFonts w:hint="eastAsia" w:asciiTheme="minorEastAsia" w:hAnsiTheme="minorEastAsia" w:eastAsiaTheme="minorEastAsia" w:cstheme="minorEastAsia"/>
          <w:color w:val="auto"/>
          <w:sz w:val="24"/>
          <w:szCs w:val="24"/>
        </w:rPr>
        <w:t>投标总价为：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优惠率大写</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本</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的有效期在投标截止日后</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天有效，如中标，有效期将延至合同终止日为止；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我方已详细研究了</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的所有内容包括修正文（如果有）和所有已提供的参考资料以及有关附件并完全明白，我方放弃在此方面提出含糊意见或误解的一切权力。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我方同意按照贵方可能提出的要求而提供与投标有关的任何其它数据或信息。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我方理解贵方不一定接受最低标价或任何贵方可能收到的投标。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我方如果中标，将保证履行</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及其补充文件中的全部责任和义务，按质、按量、按期完成《合同书》中的全部任务。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所有与本</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有关的函件请发往下列地址：</w:t>
      </w:r>
    </w:p>
    <w:tbl>
      <w:tblPr>
        <w:tblStyle w:val="39"/>
        <w:tblW w:w="8190" w:type="dxa"/>
        <w:jc w:val="center"/>
        <w:tblLayout w:type="fixed"/>
        <w:tblCellMar>
          <w:top w:w="0" w:type="dxa"/>
          <w:left w:w="108" w:type="dxa"/>
          <w:bottom w:w="0" w:type="dxa"/>
          <w:right w:w="108" w:type="dxa"/>
        </w:tblCellMar>
      </w:tblPr>
      <w:tblGrid>
        <w:gridCol w:w="4680"/>
        <w:gridCol w:w="3510"/>
      </w:tblGrid>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传真</w:t>
            </w:r>
          </w:p>
        </w:tc>
      </w:tr>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Theme="minorEastAsia" w:hAnsiTheme="minorEastAsia" w:eastAsiaTheme="minorEastAsia" w:cstheme="minorEastAsia"/>
                <w:color w:val="auto"/>
                <w:sz w:val="24"/>
                <w:szCs w:val="24"/>
              </w:rPr>
            </w:pPr>
          </w:p>
        </w:tc>
      </w:tr>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代表签字</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Theme="minorEastAsia" w:hAnsiTheme="minorEastAsia" w:eastAsiaTheme="minorEastAsia" w:cstheme="minorEastAsia"/>
                <w:color w:val="auto"/>
                <w:sz w:val="24"/>
                <w:szCs w:val="24"/>
              </w:rPr>
            </w:pPr>
          </w:p>
        </w:tc>
      </w:tr>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Theme="minorEastAsia" w:hAnsiTheme="minorEastAsia" w:eastAsiaTheme="minorEastAsia" w:cstheme="minorEastAsia"/>
                <w:color w:val="auto"/>
                <w:sz w:val="24"/>
                <w:szCs w:val="24"/>
              </w:rPr>
            </w:pPr>
          </w:p>
        </w:tc>
      </w:tr>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Theme="minorEastAsia" w:hAnsiTheme="minorEastAsia" w:eastAsiaTheme="minorEastAsia" w:cstheme="minorEastAsia"/>
                <w:color w:val="auto"/>
                <w:sz w:val="24"/>
                <w:szCs w:val="24"/>
              </w:rPr>
            </w:pPr>
          </w:p>
        </w:tc>
      </w:tr>
    </w:tbl>
    <w:p>
      <w:pPr>
        <w:keepNext w:val="0"/>
        <w:keepLines w:val="0"/>
        <w:pageBreakBefore w:val="0"/>
        <w:overflowPunct/>
        <w:topLinePunct w:val="0"/>
        <w:bidi w:val="0"/>
        <w:outlineLvl w:val="9"/>
        <w:rPr>
          <w:rFonts w:hint="eastAsia" w:asciiTheme="minorEastAsia" w:hAnsiTheme="minorEastAsia" w:eastAsiaTheme="minorEastAsia" w:cstheme="minorEastAsia"/>
          <w:color w:val="auto"/>
          <w:szCs w:val="21"/>
        </w:rPr>
        <w:sectPr>
          <w:footerReference r:id="rId4" w:type="default"/>
          <w:footerReference r:id="rId5" w:type="even"/>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type="lines" w:linePitch="313" w:charSpace="0"/>
        </w:sectPr>
      </w:pPr>
    </w:p>
    <w:p>
      <w:pPr>
        <w:keepNext w:val="0"/>
        <w:keepLines w:val="0"/>
        <w:pageBreakBefore w:val="0"/>
        <w:overflowPunct/>
        <w:topLinePunct w:val="0"/>
        <w:bidi w:val="0"/>
        <w:spacing w:line="480" w:lineRule="exact"/>
        <w:outlineLvl w:val="9"/>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附件二</w:t>
      </w:r>
    </w:p>
    <w:bookmarkEnd w:id="221"/>
    <w:bookmarkEnd w:id="222"/>
    <w:p>
      <w:pPr>
        <w:keepNext w:val="0"/>
        <w:keepLines w:val="0"/>
        <w:pageBreakBefore w:val="0"/>
        <w:overflowPunct/>
        <w:topLinePunct w:val="0"/>
        <w:bidi w:val="0"/>
        <w:spacing w:line="460" w:lineRule="exact"/>
        <w:jc w:val="center"/>
        <w:outlineLvl w:val="9"/>
        <w:rPr>
          <w:rFonts w:hint="eastAsia" w:asciiTheme="minorEastAsia" w:hAnsiTheme="minorEastAsia" w:eastAsiaTheme="minorEastAsia" w:cstheme="minorEastAsia"/>
          <w:b w:val="0"/>
          <w:bCs/>
          <w:color w:val="auto"/>
          <w:sz w:val="28"/>
          <w:szCs w:val="28"/>
        </w:rPr>
      </w:pPr>
      <w:bookmarkStart w:id="224" w:name="_Toc60421814"/>
      <w:r>
        <w:rPr>
          <w:rFonts w:hint="eastAsia" w:asciiTheme="minorEastAsia" w:hAnsiTheme="minorEastAsia" w:eastAsiaTheme="minorEastAsia" w:cstheme="minorEastAsia"/>
          <w:b w:val="0"/>
          <w:bCs/>
          <w:color w:val="auto"/>
          <w:sz w:val="28"/>
          <w:szCs w:val="28"/>
        </w:rPr>
        <w:t>法定代表人身份证明(法定代表人参加投标)</w:t>
      </w:r>
    </w:p>
    <w:p>
      <w:pPr>
        <w:keepNext w:val="0"/>
        <w:keepLines w:val="0"/>
        <w:pageBreakBefore w:val="0"/>
        <w:overflowPunct/>
        <w:topLinePunct w:val="0"/>
        <w:bidi w:val="0"/>
        <w:snapToGrid w:val="0"/>
        <w:spacing w:line="460" w:lineRule="exact"/>
        <w:outlineLvl w:val="9"/>
        <w:rPr>
          <w:rFonts w:hint="eastAsia" w:asciiTheme="minorEastAsia" w:hAnsiTheme="minorEastAsia" w:eastAsiaTheme="minorEastAsia" w:cstheme="minorEastAsia"/>
          <w:color w:val="auto"/>
          <w:sz w:val="24"/>
        </w:rPr>
      </w:pP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注册号：</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注册地址：</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成立时间：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年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日</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经营期限：</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经营范围：主营：</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；兼营：</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性别：</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年龄：</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系</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名称）的法定代表人。</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特此证明。</w:t>
      </w:r>
    </w:p>
    <w:p>
      <w:pPr>
        <w:keepNext w:val="0"/>
        <w:keepLines w:val="0"/>
        <w:pageBreakBefore w:val="0"/>
        <w:overflowPunct/>
        <w:topLinePunct w:val="0"/>
        <w:bidi w:val="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tbl>
      <w:tblPr>
        <w:tblStyle w:val="39"/>
        <w:tblW w:w="7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jc w:val="center"/>
        </w:trPr>
        <w:tc>
          <w:tcPr>
            <w:tcW w:w="7520" w:type="dxa"/>
            <w:vAlign w:val="center"/>
          </w:tcPr>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法定代表人身份证</w:t>
            </w:r>
          </w:p>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复印件（正反面）</w:t>
            </w:r>
          </w:p>
        </w:tc>
      </w:tr>
    </w:tbl>
    <w:p>
      <w:pPr>
        <w:keepNext w:val="0"/>
        <w:keepLines w:val="0"/>
        <w:pageBreakBefore w:val="0"/>
        <w:overflowPunct/>
        <w:topLinePunct w:val="0"/>
        <w:bidi w:val="0"/>
        <w:outlineLvl w:val="9"/>
        <w:rPr>
          <w:rFonts w:hint="eastAsia" w:asciiTheme="minorEastAsia" w:hAnsiTheme="minorEastAsia" w:eastAsiaTheme="minorEastAsia" w:cstheme="minorEastAsia"/>
          <w:b/>
          <w:color w:val="auto"/>
          <w:sz w:val="24"/>
          <w:szCs w:val="24"/>
        </w:rPr>
      </w:pPr>
    </w:p>
    <w:p>
      <w:pPr>
        <w:keepNext w:val="0"/>
        <w:keepLines w:val="0"/>
        <w:pageBreakBefore w:val="0"/>
        <w:overflowPunct/>
        <w:topLinePunct w:val="0"/>
        <w:bidi w:val="0"/>
        <w:outlineLvl w:val="9"/>
        <w:rPr>
          <w:rFonts w:hint="eastAsia" w:asciiTheme="minorEastAsia" w:hAnsiTheme="minorEastAsia" w:eastAsiaTheme="minorEastAsia" w:cstheme="minorEastAsia"/>
          <w:b/>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rPr>
      </w:pPr>
    </w:p>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rPr>
      </w:pPr>
    </w:p>
    <w:p>
      <w:pPr>
        <w:keepNext w:val="0"/>
        <w:keepLines w:val="0"/>
        <w:pageBreakBefore w:val="0"/>
        <w:overflowPunct/>
        <w:topLinePunct w:val="0"/>
        <w:bidi w:val="0"/>
        <w:spacing w:line="460" w:lineRule="exact"/>
        <w:jc w:val="center"/>
        <w:outlineLvl w:val="9"/>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法定代表人授权书(委托代理人参加投标)</w:t>
      </w:r>
    </w:p>
    <w:p>
      <w:pPr>
        <w:keepNext w:val="0"/>
        <w:keepLines w:val="0"/>
        <w:pageBreakBefore w:val="0"/>
        <w:overflowPunct/>
        <w:topLinePunct w:val="0"/>
        <w:bidi w:val="0"/>
        <w:spacing w:line="460" w:lineRule="exact"/>
        <w:outlineLvl w:val="9"/>
        <w:rPr>
          <w:rFonts w:hint="eastAsia" w:asciiTheme="minorEastAsia" w:hAnsiTheme="minorEastAsia" w:eastAsia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名称）：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本授权声明：</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（法定代表人姓名、职务）授权</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（被授权人姓名、职务）为我方 “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项目（</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编号）投标活动的合法代表，以我方名义全权处理该项目有关投标、签订合同以及执行合同等一切事宜。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特此声明。</w:t>
      </w:r>
    </w:p>
    <w:p>
      <w:pPr>
        <w:keepNext w:val="0"/>
        <w:keepLines w:val="0"/>
        <w:pageBreakBefore w:val="0"/>
        <w:overflowPunct/>
        <w:topLinePunct w:val="0"/>
        <w:bidi w:val="0"/>
        <w:adjustRightInd w:val="0"/>
        <w:snapToGrid w:val="0"/>
        <w:ind w:firstLine="480" w:firstLineChars="200"/>
        <w:outlineLvl w:val="9"/>
        <w:rPr>
          <w:rFonts w:hint="eastAsia" w:asciiTheme="minorEastAsia" w:hAnsiTheme="minorEastAsia" w:eastAsiaTheme="minorEastAsia" w:cstheme="minorEastAsia"/>
          <w:color w:val="auto"/>
          <w:sz w:val="24"/>
          <w:szCs w:val="24"/>
        </w:rPr>
      </w:pPr>
    </w:p>
    <w:tbl>
      <w:tblPr>
        <w:tblStyle w:val="39"/>
        <w:tblW w:w="93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3"/>
        <w:gridCol w:w="4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2" w:hRule="atLeast"/>
        </w:trPr>
        <w:tc>
          <w:tcPr>
            <w:tcW w:w="4603" w:type="dxa"/>
            <w:vAlign w:val="center"/>
          </w:tcPr>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法定代表人身份证</w:t>
            </w:r>
          </w:p>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复印件（正反面）</w:t>
            </w:r>
          </w:p>
        </w:tc>
        <w:tc>
          <w:tcPr>
            <w:tcW w:w="4716" w:type="dxa"/>
            <w:vAlign w:val="center"/>
          </w:tcPr>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委托代理人身份证</w:t>
            </w:r>
          </w:p>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  复印件（正反面）</w:t>
            </w:r>
          </w:p>
        </w:tc>
      </w:tr>
    </w:tbl>
    <w:p>
      <w:pPr>
        <w:keepNext w:val="0"/>
        <w:keepLines w:val="0"/>
        <w:pageBreakBefore w:val="0"/>
        <w:overflowPunct/>
        <w:topLinePunct w:val="0"/>
        <w:bidi w:val="0"/>
        <w:ind w:firstLine="480" w:firstLineChars="200"/>
        <w:outlineLvl w:val="9"/>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（盖章）：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委托代理人（签字）：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4"/>
          <w:szCs w:val="24"/>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4"/>
          <w:szCs w:val="24"/>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4"/>
          <w:szCs w:val="24"/>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8"/>
          <w:szCs w:val="28"/>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8"/>
          <w:szCs w:val="28"/>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8"/>
          <w:szCs w:val="28"/>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8"/>
          <w:szCs w:val="28"/>
        </w:rPr>
      </w:pPr>
    </w:p>
    <w:p>
      <w:pPr>
        <w:keepNext w:val="0"/>
        <w:keepLines w:val="0"/>
        <w:pageBreakBefore w:val="0"/>
        <w:overflowPunct/>
        <w:topLinePunct w:val="0"/>
        <w:bidi w:val="0"/>
        <w:spacing w:line="480" w:lineRule="exact"/>
        <w:outlineLvl w:val="9"/>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附件三</w:t>
      </w:r>
    </w:p>
    <w:bookmarkEnd w:id="224"/>
    <w:p>
      <w:pPr>
        <w:keepNext w:val="0"/>
        <w:keepLines w:val="0"/>
        <w:pageBreakBefore w:val="0"/>
        <w:widowControl w:val="0"/>
        <w:kinsoku/>
        <w:wordWrap/>
        <w:overflowPunct/>
        <w:topLinePunct w:val="0"/>
        <w:autoSpaceDE/>
        <w:autoSpaceDN/>
        <w:bidi w:val="0"/>
        <w:adjustRightInd/>
        <w:snapToGrid/>
        <w:spacing w:before="158" w:beforeLines="50" w:after="158" w:afterLines="50" w:line="700" w:lineRule="exact"/>
        <w:jc w:val="center"/>
        <w:textAlignment w:val="auto"/>
        <w:outlineLvl w:val="9"/>
        <w:rPr>
          <w:rFonts w:hint="eastAsia" w:asciiTheme="minorEastAsia" w:hAnsiTheme="minorEastAsia" w:eastAsiaTheme="minorEastAsia" w:cstheme="minorEastAsia"/>
          <w:b/>
          <w:bCs w:val="0"/>
          <w:color w:val="auto"/>
          <w:sz w:val="32"/>
          <w:szCs w:val="32"/>
        </w:rPr>
      </w:pPr>
      <w:bookmarkStart w:id="225" w:name="_Toc60421818"/>
      <w:bookmarkStart w:id="226" w:name="_Toc327949264"/>
      <w:r>
        <w:rPr>
          <w:rFonts w:hint="eastAsia" w:asciiTheme="minorEastAsia" w:hAnsiTheme="minorEastAsia" w:eastAsiaTheme="minorEastAsia" w:cstheme="minorEastAsia"/>
          <w:b/>
          <w:bCs w:val="0"/>
          <w:color w:val="auto"/>
          <w:sz w:val="32"/>
          <w:szCs w:val="32"/>
          <w:lang w:eastAsia="zh-CN"/>
        </w:rPr>
        <w:t>供应商</w:t>
      </w:r>
      <w:r>
        <w:rPr>
          <w:rFonts w:hint="eastAsia" w:asciiTheme="minorEastAsia" w:hAnsiTheme="minorEastAsia" w:eastAsiaTheme="minorEastAsia" w:cstheme="minorEastAsia"/>
          <w:b/>
          <w:bCs w:val="0"/>
          <w:color w:val="auto"/>
          <w:sz w:val="32"/>
          <w:szCs w:val="32"/>
        </w:rPr>
        <w:t>资格证明文件</w:t>
      </w:r>
    </w:p>
    <w:tbl>
      <w:tblPr>
        <w:tblStyle w:val="39"/>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08"/>
        <w:gridCol w:w="1076"/>
        <w:gridCol w:w="1390"/>
        <w:gridCol w:w="1393"/>
        <w:gridCol w:w="8"/>
        <w:gridCol w:w="1475"/>
        <w:gridCol w:w="178"/>
        <w:gridCol w:w="1126"/>
        <w:gridCol w:w="121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名称</w:t>
            </w:r>
          </w:p>
        </w:tc>
        <w:tc>
          <w:tcPr>
            <w:tcW w:w="7862" w:type="dxa"/>
            <w:gridSpan w:val="8"/>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注册地址</w:t>
            </w:r>
          </w:p>
        </w:tc>
        <w:tc>
          <w:tcPr>
            <w:tcW w:w="3867"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47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邮政编码</w:t>
            </w:r>
          </w:p>
        </w:tc>
        <w:tc>
          <w:tcPr>
            <w:tcW w:w="2520"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联系方式</w:t>
            </w:r>
          </w:p>
        </w:tc>
        <w:tc>
          <w:tcPr>
            <w:tcW w:w="10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联系人</w:t>
            </w:r>
          </w:p>
        </w:tc>
        <w:tc>
          <w:tcPr>
            <w:tcW w:w="27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4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电话</w:t>
            </w:r>
          </w:p>
        </w:tc>
        <w:tc>
          <w:tcPr>
            <w:tcW w:w="2520"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0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传真</w:t>
            </w:r>
          </w:p>
        </w:tc>
        <w:tc>
          <w:tcPr>
            <w:tcW w:w="27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4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网址</w:t>
            </w:r>
          </w:p>
        </w:tc>
        <w:tc>
          <w:tcPr>
            <w:tcW w:w="2520"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组织结构</w:t>
            </w:r>
          </w:p>
        </w:tc>
        <w:tc>
          <w:tcPr>
            <w:tcW w:w="7862" w:type="dxa"/>
            <w:gridSpan w:val="8"/>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法定代表人</w:t>
            </w:r>
          </w:p>
        </w:tc>
        <w:tc>
          <w:tcPr>
            <w:tcW w:w="10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姓名</w:t>
            </w:r>
          </w:p>
        </w:tc>
        <w:tc>
          <w:tcPr>
            <w:tcW w:w="139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技术职称</w:t>
            </w:r>
          </w:p>
        </w:tc>
        <w:tc>
          <w:tcPr>
            <w:tcW w:w="14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04"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电话</w:t>
            </w:r>
          </w:p>
        </w:tc>
        <w:tc>
          <w:tcPr>
            <w:tcW w:w="121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技术负责人</w:t>
            </w:r>
          </w:p>
        </w:tc>
        <w:tc>
          <w:tcPr>
            <w:tcW w:w="10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姓名</w:t>
            </w:r>
          </w:p>
        </w:tc>
        <w:tc>
          <w:tcPr>
            <w:tcW w:w="139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技术职称</w:t>
            </w:r>
          </w:p>
        </w:tc>
        <w:tc>
          <w:tcPr>
            <w:tcW w:w="14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04"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电话</w:t>
            </w:r>
          </w:p>
        </w:tc>
        <w:tc>
          <w:tcPr>
            <w:tcW w:w="121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成立时间</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5396" w:type="dxa"/>
            <w:gridSpan w:val="6"/>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企业资质等级</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其中</w:t>
            </w: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项目经理</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营业执照号</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高级职称人员</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注册资金</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中级职称人员</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开户银行</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初级职称人员</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账   号</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   工</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43" w:hRule="atLeas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经营范围</w:t>
            </w:r>
          </w:p>
        </w:tc>
        <w:tc>
          <w:tcPr>
            <w:tcW w:w="7862" w:type="dxa"/>
            <w:gridSpan w:val="8"/>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1" w:hRule="atLeas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备注</w:t>
            </w:r>
          </w:p>
        </w:tc>
        <w:tc>
          <w:tcPr>
            <w:tcW w:w="7862" w:type="dxa"/>
            <w:gridSpan w:val="8"/>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bl>
    <w:p>
      <w:pPr>
        <w:keepNext w:val="0"/>
        <w:keepLines w:val="0"/>
        <w:pageBreakBefore w:val="0"/>
        <w:overflowPunct/>
        <w:topLinePunct w:val="0"/>
        <w:bidi w:val="0"/>
        <w:spacing w:line="480" w:lineRule="exact"/>
        <w:outlineLvl w:val="9"/>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rPr>
        <w:t>附件</w:t>
      </w:r>
      <w:r>
        <w:rPr>
          <w:rFonts w:hint="eastAsia" w:asciiTheme="minorEastAsia" w:hAnsiTheme="minorEastAsia" w:eastAsiaTheme="minorEastAsia" w:cstheme="minorEastAsia"/>
          <w:b/>
          <w:bCs w:val="0"/>
          <w:color w:val="auto"/>
          <w:sz w:val="28"/>
          <w:szCs w:val="28"/>
          <w:lang w:val="en-US" w:eastAsia="zh-CN"/>
        </w:rPr>
        <w:t>四</w:t>
      </w:r>
    </w:p>
    <w:p>
      <w:pPr>
        <w:keepNext w:val="0"/>
        <w:keepLines w:val="0"/>
        <w:pageBreakBefore w:val="0"/>
        <w:widowControl w:val="0"/>
        <w:tabs>
          <w:tab w:val="left" w:leader="dot" w:pos="8400"/>
        </w:tabs>
        <w:kinsoku/>
        <w:wordWrap/>
        <w:overflowPunct/>
        <w:topLinePunct w:val="0"/>
        <w:autoSpaceDE/>
        <w:autoSpaceDN/>
        <w:bidi w:val="0"/>
        <w:adjustRightInd/>
        <w:snapToGrid/>
        <w:spacing w:line="700" w:lineRule="exact"/>
        <w:ind w:firstLine="0" w:firstLineChars="0"/>
        <w:jc w:val="center"/>
        <w:textAlignment w:val="auto"/>
        <w:outlineLvl w:val="9"/>
        <w:rPr>
          <w:rFonts w:hint="eastAsia" w:asciiTheme="minorEastAsia" w:hAnsiTheme="minorEastAsia" w:eastAsiaTheme="minorEastAsia" w:cstheme="minorEastAsia"/>
          <w:b/>
          <w:bCs w:val="0"/>
          <w:color w:val="auto"/>
          <w:sz w:val="44"/>
          <w:szCs w:val="44"/>
        </w:rPr>
      </w:pPr>
      <w:r>
        <w:rPr>
          <w:rFonts w:hint="eastAsia" w:asciiTheme="minorEastAsia" w:hAnsiTheme="minorEastAsia" w:eastAsiaTheme="minorEastAsia" w:cstheme="minorEastAsia"/>
          <w:b/>
          <w:bCs w:val="0"/>
          <w:color w:val="auto"/>
          <w:sz w:val="32"/>
          <w:szCs w:val="32"/>
        </w:rPr>
        <w:t>投标报价一览表</w:t>
      </w:r>
    </w:p>
    <w:p>
      <w:pPr>
        <w:keepNext w:val="0"/>
        <w:keepLines w:val="0"/>
        <w:pageBreakBefore w:val="0"/>
        <w:tabs>
          <w:tab w:val="left" w:leader="dot" w:pos="8400"/>
        </w:tabs>
        <w:overflowPunct/>
        <w:topLinePunct w:val="0"/>
        <w:bidi w:val="0"/>
        <w:spacing w:line="240" w:lineRule="exact"/>
        <w:ind w:left="361" w:leftChars="-38" w:hanging="441" w:hangingChars="157"/>
        <w:jc w:val="center"/>
        <w:outlineLvl w:val="9"/>
        <w:rPr>
          <w:rFonts w:hint="eastAsia" w:asciiTheme="minorEastAsia" w:hAnsiTheme="minorEastAsia" w:eastAsiaTheme="minorEastAsia" w:cstheme="minorEastAsia"/>
          <w:b/>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outlineLvl w:val="9"/>
        <w:rPr>
          <w:rFonts w:hint="eastAsia" w:asciiTheme="minorEastAsia" w:hAnsiTheme="minorEastAsia" w:eastAsiaTheme="minorEastAsia" w:cstheme="minorEastAsia"/>
          <w:b w:val="0"/>
          <w:bCs/>
          <w:color w:val="auto"/>
          <w:spacing w:val="-6"/>
          <w:sz w:val="24"/>
          <w:szCs w:val="24"/>
          <w:lang w:eastAsia="zh-CN"/>
        </w:rPr>
      </w:pPr>
      <w:r>
        <w:rPr>
          <w:rFonts w:hint="eastAsia" w:asciiTheme="minorEastAsia" w:hAnsiTheme="minorEastAsia" w:eastAsiaTheme="minorEastAsia" w:cstheme="minorEastAsia"/>
          <w:b w:val="0"/>
          <w:bCs/>
          <w:color w:val="auto"/>
          <w:sz w:val="24"/>
          <w:szCs w:val="24"/>
        </w:rPr>
        <w:t>项目名称：天水市行政事业单位2023-2024年度公务用车框架协议采购项目</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第五</w:t>
      </w:r>
      <w:bookmarkStart w:id="272" w:name="_GoBack"/>
      <w:bookmarkEnd w:id="272"/>
      <w:r>
        <w:rPr>
          <w:rFonts w:hint="eastAsia" w:asciiTheme="minorEastAsia" w:hAnsiTheme="minorEastAsia" w:eastAsiaTheme="minorEastAsia" w:cstheme="minorEastAsia"/>
          <w:b w:val="0"/>
          <w:bCs/>
          <w:color w:val="auto"/>
          <w:sz w:val="24"/>
          <w:szCs w:val="24"/>
          <w:lang w:val="en-US" w:eastAsia="zh-CN"/>
        </w:rPr>
        <w:t>包</w:t>
      </w:r>
      <w:r>
        <w:rPr>
          <w:rFonts w:hint="eastAsia" w:asciiTheme="minorEastAsia" w:hAnsiTheme="minorEastAsia" w:eastAsiaTheme="minorEastAsia" w:cstheme="minorEastAsia"/>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outlineLvl w:val="9"/>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框架协议</w:t>
      </w:r>
      <w:r>
        <w:rPr>
          <w:rFonts w:hint="eastAsia" w:asciiTheme="minorEastAsia" w:hAnsiTheme="minorEastAsia" w:eastAsiaTheme="minorEastAsia" w:cstheme="minorEastAsia"/>
          <w:b w:val="0"/>
          <w:bCs/>
          <w:color w:val="auto"/>
          <w:sz w:val="24"/>
          <w:szCs w:val="24"/>
        </w:rPr>
        <w:t>编号：</w:t>
      </w:r>
      <w:r>
        <w:rPr>
          <w:rFonts w:hint="eastAsia" w:asciiTheme="minorEastAsia" w:hAnsiTheme="minorEastAsia" w:eastAsiaTheme="minorEastAsia" w:cstheme="minorEastAsia"/>
          <w:b w:val="0"/>
          <w:bCs/>
          <w:color w:val="auto"/>
          <w:sz w:val="24"/>
          <w:szCs w:val="24"/>
          <w:lang w:eastAsia="zh-CN"/>
        </w:rPr>
        <w:t>TGKX2023-022</w:t>
      </w:r>
      <w:r>
        <w:rPr>
          <w:rFonts w:hint="eastAsia" w:asciiTheme="minorEastAsia" w:hAnsiTheme="minorEastAsia" w:eastAsiaTheme="minorEastAsia" w:cstheme="minorEastAsia"/>
          <w:b w:val="0"/>
          <w:bCs/>
          <w:color w:val="auto"/>
          <w:sz w:val="24"/>
          <w:szCs w:val="24"/>
          <w:lang w:val="en-US" w:eastAsia="zh-CN"/>
        </w:rPr>
        <w:t xml:space="preserve">                            包号：第五包</w:t>
      </w:r>
    </w:p>
    <w:tbl>
      <w:tblPr>
        <w:tblStyle w:val="39"/>
        <w:tblpPr w:leftFromText="180" w:rightFromText="180" w:vertAnchor="text" w:horzAnchor="page" w:tblpX="1585" w:tblpY="141"/>
        <w:tblOverlap w:val="never"/>
        <w:tblW w:w="0" w:type="auto"/>
        <w:tblInd w:w="0" w:type="dxa"/>
        <w:tblLayout w:type="fixed"/>
        <w:tblCellMar>
          <w:top w:w="0" w:type="dxa"/>
          <w:left w:w="30" w:type="dxa"/>
          <w:bottom w:w="0" w:type="dxa"/>
          <w:right w:w="30" w:type="dxa"/>
        </w:tblCellMar>
      </w:tblPr>
      <w:tblGrid>
        <w:gridCol w:w="2824"/>
        <w:gridCol w:w="6000"/>
      </w:tblGrid>
      <w:tr>
        <w:tblPrEx>
          <w:tblCellMar>
            <w:top w:w="0" w:type="dxa"/>
            <w:left w:w="30" w:type="dxa"/>
            <w:bottom w:w="0" w:type="dxa"/>
            <w:right w:w="30" w:type="dxa"/>
          </w:tblCellMar>
        </w:tblPrEx>
        <w:trPr>
          <w:cantSplit/>
          <w:trHeight w:val="850" w:hRule="exact"/>
        </w:trPr>
        <w:tc>
          <w:tcPr>
            <w:tcW w:w="2824" w:type="dxa"/>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outlineLvl w:val="9"/>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eastAsia="zh-CN"/>
              </w:rPr>
              <w:t>投标内容</w:t>
            </w:r>
          </w:p>
        </w:tc>
        <w:tc>
          <w:tcPr>
            <w:tcW w:w="600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outlineLvl w:val="9"/>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val="en-US" w:eastAsia="zh-CN"/>
              </w:rPr>
              <w:t>最高</w:t>
            </w:r>
            <w:r>
              <w:rPr>
                <w:rFonts w:hint="eastAsia" w:asciiTheme="minorEastAsia" w:hAnsiTheme="minorEastAsia" w:eastAsiaTheme="minorEastAsia" w:cstheme="minorEastAsia"/>
                <w:b/>
                <w:bCs w:val="0"/>
                <w:color w:val="auto"/>
                <w:sz w:val="24"/>
                <w:szCs w:val="24"/>
                <w:lang w:eastAsia="zh-CN"/>
              </w:rPr>
              <w:t>优惠率</w:t>
            </w:r>
          </w:p>
        </w:tc>
      </w:tr>
      <w:tr>
        <w:tblPrEx>
          <w:tblCellMar>
            <w:top w:w="0" w:type="dxa"/>
            <w:left w:w="30" w:type="dxa"/>
            <w:bottom w:w="0" w:type="dxa"/>
            <w:right w:w="30" w:type="dxa"/>
          </w:tblCellMar>
        </w:tblPrEx>
        <w:trPr>
          <w:cantSplit/>
          <w:trHeight w:val="850" w:hRule="exact"/>
        </w:trPr>
        <w:tc>
          <w:tcPr>
            <w:tcW w:w="2824" w:type="dxa"/>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outlineLvl w:val="9"/>
              <w:rPr>
                <w:rFonts w:hint="default" w:asciiTheme="minorEastAsia" w:hAnsiTheme="minorEastAsia" w:eastAsiaTheme="minorEastAsia" w:cstheme="minorEastAsia"/>
                <w:b w:val="0"/>
                <w:bCs/>
                <w:color w:val="auto"/>
                <w:sz w:val="24"/>
                <w:szCs w:val="24"/>
                <w:lang w:val="en-US"/>
              </w:rPr>
            </w:pPr>
            <w:r>
              <w:rPr>
                <w:rFonts w:hint="eastAsia" w:asciiTheme="minorEastAsia" w:hAnsiTheme="minorEastAsia" w:eastAsiaTheme="minorEastAsia" w:cstheme="minorEastAsia"/>
                <w:b w:val="0"/>
                <w:bCs/>
                <w:color w:val="auto"/>
                <w:sz w:val="24"/>
                <w:szCs w:val="24"/>
                <w:highlight w:val="none"/>
                <w:lang w:val="en-US" w:eastAsia="zh-CN"/>
              </w:rPr>
              <w:t>投标车辆</w:t>
            </w:r>
          </w:p>
        </w:tc>
        <w:tc>
          <w:tcPr>
            <w:tcW w:w="600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u w:val="none"/>
                <w:lang w:val="en-US" w:eastAsia="zh-CN"/>
              </w:rPr>
              <w:t>优惠率：</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大写：百分之</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lang w:val="en-US" w:eastAsia="zh-CN"/>
              </w:rPr>
              <w:t>。</w:t>
            </w:r>
          </w:p>
        </w:tc>
      </w:tr>
      <w:tr>
        <w:tblPrEx>
          <w:tblCellMar>
            <w:top w:w="0" w:type="dxa"/>
            <w:left w:w="30" w:type="dxa"/>
            <w:bottom w:w="0" w:type="dxa"/>
            <w:right w:w="30" w:type="dxa"/>
          </w:tblCellMar>
        </w:tblPrEx>
        <w:trPr>
          <w:cantSplit/>
          <w:trHeight w:val="850" w:hRule="exact"/>
        </w:trPr>
        <w:tc>
          <w:tcPr>
            <w:tcW w:w="2824"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备注</w:t>
            </w:r>
          </w:p>
        </w:tc>
        <w:tc>
          <w:tcPr>
            <w:tcW w:w="6000"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left="0" w:firstLine="480" w:firstLineChars="200"/>
              <w:textAlignment w:val="auto"/>
              <w:outlineLvl w:val="9"/>
              <w:rPr>
                <w:rFonts w:hint="eastAsia" w:asciiTheme="minorEastAsia" w:hAnsiTheme="minorEastAsia" w:eastAsiaTheme="minorEastAsia" w:cstheme="minorEastAsia"/>
                <w:b w:val="0"/>
                <w:bCs/>
                <w:color w:val="auto"/>
                <w:sz w:val="24"/>
                <w:szCs w:val="24"/>
                <w:u w:val="singl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名称（盖章）：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授权代表（签字）：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期：</w:t>
      </w:r>
      <w:r>
        <w:rPr>
          <w:rFonts w:hint="eastAsia" w:asciiTheme="minorEastAsia" w:hAnsiTheme="minorEastAsia" w:eastAsiaTheme="minorEastAsia" w:cstheme="minorEastAsia"/>
          <w:color w:val="auto"/>
          <w:sz w:val="24"/>
          <w:szCs w:val="24"/>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说明：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1.报价应是</w:t>
      </w:r>
      <w:r>
        <w:rPr>
          <w:rFonts w:hint="eastAsia" w:asciiTheme="minorEastAsia" w:hAnsiTheme="minorEastAsia" w:eastAsiaTheme="minorEastAsia" w:cstheme="minorEastAsia"/>
          <w:bCs/>
          <w:color w:val="auto"/>
          <w:sz w:val="24"/>
          <w:szCs w:val="24"/>
          <w:lang w:val="en-US" w:eastAsia="zh-CN"/>
        </w:rPr>
        <w:t>供应商</w:t>
      </w:r>
      <w:r>
        <w:rPr>
          <w:rFonts w:hint="eastAsia" w:asciiTheme="minorEastAsia" w:hAnsiTheme="minorEastAsia" w:eastAsiaTheme="minorEastAsia" w:cstheme="minorEastAsia"/>
          <w:bCs/>
          <w:color w:val="auto"/>
          <w:sz w:val="24"/>
          <w:szCs w:val="24"/>
        </w:rPr>
        <w:t>最终总价，包括税费和</w:t>
      </w:r>
      <w:r>
        <w:rPr>
          <w:rFonts w:hint="eastAsia" w:asciiTheme="minorEastAsia" w:hAnsiTheme="minorEastAsia" w:eastAsiaTheme="minorEastAsia" w:cstheme="minorEastAsia"/>
          <w:bCs/>
          <w:color w:val="auto"/>
          <w:sz w:val="24"/>
          <w:szCs w:val="24"/>
          <w:lang w:eastAsia="zh-CN"/>
        </w:rPr>
        <w:t>征集文件</w:t>
      </w:r>
      <w:r>
        <w:rPr>
          <w:rFonts w:hint="eastAsia" w:asciiTheme="minorEastAsia" w:hAnsiTheme="minorEastAsia" w:eastAsiaTheme="minorEastAsia" w:cstheme="minorEastAsia"/>
          <w:bCs/>
          <w:color w:val="auto"/>
          <w:sz w:val="24"/>
          <w:szCs w:val="24"/>
        </w:rPr>
        <w:t>规定的</w:t>
      </w:r>
      <w:r>
        <w:rPr>
          <w:rFonts w:hint="eastAsia" w:asciiTheme="minorEastAsia" w:hAnsiTheme="minorEastAsia" w:eastAsiaTheme="minorEastAsia" w:cstheme="minorEastAsia"/>
          <w:bCs/>
          <w:color w:val="auto"/>
          <w:sz w:val="24"/>
          <w:szCs w:val="24"/>
          <w:lang w:val="en-US" w:eastAsia="zh-CN"/>
        </w:rPr>
        <w:t>一切</w:t>
      </w:r>
      <w:r>
        <w:rPr>
          <w:rFonts w:hint="eastAsia" w:asciiTheme="minorEastAsia" w:hAnsiTheme="minorEastAsia" w:eastAsiaTheme="minorEastAsia" w:cstheme="minorEastAsia"/>
          <w:bCs/>
          <w:color w:val="auto"/>
          <w:sz w:val="24"/>
          <w:szCs w:val="24"/>
        </w:rPr>
        <w:t>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2.“开标一览表”必须签字盖章，否则为无效投标。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3.“开标一览表”以包为单位填写。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4.若以联合体参与投标的，应在“</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名称”处注明所有联合体名称。(</w:t>
      </w:r>
      <w:r>
        <w:rPr>
          <w:rFonts w:hint="eastAsia" w:asciiTheme="minorEastAsia" w:hAnsiTheme="minorEastAsia" w:eastAsiaTheme="minorEastAsia" w:cstheme="minorEastAsia"/>
          <w:b/>
          <w:color w:val="auto"/>
          <w:sz w:val="24"/>
          <w:szCs w:val="24"/>
        </w:rPr>
        <w:t>本项目</w:t>
      </w:r>
      <w:r>
        <w:rPr>
          <w:rFonts w:hint="eastAsia" w:asciiTheme="minorEastAsia" w:hAnsiTheme="minorEastAsia" w:eastAsiaTheme="minorEastAsia" w:cstheme="minorEastAsia"/>
          <w:b/>
          <w:color w:val="auto"/>
          <w:sz w:val="24"/>
          <w:szCs w:val="24"/>
          <w:lang w:val="en-US" w:eastAsia="zh-CN"/>
        </w:rPr>
        <w:t>不</w:t>
      </w:r>
      <w:r>
        <w:rPr>
          <w:rFonts w:hint="eastAsia" w:asciiTheme="minorEastAsia" w:hAnsiTheme="minorEastAsia" w:eastAsiaTheme="minorEastAsia" w:cstheme="minorEastAsia"/>
          <w:b/>
          <w:color w:val="auto"/>
          <w:sz w:val="24"/>
          <w:szCs w:val="24"/>
        </w:rPr>
        <w:t>接受联合体</w:t>
      </w:r>
      <w:r>
        <w:rPr>
          <w:rFonts w:hint="eastAsia" w:asciiTheme="minorEastAsia" w:hAnsiTheme="minorEastAsia" w:eastAsiaTheme="minorEastAsia" w:cstheme="minorEastAsia"/>
          <w:b/>
          <w:color w:val="auto"/>
          <w:sz w:val="24"/>
          <w:szCs w:val="24"/>
          <w:lang w:eastAsia="zh-CN"/>
        </w:rPr>
        <w:t>框架协议</w:t>
      </w:r>
      <w:r>
        <w:rPr>
          <w:rFonts w:hint="eastAsia" w:asciiTheme="minorEastAsia" w:hAnsiTheme="minorEastAsia" w:eastAsiaTheme="minorEastAsia" w:cstheme="minorEastAsia"/>
          <w:bCs/>
          <w:color w:val="auto"/>
          <w:sz w:val="24"/>
          <w:szCs w:val="24"/>
        </w:rPr>
        <w:t>)</w:t>
      </w:r>
    </w:p>
    <w:p>
      <w:pPr>
        <w:pStyle w:val="9"/>
        <w:rPr>
          <w:rFonts w:hint="default" w:eastAsiaTheme="minorEastAsia"/>
          <w:lang w:val="en-US" w:eastAsia="zh-CN"/>
        </w:rPr>
      </w:pPr>
      <w:r>
        <w:rPr>
          <w:rFonts w:hint="eastAsia" w:asciiTheme="minorEastAsia" w:hAnsiTheme="minorEastAsia" w:eastAsiaTheme="minorEastAsia" w:cstheme="minorEastAsia"/>
          <w:bCs/>
          <w:color w:val="auto"/>
          <w:sz w:val="24"/>
          <w:szCs w:val="24"/>
          <w:lang w:val="en-US" w:eastAsia="zh-CN"/>
        </w:rPr>
        <w:t>5.最高优惠率是指所投车辆中优惠率最高为最高优惠率。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heme="minorEastAsia" w:hAnsiTheme="minorEastAsia" w:eastAsiaTheme="minorEastAsia" w:cstheme="minorEastAsia"/>
          <w:color w:val="auto"/>
          <w:sz w:val="28"/>
          <w:szCs w:val="28"/>
        </w:rPr>
      </w:pPr>
    </w:p>
    <w:p>
      <w:pPr>
        <w:keepNext w:val="0"/>
        <w:keepLines w:val="0"/>
        <w:pageBreakBefore w:val="0"/>
        <w:overflowPunct/>
        <w:topLinePunct w:val="0"/>
        <w:bidi w:val="0"/>
        <w:spacing w:line="540" w:lineRule="exact"/>
        <w:jc w:val="left"/>
        <w:outlineLvl w:val="9"/>
        <w:rPr>
          <w:rFonts w:hint="eastAsia" w:asciiTheme="minorEastAsia" w:hAnsiTheme="minorEastAsia" w:eastAsiaTheme="minorEastAsia" w:cstheme="minorEastAsia"/>
          <w:color w:val="auto"/>
          <w:sz w:val="24"/>
        </w:rPr>
      </w:pPr>
    </w:p>
    <w:p>
      <w:pPr>
        <w:keepNext w:val="0"/>
        <w:keepLines w:val="0"/>
        <w:pageBreakBefore w:val="0"/>
        <w:overflowPunct/>
        <w:topLinePunct w:val="0"/>
        <w:bidi w:val="0"/>
        <w:spacing w:after="240" w:line="360" w:lineRule="auto"/>
        <w:jc w:val="left"/>
        <w:outlineLvl w:val="9"/>
        <w:rPr>
          <w:rFonts w:hint="eastAsia" w:asciiTheme="minorEastAsia" w:hAnsiTheme="minorEastAsia" w:eastAsiaTheme="minorEastAsia" w:cstheme="minorEastAsia"/>
          <w:b w:val="0"/>
          <w:bCs/>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heme="minorEastAsia" w:hAnsiTheme="minorEastAsia" w:eastAsiaTheme="minorEastAsia" w:cstheme="minorEastAsia"/>
          <w:b w:val="0"/>
          <w:bCs/>
          <w:color w:val="auto"/>
          <w:sz w:val="28"/>
          <w:szCs w:val="28"/>
        </w:rPr>
        <w:sectPr>
          <w:pgSz w:w="11910" w:h="16840"/>
          <w:pgMar w:top="1871" w:right="1531" w:bottom="1757" w:left="1531" w:header="1209" w:footer="1459"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rPr>
        <w:t>附件</w:t>
      </w:r>
      <w:bookmarkStart w:id="227" w:name="_Toc19416"/>
      <w:bookmarkStart w:id="228" w:name="_Toc6777"/>
      <w:bookmarkStart w:id="229" w:name="_Toc5954"/>
      <w:r>
        <w:rPr>
          <w:rFonts w:hint="eastAsia" w:asciiTheme="minorEastAsia" w:hAnsiTheme="minorEastAsia" w:eastAsiaTheme="minorEastAsia" w:cstheme="minorEastAsia"/>
          <w:b/>
          <w:bCs w:val="0"/>
          <w:color w:val="auto"/>
          <w:sz w:val="28"/>
          <w:szCs w:val="28"/>
          <w:lang w:val="en-US" w:eastAsia="zh-CN"/>
        </w:rPr>
        <w:t>五</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heme="minorEastAsia" w:hAnsiTheme="minorEastAsia" w:eastAsiaTheme="minorEastAsia" w:cstheme="minorEastAsia"/>
          <w:b/>
          <w:bCs w:val="0"/>
          <w:color w:val="auto"/>
          <w:sz w:val="32"/>
          <w:szCs w:val="32"/>
          <w:lang w:eastAsia="zh-CN"/>
        </w:rPr>
      </w:pPr>
      <w:r>
        <w:rPr>
          <w:rFonts w:hint="eastAsia" w:asciiTheme="minorEastAsia" w:hAnsiTheme="minorEastAsia" w:eastAsiaTheme="minorEastAsia" w:cstheme="minorEastAsia"/>
          <w:b/>
          <w:bCs w:val="0"/>
          <w:color w:val="auto"/>
          <w:sz w:val="32"/>
          <w:szCs w:val="32"/>
          <w:lang w:val="en-US" w:eastAsia="zh-CN"/>
        </w:rPr>
        <w:t>价格</w:t>
      </w:r>
      <w:r>
        <w:rPr>
          <w:rFonts w:hint="eastAsia" w:asciiTheme="minorEastAsia" w:hAnsiTheme="minorEastAsia" w:eastAsiaTheme="minorEastAsia" w:cstheme="minorEastAsia"/>
          <w:b/>
          <w:bCs w:val="0"/>
          <w:color w:val="auto"/>
          <w:sz w:val="32"/>
          <w:szCs w:val="32"/>
          <w:lang w:eastAsia="zh-CN"/>
        </w:rPr>
        <w:t>明细表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color w:val="auto"/>
          <w:spacing w:val="0"/>
          <w:sz w:val="24"/>
          <w:szCs w:val="24"/>
          <w:lang w:eastAsia="zh-CN"/>
        </w:rPr>
      </w:pPr>
      <w:r>
        <w:rPr>
          <w:rFonts w:hint="eastAsia" w:asciiTheme="minorEastAsia" w:hAnsiTheme="minorEastAsia" w:eastAsiaTheme="minorEastAsia" w:cstheme="minorEastAsia"/>
          <w:b/>
          <w:color w:val="auto"/>
          <w:spacing w:val="0"/>
          <w:sz w:val="24"/>
          <w:szCs w:val="24"/>
        </w:rPr>
        <w:t>项目名称：</w:t>
      </w:r>
      <w:r>
        <w:rPr>
          <w:rFonts w:hint="eastAsia" w:asciiTheme="minorEastAsia" w:hAnsiTheme="minorEastAsia" w:eastAsiaTheme="minorEastAsia" w:cstheme="minorEastAsia"/>
          <w:b/>
          <w:color w:val="auto"/>
          <w:spacing w:val="0"/>
          <w:sz w:val="24"/>
          <w:szCs w:val="24"/>
          <w:lang w:eastAsia="zh-CN"/>
        </w:rPr>
        <w:t>天水市行政事业单位2023-2024年度公务用车框架协议采购项目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heme="minorEastAsia" w:hAnsiTheme="minorEastAsia" w:eastAsiaTheme="minorEastAsia" w:cstheme="minorEastAsia"/>
          <w:b/>
          <w:color w:val="auto"/>
          <w:spacing w:val="0"/>
          <w:sz w:val="24"/>
          <w:szCs w:val="24"/>
          <w:lang w:val="en-US" w:eastAsia="zh-CN"/>
        </w:rPr>
      </w:pPr>
      <w:r>
        <w:rPr>
          <w:rFonts w:hint="eastAsia" w:asciiTheme="minorEastAsia" w:hAnsiTheme="minorEastAsia" w:eastAsiaTheme="minorEastAsia" w:cstheme="minorEastAsia"/>
          <w:b/>
          <w:color w:val="auto"/>
          <w:spacing w:val="0"/>
          <w:sz w:val="24"/>
          <w:szCs w:val="24"/>
          <w:lang w:eastAsia="zh-CN"/>
        </w:rPr>
        <w:t>框架协议</w:t>
      </w:r>
      <w:r>
        <w:rPr>
          <w:rFonts w:hint="eastAsia" w:asciiTheme="minorEastAsia" w:hAnsiTheme="minorEastAsia" w:eastAsiaTheme="minorEastAsia" w:cstheme="minorEastAsia"/>
          <w:b/>
          <w:color w:val="auto"/>
          <w:spacing w:val="0"/>
          <w:sz w:val="24"/>
          <w:szCs w:val="24"/>
        </w:rPr>
        <w:t>编号：</w:t>
      </w:r>
      <w:r>
        <w:rPr>
          <w:rFonts w:hint="eastAsia" w:asciiTheme="minorEastAsia" w:hAnsiTheme="minorEastAsia" w:eastAsiaTheme="minorEastAsia" w:cstheme="minorEastAsia"/>
          <w:b/>
          <w:color w:val="auto"/>
          <w:spacing w:val="0"/>
          <w:sz w:val="24"/>
          <w:szCs w:val="24"/>
          <w:lang w:eastAsia="zh-CN"/>
        </w:rPr>
        <w:t>TGKX2023-022</w:t>
      </w:r>
      <w:r>
        <w:rPr>
          <w:rFonts w:hint="eastAsia" w:asciiTheme="minorEastAsia" w:hAnsiTheme="minorEastAsia" w:eastAsiaTheme="minorEastAsia" w:cstheme="minorEastAsia"/>
          <w:b/>
          <w:color w:val="auto"/>
          <w:spacing w:val="0"/>
          <w:sz w:val="24"/>
          <w:szCs w:val="24"/>
          <w:lang w:val="en-US" w:eastAsia="zh-CN"/>
        </w:rPr>
        <w:t xml:space="preserve">              包号：第五包</w:t>
      </w:r>
    </w:p>
    <w:tbl>
      <w:tblPr>
        <w:tblStyle w:val="39"/>
        <w:tblpPr w:leftFromText="180" w:rightFromText="180" w:vertAnchor="text" w:horzAnchor="page" w:tblpX="1161" w:tblpY="568"/>
        <w:tblOverlap w:val="never"/>
        <w:tblW w:w="15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445"/>
        <w:gridCol w:w="211"/>
        <w:gridCol w:w="1645"/>
        <w:gridCol w:w="1051"/>
        <w:gridCol w:w="714"/>
        <w:gridCol w:w="1016"/>
        <w:gridCol w:w="1146"/>
        <w:gridCol w:w="672"/>
        <w:gridCol w:w="1232"/>
        <w:gridCol w:w="763"/>
        <w:gridCol w:w="1140"/>
        <w:gridCol w:w="1123"/>
        <w:gridCol w:w="1202"/>
        <w:gridCol w:w="930"/>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5"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车型</w:t>
            </w:r>
          </w:p>
        </w:tc>
        <w:tc>
          <w:tcPr>
            <w:tcW w:w="445"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序号</w:t>
            </w:r>
          </w:p>
        </w:tc>
        <w:tc>
          <w:tcPr>
            <w:tcW w:w="1856" w:type="dxa"/>
            <w:gridSpan w:val="2"/>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发动机排气 量</w:t>
            </w:r>
          </w:p>
        </w:tc>
        <w:tc>
          <w:tcPr>
            <w:tcW w:w="1051" w:type="dxa"/>
            <w:vMerge w:val="restart"/>
            <w:noWrap w:val="0"/>
            <w:vAlign w:val="top"/>
          </w:tcPr>
          <w:p>
            <w:pPr>
              <w:spacing w:line="360" w:lineRule="auto"/>
              <w:rPr>
                <w:rFonts w:hint="default" w:ascii="宋体" w:hAnsi="宋体"/>
                <w:snapToGrid/>
                <w:sz w:val="21"/>
                <w:szCs w:val="21"/>
              </w:rPr>
            </w:pPr>
            <w:r>
              <w:rPr>
                <w:rFonts w:hint="default" w:ascii="宋体" w:hAnsi="宋体"/>
                <w:snapToGrid/>
                <w:sz w:val="21"/>
                <w:szCs w:val="21"/>
              </w:rPr>
              <w:t>最</w:t>
            </w:r>
            <w:r>
              <w:rPr>
                <w:rFonts w:hint="eastAsia" w:ascii="宋体" w:hAnsi="宋体"/>
                <w:snapToGrid/>
                <w:sz w:val="21"/>
                <w:szCs w:val="21"/>
                <w:lang w:val="en-US" w:eastAsia="zh-CN"/>
              </w:rPr>
              <w:t xml:space="preserve">  </w:t>
            </w:r>
            <w:r>
              <w:rPr>
                <w:rFonts w:hint="default" w:ascii="宋体" w:hAnsi="宋体"/>
                <w:snapToGrid/>
                <w:sz w:val="21"/>
                <w:szCs w:val="21"/>
              </w:rPr>
              <w:t>高</w:t>
            </w:r>
          </w:p>
          <w:p>
            <w:pPr>
              <w:spacing w:line="360" w:lineRule="auto"/>
              <w:rPr>
                <w:rFonts w:hint="eastAsia" w:ascii="宋体" w:hAnsi="宋体"/>
                <w:color w:val="auto"/>
                <w:sz w:val="21"/>
                <w:szCs w:val="21"/>
                <w:vertAlign w:val="baseline"/>
              </w:rPr>
            </w:pPr>
            <w:r>
              <w:rPr>
                <w:rFonts w:hint="default" w:ascii="宋体" w:hAnsi="宋体"/>
                <w:snapToGrid/>
                <w:sz w:val="21"/>
                <w:szCs w:val="21"/>
              </w:rPr>
              <w:t>限</w:t>
            </w:r>
            <w:r>
              <w:rPr>
                <w:rFonts w:hint="eastAsia" w:ascii="宋体" w:hAnsi="宋体"/>
                <w:snapToGrid/>
                <w:sz w:val="21"/>
                <w:szCs w:val="21"/>
                <w:lang w:val="en-US" w:eastAsia="zh-CN"/>
              </w:rPr>
              <w:t xml:space="preserve">  </w:t>
            </w:r>
            <w:r>
              <w:rPr>
                <w:rFonts w:hint="default" w:ascii="宋体" w:hAnsi="宋体"/>
                <w:snapToGrid/>
                <w:sz w:val="21"/>
                <w:szCs w:val="21"/>
              </w:rPr>
              <w:t>价</w:t>
            </w:r>
          </w:p>
        </w:tc>
        <w:tc>
          <w:tcPr>
            <w:tcW w:w="714"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生产厂家</w:t>
            </w:r>
          </w:p>
        </w:tc>
        <w:tc>
          <w:tcPr>
            <w:tcW w:w="1016"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品牌</w:t>
            </w:r>
          </w:p>
        </w:tc>
        <w:tc>
          <w:tcPr>
            <w:tcW w:w="1146"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型号</w:t>
            </w:r>
          </w:p>
        </w:tc>
        <w:tc>
          <w:tcPr>
            <w:tcW w:w="672"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数量</w:t>
            </w:r>
          </w:p>
        </w:tc>
        <w:tc>
          <w:tcPr>
            <w:tcW w:w="1232"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厂家指 导价（万 元）</w:t>
            </w:r>
          </w:p>
        </w:tc>
        <w:tc>
          <w:tcPr>
            <w:tcW w:w="763"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优惠率（%）</w:t>
            </w:r>
          </w:p>
        </w:tc>
        <w:tc>
          <w:tcPr>
            <w:tcW w:w="1140"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投标报价（万 元）</w:t>
            </w:r>
          </w:p>
        </w:tc>
        <w:tc>
          <w:tcPr>
            <w:tcW w:w="2325" w:type="dxa"/>
            <w:gridSpan w:val="2"/>
            <w:noWrap w:val="0"/>
            <w:vAlign w:val="top"/>
          </w:tcPr>
          <w:p>
            <w:pPr>
              <w:spacing w:line="360" w:lineRule="auto"/>
              <w:jc w:val="center"/>
              <w:rPr>
                <w:rFonts w:hint="eastAsia" w:ascii="宋体" w:hAnsi="宋体"/>
                <w:color w:val="auto"/>
                <w:sz w:val="21"/>
                <w:szCs w:val="21"/>
                <w:vertAlign w:val="baseline"/>
              </w:rPr>
            </w:pPr>
            <w:r>
              <w:rPr>
                <w:rFonts w:hint="default" w:ascii="宋体" w:hAnsi="宋体"/>
                <w:snapToGrid/>
                <w:sz w:val="21"/>
                <w:szCs w:val="21"/>
              </w:rPr>
              <w:t>质保</w:t>
            </w:r>
          </w:p>
        </w:tc>
        <w:tc>
          <w:tcPr>
            <w:tcW w:w="930" w:type="dxa"/>
            <w:vMerge w:val="restart"/>
            <w:noWrap w:val="0"/>
            <w:vAlign w:val="top"/>
          </w:tcPr>
          <w:p>
            <w:pPr>
              <w:spacing w:line="360" w:lineRule="auto"/>
              <w:rPr>
                <w:rFonts w:hint="eastAsia" w:ascii="宋体" w:hAnsi="宋体"/>
                <w:color w:val="auto"/>
                <w:sz w:val="21"/>
                <w:szCs w:val="21"/>
                <w:vertAlign w:val="baseline"/>
              </w:rPr>
            </w:pPr>
            <w:r>
              <w:rPr>
                <w:rFonts w:hint="eastAsia" w:ascii="宋体" w:hAnsi="宋体"/>
                <w:snapToGrid/>
                <w:sz w:val="21"/>
                <w:szCs w:val="21"/>
                <w:lang w:eastAsia="zh-CN"/>
              </w:rPr>
              <w:t>最长</w:t>
            </w:r>
            <w:r>
              <w:rPr>
                <w:rFonts w:hint="default" w:ascii="宋体" w:hAnsi="宋体"/>
                <w:snapToGrid/>
                <w:sz w:val="21"/>
                <w:szCs w:val="21"/>
              </w:rPr>
              <w:t>供货时间</w:t>
            </w:r>
          </w:p>
        </w:tc>
        <w:tc>
          <w:tcPr>
            <w:tcW w:w="835"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vMerge w:val="continue"/>
            <w:noWrap w:val="0"/>
            <w:vAlign w:val="top"/>
          </w:tcPr>
          <w:p>
            <w:pPr>
              <w:spacing w:line="360" w:lineRule="auto"/>
              <w:rPr>
                <w:rFonts w:hint="eastAsia" w:ascii="宋体" w:hAnsi="宋体"/>
                <w:color w:val="auto"/>
                <w:sz w:val="24"/>
                <w:szCs w:val="24"/>
                <w:vertAlign w:val="baseline"/>
              </w:rPr>
            </w:pPr>
          </w:p>
        </w:tc>
        <w:tc>
          <w:tcPr>
            <w:tcW w:w="1856" w:type="dxa"/>
            <w:gridSpan w:val="2"/>
            <w:vMerge w:val="continue"/>
            <w:noWrap w:val="0"/>
            <w:vAlign w:val="top"/>
          </w:tcPr>
          <w:p>
            <w:pPr>
              <w:spacing w:line="360" w:lineRule="auto"/>
              <w:rPr>
                <w:rFonts w:hint="eastAsia" w:ascii="宋体" w:hAnsi="宋体"/>
                <w:color w:val="auto"/>
                <w:sz w:val="24"/>
                <w:szCs w:val="24"/>
                <w:vertAlign w:val="baseline"/>
              </w:rPr>
            </w:pPr>
          </w:p>
        </w:tc>
        <w:tc>
          <w:tcPr>
            <w:tcW w:w="1051" w:type="dxa"/>
            <w:vMerge w:val="continue"/>
            <w:noWrap w:val="0"/>
            <w:vAlign w:val="top"/>
          </w:tcPr>
          <w:p>
            <w:pPr>
              <w:spacing w:line="360" w:lineRule="auto"/>
              <w:rPr>
                <w:rFonts w:hint="eastAsia" w:ascii="宋体" w:hAnsi="宋体"/>
                <w:color w:val="auto"/>
                <w:sz w:val="24"/>
                <w:szCs w:val="24"/>
                <w:vertAlign w:val="baseline"/>
              </w:rPr>
            </w:pPr>
          </w:p>
        </w:tc>
        <w:tc>
          <w:tcPr>
            <w:tcW w:w="714" w:type="dxa"/>
            <w:vMerge w:val="continue"/>
            <w:noWrap w:val="0"/>
            <w:vAlign w:val="top"/>
          </w:tcPr>
          <w:p>
            <w:pPr>
              <w:spacing w:line="360" w:lineRule="auto"/>
              <w:rPr>
                <w:rFonts w:hint="eastAsia" w:ascii="宋体" w:hAnsi="宋体"/>
                <w:color w:val="auto"/>
                <w:sz w:val="24"/>
                <w:szCs w:val="24"/>
                <w:vertAlign w:val="baseline"/>
              </w:rPr>
            </w:pPr>
          </w:p>
        </w:tc>
        <w:tc>
          <w:tcPr>
            <w:tcW w:w="1016" w:type="dxa"/>
            <w:vMerge w:val="continue"/>
            <w:noWrap w:val="0"/>
            <w:vAlign w:val="top"/>
          </w:tcPr>
          <w:p>
            <w:pPr>
              <w:spacing w:line="360" w:lineRule="auto"/>
              <w:rPr>
                <w:rFonts w:hint="eastAsia" w:ascii="宋体" w:hAnsi="宋体"/>
                <w:color w:val="auto"/>
                <w:sz w:val="24"/>
                <w:szCs w:val="24"/>
                <w:vertAlign w:val="baseline"/>
              </w:rPr>
            </w:pPr>
          </w:p>
        </w:tc>
        <w:tc>
          <w:tcPr>
            <w:tcW w:w="1146" w:type="dxa"/>
            <w:vMerge w:val="continue"/>
            <w:noWrap w:val="0"/>
            <w:vAlign w:val="top"/>
          </w:tcPr>
          <w:p>
            <w:pPr>
              <w:spacing w:line="360" w:lineRule="auto"/>
              <w:rPr>
                <w:rFonts w:hint="eastAsia" w:ascii="宋体" w:hAnsi="宋体"/>
                <w:color w:val="auto"/>
                <w:sz w:val="24"/>
                <w:szCs w:val="24"/>
                <w:vertAlign w:val="baseline"/>
              </w:rPr>
            </w:pPr>
          </w:p>
        </w:tc>
        <w:tc>
          <w:tcPr>
            <w:tcW w:w="672" w:type="dxa"/>
            <w:vMerge w:val="continue"/>
            <w:noWrap w:val="0"/>
            <w:vAlign w:val="top"/>
          </w:tcPr>
          <w:p>
            <w:pPr>
              <w:spacing w:line="360" w:lineRule="auto"/>
              <w:rPr>
                <w:rFonts w:hint="eastAsia" w:ascii="宋体" w:hAnsi="宋体"/>
                <w:color w:val="auto"/>
                <w:sz w:val="24"/>
                <w:szCs w:val="24"/>
                <w:vertAlign w:val="baseline"/>
              </w:rPr>
            </w:pPr>
          </w:p>
        </w:tc>
        <w:tc>
          <w:tcPr>
            <w:tcW w:w="1232" w:type="dxa"/>
            <w:vMerge w:val="continue"/>
            <w:noWrap w:val="0"/>
            <w:vAlign w:val="top"/>
          </w:tcPr>
          <w:p>
            <w:pPr>
              <w:spacing w:line="360" w:lineRule="auto"/>
              <w:rPr>
                <w:rFonts w:hint="eastAsia" w:ascii="宋体" w:hAnsi="宋体"/>
                <w:color w:val="auto"/>
                <w:sz w:val="24"/>
                <w:szCs w:val="24"/>
                <w:vertAlign w:val="baseline"/>
              </w:rPr>
            </w:pPr>
          </w:p>
        </w:tc>
        <w:tc>
          <w:tcPr>
            <w:tcW w:w="763" w:type="dxa"/>
            <w:vMerge w:val="continue"/>
            <w:noWrap w:val="0"/>
            <w:vAlign w:val="top"/>
          </w:tcPr>
          <w:p>
            <w:pPr>
              <w:spacing w:line="360" w:lineRule="auto"/>
              <w:rPr>
                <w:rFonts w:hint="eastAsia" w:ascii="宋体" w:hAnsi="宋体"/>
                <w:color w:val="auto"/>
                <w:sz w:val="24"/>
                <w:szCs w:val="24"/>
                <w:vertAlign w:val="baseline"/>
              </w:rPr>
            </w:pPr>
          </w:p>
        </w:tc>
        <w:tc>
          <w:tcPr>
            <w:tcW w:w="1140" w:type="dxa"/>
            <w:vMerge w:val="continue"/>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eastAsia="宋体"/>
                <w:color w:val="auto"/>
                <w:sz w:val="21"/>
                <w:szCs w:val="21"/>
                <w:vertAlign w:val="baseline"/>
                <w:lang w:eastAsia="zh-CN"/>
              </w:rPr>
            </w:pPr>
            <w:r>
              <w:rPr>
                <w:rFonts w:hint="eastAsia" w:ascii="宋体" w:hAnsi="宋体"/>
                <w:color w:val="auto"/>
                <w:sz w:val="21"/>
                <w:szCs w:val="21"/>
                <w:vertAlign w:val="baseline"/>
                <w:lang w:eastAsia="zh-CN"/>
              </w:rPr>
              <w:t>质保年限</w:t>
            </w:r>
          </w:p>
        </w:tc>
        <w:tc>
          <w:tcPr>
            <w:tcW w:w="1202" w:type="dxa"/>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质保里程</w:t>
            </w:r>
          </w:p>
        </w:tc>
        <w:tc>
          <w:tcPr>
            <w:tcW w:w="930" w:type="dxa"/>
            <w:vMerge w:val="continue"/>
            <w:noWrap w:val="0"/>
            <w:vAlign w:val="top"/>
          </w:tcPr>
          <w:p>
            <w:pPr>
              <w:spacing w:line="360" w:lineRule="auto"/>
              <w:rPr>
                <w:rFonts w:hint="eastAsia" w:ascii="宋体" w:hAnsi="宋体"/>
                <w:color w:val="auto"/>
                <w:sz w:val="24"/>
                <w:szCs w:val="24"/>
                <w:vertAlign w:val="baseline"/>
              </w:rPr>
            </w:pPr>
          </w:p>
        </w:tc>
        <w:tc>
          <w:tcPr>
            <w:tcW w:w="835" w:type="dxa"/>
            <w:vMerge w:val="continue"/>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15" w:type="dxa"/>
            <w:vMerge w:val="restart"/>
            <w:noWrap w:val="0"/>
            <w:vAlign w:val="top"/>
          </w:tcPr>
          <w:p>
            <w:pPr>
              <w:spacing w:line="360" w:lineRule="auto"/>
              <w:rPr>
                <w:rFonts w:hint="eastAsia" w:ascii="宋体" w:hAnsi="宋体"/>
                <w:color w:val="auto"/>
                <w:sz w:val="24"/>
                <w:szCs w:val="24"/>
                <w:vertAlign w:val="baseline"/>
                <w:lang w:eastAsia="zh-CN"/>
              </w:rPr>
            </w:pPr>
          </w:p>
          <w:p>
            <w:pPr>
              <w:spacing w:line="360" w:lineRule="auto"/>
              <w:rPr>
                <w:rFonts w:hint="eastAsia" w:ascii="宋体" w:hAnsi="宋体"/>
                <w:color w:val="auto"/>
                <w:sz w:val="24"/>
                <w:szCs w:val="24"/>
                <w:vertAlign w:val="baseline"/>
                <w:lang w:val="en-US" w:eastAsia="zh-CN"/>
              </w:rPr>
            </w:pPr>
            <w:r>
              <w:rPr>
                <w:rFonts w:hint="eastAsia" w:ascii="宋体" w:hAnsi="宋体"/>
                <w:color w:val="auto"/>
                <w:sz w:val="24"/>
                <w:szCs w:val="24"/>
                <w:vertAlign w:val="baseline"/>
                <w:lang w:val="en-US" w:eastAsia="zh-CN"/>
              </w:rPr>
              <w:t>中型</w:t>
            </w:r>
          </w:p>
          <w:p>
            <w:pPr>
              <w:spacing w:line="360" w:lineRule="auto"/>
              <w:rPr>
                <w:rFonts w:hint="default"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客车</w:t>
            </w: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1</w:t>
            </w:r>
          </w:p>
        </w:tc>
        <w:tc>
          <w:tcPr>
            <w:tcW w:w="1856" w:type="dxa"/>
            <w:gridSpan w:val="2"/>
            <w:noWrap w:val="0"/>
            <w:vAlign w:val="top"/>
          </w:tcPr>
          <w:p>
            <w:pPr>
              <w:spacing w:line="360" w:lineRule="auto"/>
              <w:rPr>
                <w:rFonts w:hint="eastAsia" w:ascii="宋体" w:hAnsi="宋体"/>
                <w:color w:val="auto"/>
                <w:sz w:val="24"/>
                <w:szCs w:val="24"/>
                <w:vertAlign w:val="baseline"/>
              </w:rPr>
            </w:pPr>
            <w:r>
              <w:rPr>
                <w:rFonts w:hint="default" w:ascii="宋体" w:hAnsi="宋体"/>
                <w:snapToGrid/>
                <w:sz w:val="21"/>
                <w:szCs w:val="21"/>
              </w:rPr>
              <w:t>排气量≤</w:t>
            </w:r>
            <w:r>
              <w:rPr>
                <w:rFonts w:hint="eastAsia" w:ascii="宋体" w:hAnsi="宋体"/>
                <w:snapToGrid/>
                <w:sz w:val="21"/>
                <w:szCs w:val="21"/>
                <w:lang w:val="en-US" w:eastAsia="zh-CN"/>
              </w:rPr>
              <w:t>3.0</w:t>
            </w:r>
            <w:r>
              <w:rPr>
                <w:rFonts w:hint="default" w:ascii="宋体" w:hAnsi="宋体"/>
                <w:snapToGrid/>
                <w:sz w:val="21"/>
                <w:szCs w:val="21"/>
              </w:rPr>
              <w:t xml:space="preserve"> 升</w:t>
            </w:r>
          </w:p>
        </w:tc>
        <w:tc>
          <w:tcPr>
            <w:tcW w:w="1051"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25万元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2</w:t>
            </w:r>
          </w:p>
        </w:tc>
        <w:tc>
          <w:tcPr>
            <w:tcW w:w="1856" w:type="dxa"/>
            <w:gridSpan w:val="2"/>
            <w:noWrap w:val="0"/>
            <w:vAlign w:val="top"/>
          </w:tcPr>
          <w:p>
            <w:pPr>
              <w:spacing w:line="360" w:lineRule="auto"/>
              <w:rPr>
                <w:rFonts w:hint="eastAsia" w:ascii="宋体" w:hAnsi="宋体"/>
                <w:color w:val="auto"/>
                <w:sz w:val="24"/>
                <w:szCs w:val="24"/>
                <w:vertAlign w:val="baseline"/>
              </w:rPr>
            </w:pPr>
            <w:r>
              <w:rPr>
                <w:rFonts w:hint="default" w:ascii="宋体" w:hAnsi="宋体"/>
                <w:snapToGrid/>
                <w:sz w:val="21"/>
                <w:szCs w:val="21"/>
              </w:rPr>
              <w:t>排气量≤</w:t>
            </w:r>
            <w:r>
              <w:rPr>
                <w:rFonts w:hint="eastAsia" w:ascii="宋体" w:hAnsi="宋体"/>
                <w:snapToGrid/>
                <w:sz w:val="21"/>
                <w:szCs w:val="21"/>
                <w:lang w:val="en-US" w:eastAsia="zh-CN"/>
              </w:rPr>
              <w:t>3.0</w:t>
            </w:r>
            <w:r>
              <w:rPr>
                <w:rFonts w:hint="default" w:ascii="宋体" w:hAnsi="宋体"/>
                <w:snapToGrid/>
                <w:sz w:val="21"/>
                <w:szCs w:val="21"/>
              </w:rPr>
              <w:t xml:space="preserve"> 升</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25万元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3</w:t>
            </w:r>
          </w:p>
        </w:tc>
        <w:tc>
          <w:tcPr>
            <w:tcW w:w="1856" w:type="dxa"/>
            <w:gridSpan w:val="2"/>
            <w:noWrap w:val="0"/>
            <w:vAlign w:val="top"/>
          </w:tcPr>
          <w:p>
            <w:pPr>
              <w:spacing w:line="360" w:lineRule="auto"/>
              <w:rPr>
                <w:rFonts w:hint="eastAsia" w:ascii="宋体" w:hAnsi="宋体"/>
                <w:color w:val="auto"/>
                <w:sz w:val="24"/>
                <w:szCs w:val="24"/>
                <w:vertAlign w:val="baseline"/>
              </w:rPr>
            </w:pPr>
            <w:r>
              <w:rPr>
                <w:rFonts w:hint="default" w:ascii="宋体" w:hAnsi="宋体"/>
                <w:snapToGrid/>
                <w:sz w:val="21"/>
                <w:szCs w:val="21"/>
              </w:rPr>
              <w:t>排气量≤</w:t>
            </w:r>
            <w:r>
              <w:rPr>
                <w:rFonts w:hint="eastAsia" w:ascii="宋体" w:hAnsi="宋体"/>
                <w:snapToGrid/>
                <w:sz w:val="21"/>
                <w:szCs w:val="21"/>
                <w:lang w:val="en-US" w:eastAsia="zh-CN"/>
              </w:rPr>
              <w:t>3.0</w:t>
            </w:r>
            <w:r>
              <w:rPr>
                <w:rFonts w:hint="default" w:ascii="宋体" w:hAnsi="宋体"/>
                <w:snapToGrid/>
                <w:sz w:val="21"/>
                <w:szCs w:val="21"/>
              </w:rPr>
              <w:t xml:space="preserve"> 升</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25万元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4</w:t>
            </w:r>
          </w:p>
        </w:tc>
        <w:tc>
          <w:tcPr>
            <w:tcW w:w="1856" w:type="dxa"/>
            <w:gridSpan w:val="2"/>
            <w:noWrap w:val="0"/>
            <w:vAlign w:val="top"/>
          </w:tcPr>
          <w:p>
            <w:pPr>
              <w:spacing w:line="360" w:lineRule="auto"/>
              <w:rPr>
                <w:rFonts w:hint="eastAsia" w:ascii="宋体" w:hAnsi="宋体"/>
                <w:color w:val="auto"/>
                <w:sz w:val="24"/>
                <w:szCs w:val="24"/>
                <w:vertAlign w:val="baseline"/>
              </w:rPr>
            </w:pPr>
            <w:r>
              <w:rPr>
                <w:rFonts w:hint="default" w:ascii="宋体" w:hAnsi="宋体"/>
                <w:snapToGrid/>
                <w:sz w:val="21"/>
                <w:szCs w:val="21"/>
              </w:rPr>
              <w:t>排气量≤</w:t>
            </w:r>
            <w:r>
              <w:rPr>
                <w:rFonts w:hint="eastAsia" w:ascii="宋体" w:hAnsi="宋体"/>
                <w:snapToGrid/>
                <w:sz w:val="21"/>
                <w:szCs w:val="21"/>
                <w:lang w:val="en-US" w:eastAsia="zh-CN"/>
              </w:rPr>
              <w:t>3.0</w:t>
            </w:r>
            <w:r>
              <w:rPr>
                <w:rFonts w:hint="default" w:ascii="宋体" w:hAnsi="宋体"/>
                <w:snapToGrid/>
                <w:sz w:val="21"/>
                <w:szCs w:val="21"/>
              </w:rPr>
              <w:t xml:space="preserve"> 升</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25万元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5</w:t>
            </w:r>
          </w:p>
        </w:tc>
        <w:tc>
          <w:tcPr>
            <w:tcW w:w="1856" w:type="dxa"/>
            <w:gridSpan w:val="2"/>
            <w:noWrap w:val="0"/>
            <w:vAlign w:val="top"/>
          </w:tcPr>
          <w:p>
            <w:pPr>
              <w:spacing w:line="360" w:lineRule="auto"/>
              <w:rPr>
                <w:rFonts w:hint="eastAsia" w:ascii="宋体" w:hAnsi="宋体"/>
                <w:color w:val="auto"/>
                <w:sz w:val="24"/>
                <w:szCs w:val="24"/>
                <w:vertAlign w:val="baseline"/>
              </w:rPr>
            </w:pPr>
            <w:r>
              <w:rPr>
                <w:rFonts w:hint="default" w:ascii="宋体" w:hAnsi="宋体"/>
                <w:snapToGrid/>
                <w:sz w:val="21"/>
                <w:szCs w:val="21"/>
              </w:rPr>
              <w:t>排气量≤</w:t>
            </w:r>
            <w:r>
              <w:rPr>
                <w:rFonts w:hint="eastAsia" w:ascii="宋体" w:hAnsi="宋体"/>
                <w:snapToGrid/>
                <w:sz w:val="21"/>
                <w:szCs w:val="21"/>
                <w:lang w:val="en-US" w:eastAsia="zh-CN"/>
              </w:rPr>
              <w:t>3.0</w:t>
            </w:r>
            <w:r>
              <w:rPr>
                <w:rFonts w:hint="default" w:ascii="宋体" w:hAnsi="宋体"/>
                <w:snapToGrid/>
                <w:sz w:val="21"/>
                <w:szCs w:val="21"/>
              </w:rPr>
              <w:t xml:space="preserve"> 升</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25万元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316" w:type="dxa"/>
            <w:gridSpan w:val="4"/>
            <w:noWrap w:val="0"/>
            <w:vAlign w:val="top"/>
          </w:tcPr>
          <w:p>
            <w:pPr>
              <w:spacing w:line="360" w:lineRule="auto"/>
              <w:rPr>
                <w:rFonts w:hint="eastAsia" w:ascii="宋体" w:hAnsi="宋体"/>
                <w:color w:val="auto"/>
                <w:sz w:val="24"/>
                <w:szCs w:val="24"/>
                <w:vertAlign w:val="baseline"/>
              </w:rPr>
            </w:pPr>
            <w:r>
              <w:rPr>
                <w:rFonts w:hint="eastAsia" w:ascii="宋体" w:hAnsi="宋体"/>
                <w:snapToGrid/>
                <w:sz w:val="24"/>
                <w:lang w:val="en-US" w:eastAsia="zh-CN"/>
              </w:rPr>
              <w:t>最高</w:t>
            </w:r>
            <w:r>
              <w:rPr>
                <w:rFonts w:hint="default" w:ascii="宋体" w:hAnsi="宋体"/>
                <w:snapToGrid/>
                <w:sz w:val="24"/>
              </w:rPr>
              <w:t>优惠率</w:t>
            </w:r>
          </w:p>
        </w:tc>
        <w:tc>
          <w:tcPr>
            <w:tcW w:w="11824" w:type="dxa"/>
            <w:gridSpan w:val="12"/>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671" w:type="dxa"/>
            <w:gridSpan w:val="3"/>
            <w:noWrap w:val="0"/>
            <w:vAlign w:val="center"/>
          </w:tcPr>
          <w:p>
            <w:pPr>
              <w:spacing w:line="360" w:lineRule="auto"/>
              <w:jc w:val="center"/>
              <w:rPr>
                <w:rFonts w:hint="eastAsia" w:ascii="宋体" w:hAnsi="宋体"/>
                <w:color w:val="auto"/>
                <w:sz w:val="24"/>
                <w:szCs w:val="24"/>
                <w:vertAlign w:val="baseline"/>
              </w:rPr>
            </w:pPr>
            <w:r>
              <w:rPr>
                <w:rFonts w:hint="default" w:ascii="宋体" w:hAnsi="宋体"/>
                <w:snapToGrid/>
                <w:sz w:val="24"/>
              </w:rPr>
              <w:t>备注：</w:t>
            </w:r>
          </w:p>
        </w:tc>
        <w:tc>
          <w:tcPr>
            <w:tcW w:w="13469" w:type="dxa"/>
            <w:gridSpan w:val="13"/>
            <w:noWrap w:val="0"/>
            <w:vAlign w:val="center"/>
          </w:tcPr>
          <w:p>
            <w:pPr>
              <w:spacing w:line="360" w:lineRule="auto"/>
              <w:jc w:val="center"/>
              <w:rPr>
                <w:rFonts w:hint="eastAsia" w:ascii="宋体" w:hAnsi="宋体"/>
                <w:color w:val="auto"/>
                <w:sz w:val="24"/>
                <w:szCs w:val="24"/>
                <w:vertAlign w:val="baseline"/>
              </w:rPr>
            </w:pPr>
            <w:r>
              <w:rPr>
                <w:rFonts w:hint="eastAsia" w:ascii="宋体" w:hAnsi="宋体"/>
                <w:b/>
                <w:bCs/>
                <w:snapToGrid/>
                <w:sz w:val="21"/>
                <w:szCs w:val="21"/>
                <w:lang w:val="en-US" w:eastAsia="zh-CN"/>
              </w:rPr>
              <w:t>1</w:t>
            </w:r>
            <w:r>
              <w:rPr>
                <w:rFonts w:hint="default" w:ascii="宋体" w:hAnsi="宋体"/>
                <w:b/>
                <w:bCs/>
                <w:snapToGrid/>
                <w:sz w:val="21"/>
                <w:szCs w:val="21"/>
              </w:rPr>
              <w:t>、投标报价=厂家指导价×（1-优惠率）</w:t>
            </w:r>
          </w:p>
        </w:tc>
      </w:tr>
    </w:tbl>
    <w:p>
      <w:pPr>
        <w:rPr>
          <w:rFonts w:hint="eastAsia" w:ascii="宋体" w:hAnsi="宋体"/>
          <w:snapToGrid/>
          <w:sz w:val="24"/>
          <w:lang w:val="en-US" w:eastAsia="zh-CN"/>
        </w:rPr>
      </w:pPr>
      <w:r>
        <w:rPr>
          <w:rFonts w:hint="eastAsia" w:ascii="宋体" w:hAnsi="宋体"/>
          <w:snapToGrid/>
          <w:sz w:val="24"/>
          <w:lang w:val="en-US" w:eastAsia="zh-CN"/>
        </w:rPr>
        <w:t xml:space="preserve">   </w:t>
      </w:r>
      <w:r>
        <w:rPr>
          <w:rFonts w:hint="default" w:ascii="宋体" w:hAnsi="宋体"/>
          <w:snapToGrid/>
          <w:sz w:val="24"/>
        </w:rPr>
        <w:t>盖章：</w:t>
      </w:r>
      <w:r>
        <w:rPr>
          <w:rFonts w:hint="eastAsia" w:ascii="宋体" w:hAnsi="宋体"/>
          <w:snapToGrid/>
          <w:sz w:val="24"/>
          <w:u w:val="single" w:color="auto"/>
          <w:lang w:val="en-US" w:eastAsia="zh-CN"/>
        </w:rPr>
        <w:t xml:space="preserve">                  </w:t>
      </w:r>
      <w:r>
        <w:rPr>
          <w:rFonts w:hint="default" w:ascii="宋体" w:hAnsi="宋体"/>
          <w:snapToGrid/>
          <w:sz w:val="24"/>
        </w:rPr>
        <w:t xml:space="preserve"> （） </w:t>
      </w:r>
      <w:r>
        <w:rPr>
          <w:rFonts w:hint="eastAsia" w:ascii="宋体" w:hAnsi="宋体"/>
          <w:snapToGrid/>
          <w:sz w:val="24"/>
          <w:lang w:val="en-US" w:eastAsia="zh-CN"/>
        </w:rPr>
        <w:t xml:space="preserve"> </w:t>
      </w:r>
    </w:p>
    <w:p>
      <w:pPr>
        <w:rPr>
          <w:rFonts w:hint="eastAsia" w:ascii="宋体" w:hAnsi="宋体"/>
          <w:snapToGrid/>
          <w:sz w:val="24"/>
          <w:lang w:val="en-US" w:eastAsia="zh-CN"/>
        </w:rPr>
      </w:pPr>
      <w:r>
        <w:rPr>
          <w:rFonts w:hint="eastAsia" w:ascii="宋体" w:hAnsi="宋体"/>
          <w:snapToGrid/>
          <w:sz w:val="24"/>
          <w:lang w:val="en-US" w:eastAsia="zh-CN"/>
        </w:rPr>
        <w:t xml:space="preserve">    </w:t>
      </w:r>
    </w:p>
    <w:p>
      <w:pPr>
        <w:rPr>
          <w:rFonts w:hint="default" w:ascii="宋体" w:hAnsi="宋体"/>
          <w:snapToGrid/>
          <w:sz w:val="24"/>
        </w:rPr>
      </w:pPr>
      <w:r>
        <w:rPr>
          <w:rFonts w:hint="eastAsia" w:ascii="宋体" w:hAnsi="宋体"/>
          <w:snapToGrid/>
          <w:sz w:val="24"/>
          <w:lang w:val="en-US" w:eastAsia="zh-CN"/>
        </w:rPr>
        <w:t xml:space="preserve">       </w:t>
      </w:r>
      <w:r>
        <w:rPr>
          <w:rFonts w:hint="default" w:ascii="宋体" w:hAnsi="宋体"/>
          <w:snapToGrid/>
          <w:sz w:val="24"/>
        </w:rPr>
        <w:t>法定代表人或委托代理人（签字）：</w:t>
      </w:r>
    </w:p>
    <w:p>
      <w:pPr>
        <w:rPr>
          <w:rFonts w:hint="default" w:ascii="宋体" w:hAnsi="宋体"/>
          <w:snapToGrid/>
          <w:sz w:val="24"/>
        </w:rPr>
      </w:pPr>
    </w:p>
    <w:p>
      <w:pPr>
        <w:rPr>
          <w:rFonts w:hint="default" w:ascii="宋体" w:hAnsi="宋体"/>
          <w:snapToGrid/>
          <w:sz w:val="24"/>
        </w:rPr>
      </w:pPr>
      <w:r>
        <w:rPr>
          <w:rFonts w:hint="eastAsia" w:ascii="宋体" w:hAnsi="宋体"/>
          <w:snapToGrid/>
          <w:sz w:val="24"/>
          <w:lang w:val="en-US" w:eastAsia="zh-CN"/>
        </w:rPr>
        <w:t xml:space="preserve">        </w:t>
      </w:r>
      <w:r>
        <w:rPr>
          <w:rFonts w:hint="default" w:ascii="宋体" w:hAnsi="宋体"/>
          <w:snapToGrid/>
          <w:sz w:val="24"/>
        </w:rPr>
        <w:t xml:space="preserve"> 日 期： 年 月 日 </w:t>
      </w:r>
    </w:p>
    <w:p>
      <w:pPr>
        <w:rPr>
          <w:rFonts w:hint="eastAsia" w:ascii="仿宋" w:hAnsi="仿宋" w:eastAsia="仿宋" w:cs="仿宋"/>
          <w:b/>
          <w:bCs/>
          <w:snapToGrid/>
          <w:sz w:val="24"/>
          <w:szCs w:val="24"/>
        </w:rPr>
      </w:pPr>
      <w:r>
        <w:rPr>
          <w:rFonts w:hint="eastAsia" w:ascii="仿宋" w:hAnsi="仿宋" w:eastAsia="仿宋" w:cs="仿宋"/>
          <w:b/>
          <w:bCs/>
          <w:snapToGrid/>
          <w:sz w:val="24"/>
          <w:szCs w:val="24"/>
        </w:rPr>
        <w:t xml:space="preserve">说明：1. 投标报价应是最终用户验收合格后的总价，包括招标文件规定、要求和涵盖全部费用。 </w:t>
      </w:r>
    </w:p>
    <w:p>
      <w:pPr>
        <w:numPr>
          <w:ilvl w:val="0"/>
          <w:numId w:val="15"/>
        </w:numPr>
        <w:rPr>
          <w:rFonts w:hint="eastAsia" w:ascii="仿宋" w:hAnsi="仿宋" w:eastAsia="仿宋" w:cs="仿宋"/>
          <w:b/>
          <w:bCs/>
          <w:snapToGrid/>
          <w:sz w:val="24"/>
          <w:szCs w:val="24"/>
        </w:rPr>
      </w:pPr>
      <w:r>
        <w:rPr>
          <w:rFonts w:hint="eastAsia" w:ascii="仿宋" w:hAnsi="仿宋" w:eastAsia="仿宋" w:cs="仿宋"/>
          <w:b/>
          <w:bCs/>
          <w:snapToGrid/>
          <w:sz w:val="24"/>
          <w:szCs w:val="24"/>
        </w:rPr>
        <w:t xml:space="preserve">“开标一览表”以包号为单位填写，必须签字盖章，否则为无效投标，可以逐页签字盖章也可以在落款处签字盖章。  </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3</w:t>
      </w:r>
      <w:r>
        <w:rPr>
          <w:rFonts w:hint="eastAsia" w:ascii="仿宋" w:hAnsi="仿宋" w:eastAsia="仿宋" w:cs="仿宋"/>
          <w:b/>
          <w:bCs/>
          <w:snapToGrid/>
          <w:sz w:val="24"/>
          <w:szCs w:val="24"/>
        </w:rPr>
        <w:t xml:space="preserve">.发动机排气量≤1.6 升且最高限价为 12 万元的小型轿车：投标人可投≤5 种产品，如投标人投≥6 种产品的为无效投标。 </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4</w:t>
      </w:r>
      <w:r>
        <w:rPr>
          <w:rFonts w:hint="eastAsia" w:ascii="仿宋" w:hAnsi="仿宋" w:eastAsia="仿宋" w:cs="仿宋"/>
          <w:b/>
          <w:bCs/>
          <w:snapToGrid/>
          <w:sz w:val="24"/>
          <w:szCs w:val="24"/>
        </w:rPr>
        <w:t xml:space="preserve">.发动机排气量≤1.8 升且最高限价为 18 万元的小型轿车：投标人可投≤5 种产品，如投标人投≥6 种产品的为无效投标。 </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5</w:t>
      </w:r>
      <w:r>
        <w:rPr>
          <w:rFonts w:hint="eastAsia" w:ascii="仿宋" w:hAnsi="仿宋" w:eastAsia="仿宋" w:cs="仿宋"/>
          <w:b/>
          <w:bCs/>
          <w:snapToGrid/>
          <w:sz w:val="24"/>
          <w:szCs w:val="24"/>
        </w:rPr>
        <w:t xml:space="preserve">.允许投标人：仅投标发动机排气量≤1.6 升且最高限价为 12 万元的小型轿车或发动机排气量≤1.8 升且最高限价为 18 万元的小型轿车；也允许投标人：同时投标发动机排气量≤1.6 升且最高限价为 12 万元的小型轿车和发动机排气量≤1.8 升且最高限价为 18 万元的小型轿车。 </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6</w:t>
      </w:r>
      <w:r>
        <w:rPr>
          <w:rFonts w:hint="eastAsia" w:ascii="仿宋" w:hAnsi="仿宋" w:eastAsia="仿宋" w:cs="仿宋"/>
          <w:b/>
          <w:bCs/>
          <w:snapToGrid/>
          <w:sz w:val="24"/>
          <w:szCs w:val="24"/>
        </w:rPr>
        <w:t>.发动机排气量≤3.0 升且最高限价为 25 万元的越野车：投标人可投≤5 种产品，如投标人投≥6 种产品的为无效投标。</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7</w:t>
      </w:r>
      <w:r>
        <w:rPr>
          <w:rFonts w:hint="eastAsia" w:ascii="仿宋" w:hAnsi="仿宋" w:eastAsia="仿宋" w:cs="仿宋"/>
          <w:b/>
          <w:bCs/>
          <w:snapToGrid/>
          <w:sz w:val="24"/>
          <w:szCs w:val="24"/>
        </w:rPr>
        <w:t>.发动机排气量≤3.0 升且最高限价为 25 万元的商务车：投标人可投≤5 种产品，如投标人投≥6 种产品的为无效投标。</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8</w:t>
      </w:r>
      <w:r>
        <w:rPr>
          <w:rFonts w:hint="eastAsia" w:ascii="仿宋" w:hAnsi="仿宋" w:eastAsia="仿宋" w:cs="仿宋"/>
          <w:b/>
          <w:bCs/>
          <w:snapToGrid/>
          <w:sz w:val="24"/>
          <w:szCs w:val="24"/>
        </w:rPr>
        <w:t>.发动机排气量≤3.0 升且最高限价为 25 万元的中型客车：投标人可投≤5 种产品，如投标人投≥6 种产品的为无效投标。</w:t>
      </w:r>
    </w:p>
    <w:p>
      <w:pPr>
        <w:keepNext w:val="0"/>
        <w:keepLines w:val="0"/>
        <w:widowControl/>
        <w:suppressLineNumbers w:val="0"/>
        <w:jc w:val="left"/>
        <w:rPr>
          <w:rFonts w:hint="default" w:ascii="仿宋" w:hAnsi="仿宋" w:eastAsia="仿宋" w:cs="仿宋"/>
          <w:b/>
          <w:bCs/>
          <w:snapToGrid/>
          <w:sz w:val="24"/>
          <w:szCs w:val="24"/>
          <w:lang w:val="en-US" w:eastAsia="zh-CN"/>
        </w:rPr>
      </w:pPr>
      <w:r>
        <w:rPr>
          <w:rFonts w:hint="eastAsia" w:ascii="仿宋" w:hAnsi="仿宋" w:eastAsia="仿宋" w:cs="仿宋"/>
          <w:b/>
          <w:bCs/>
          <w:snapToGrid/>
          <w:sz w:val="24"/>
          <w:szCs w:val="24"/>
          <w:lang w:val="en-US" w:eastAsia="zh-CN"/>
        </w:rPr>
        <w:t>9、</w:t>
      </w:r>
      <w:r>
        <w:rPr>
          <w:rFonts w:hint="eastAsia" w:ascii="宋体" w:hAnsi="宋体" w:eastAsia="宋体" w:cs="宋体"/>
          <w:b/>
          <w:color w:val="0C0C0C"/>
          <w:kern w:val="0"/>
          <w:sz w:val="24"/>
          <w:szCs w:val="24"/>
          <w:lang w:val="en-US" w:eastAsia="zh-CN" w:bidi="ar"/>
        </w:rPr>
        <w:t>最高限价为 45 万元的大型客车：投标人可投≤5 种产品，如投标人投≥6 种产品的为无效投标。</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10</w:t>
      </w:r>
      <w:r>
        <w:rPr>
          <w:rFonts w:hint="eastAsia" w:ascii="仿宋" w:hAnsi="仿宋" w:eastAsia="仿宋" w:cs="仿宋"/>
          <w:b/>
          <w:bCs/>
          <w:snapToGrid/>
          <w:sz w:val="24"/>
          <w:szCs w:val="24"/>
        </w:rPr>
        <w:t>.最高限价为 18 万元的新能源汽车：投标人可投≤5 种产品，如投标人投≥6 种产品的为无效投标。</w:t>
      </w:r>
    </w:p>
    <w:p>
      <w:pPr>
        <w:pStyle w:val="9"/>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0" w:firstLineChars="0"/>
        <w:jc w:val="right"/>
        <w:textAlignment w:val="auto"/>
        <w:outlineLvl w:val="9"/>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pacing w:val="10"/>
          <w:sz w:val="24"/>
          <w:szCs w:val="24"/>
          <w:lang w:eastAsia="zh-CN"/>
        </w:rPr>
        <w:t>供应商</w:t>
      </w:r>
      <w:r>
        <w:rPr>
          <w:rFonts w:hint="eastAsia" w:asciiTheme="minorEastAsia" w:hAnsiTheme="minorEastAsia" w:eastAsiaTheme="minorEastAsia" w:cstheme="minorEastAsia"/>
          <w:color w:val="auto"/>
          <w:spacing w:val="10"/>
          <w:sz w:val="24"/>
          <w:szCs w:val="24"/>
        </w:rPr>
        <w:t>（签字、盖章）</w:t>
      </w:r>
      <w:r>
        <w:rPr>
          <w:rFonts w:hint="eastAsia" w:asciiTheme="minorEastAsia" w:hAnsiTheme="minorEastAsia" w:eastAsiaTheme="minorEastAsia" w:cstheme="minorEastAsia"/>
          <w:color w:val="auto"/>
          <w:spacing w:val="10"/>
          <w:sz w:val="24"/>
          <w:szCs w:val="24"/>
          <w:lang w:eastAsia="zh-CN"/>
        </w:rPr>
        <w:t>：</w:t>
      </w:r>
      <w:r>
        <w:rPr>
          <w:rFonts w:hint="eastAsia" w:asciiTheme="minorEastAsia" w:hAnsiTheme="minorEastAsia" w:eastAsiaTheme="minorEastAsia" w:cstheme="minorEastAsia"/>
          <w:color w:val="auto"/>
          <w:spacing w:val="10"/>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0" w:firstLineChars="0"/>
        <w:jc w:val="right"/>
        <w:textAlignment w:val="auto"/>
        <w:outlineLvl w:val="9"/>
        <w:rPr>
          <w:rFonts w:hint="eastAsia" w:asciiTheme="minorEastAsia" w:hAnsiTheme="minorEastAsia" w:eastAsiaTheme="minorEastAsia" w:cstheme="minorEastAsia"/>
          <w:color w:val="auto"/>
          <w:sz w:val="24"/>
          <w:szCs w:val="24"/>
          <w:lang w:val="en-US" w:eastAsia="zh-CN"/>
        </w:rPr>
        <w:sectPr>
          <w:pgSz w:w="16840" w:h="11910" w:orient="landscape"/>
          <w:pgMar w:top="1531" w:right="1871" w:bottom="1531" w:left="1757" w:header="1209" w:footer="1459" w:gutter="0"/>
          <w:pgBorders>
            <w:top w:val="none" w:sz="0" w:space="0"/>
            <w:left w:val="none" w:sz="0" w:space="0"/>
            <w:bottom w:val="none" w:sz="0" w:space="0"/>
            <w:right w:val="none" w:sz="0" w:space="0"/>
          </w:pgBorders>
          <w:pgNumType w:fmt="decimal"/>
          <w:cols w:space="720" w:num="1"/>
        </w:sectPr>
      </w:pPr>
      <w:r>
        <w:rPr>
          <w:rFonts w:hint="eastAsia" w:asciiTheme="minorEastAsia" w:hAnsiTheme="minorEastAsia" w:eastAsiaTheme="minorEastAsia" w:cstheme="minorEastAsia"/>
          <w:color w:val="auto"/>
          <w:spacing w:val="10"/>
          <w:sz w:val="24"/>
          <w:szCs w:val="24"/>
        </w:rPr>
        <w:t>日期：</w:t>
      </w:r>
      <w:r>
        <w:rPr>
          <w:rFonts w:hint="eastAsia" w:asciiTheme="minorEastAsia" w:hAnsiTheme="minorEastAsia" w:eastAsiaTheme="minorEastAsia" w:cstheme="minorEastAsia"/>
          <w:color w:val="auto"/>
          <w:spacing w:val="10"/>
          <w:sz w:val="24"/>
          <w:szCs w:val="24"/>
          <w:u w:val="single"/>
        </w:rPr>
        <w:t xml:space="preserve">        </w:t>
      </w:r>
      <w:r>
        <w:rPr>
          <w:rFonts w:hint="eastAsia" w:asciiTheme="minorEastAsia" w:hAnsiTheme="minorEastAsia" w:eastAsiaTheme="minorEastAsia" w:cstheme="minorEastAsia"/>
          <w:color w:val="auto"/>
          <w:spacing w:val="10"/>
          <w:sz w:val="24"/>
          <w:szCs w:val="24"/>
        </w:rPr>
        <w:t>年</w:t>
      </w:r>
      <w:r>
        <w:rPr>
          <w:rFonts w:hint="eastAsia" w:asciiTheme="minorEastAsia" w:hAnsiTheme="minorEastAsia" w:eastAsiaTheme="minorEastAsia" w:cstheme="minorEastAsia"/>
          <w:color w:val="auto"/>
          <w:spacing w:val="10"/>
          <w:sz w:val="24"/>
          <w:szCs w:val="24"/>
          <w:u w:val="single"/>
        </w:rPr>
        <w:t xml:space="preserve">    </w:t>
      </w:r>
      <w:r>
        <w:rPr>
          <w:rFonts w:hint="eastAsia" w:asciiTheme="minorEastAsia" w:hAnsiTheme="minorEastAsia" w:eastAsiaTheme="minorEastAsia" w:cstheme="minorEastAsia"/>
          <w:color w:val="auto"/>
          <w:spacing w:val="10"/>
          <w:sz w:val="24"/>
          <w:szCs w:val="24"/>
        </w:rPr>
        <w:t>月</w:t>
      </w:r>
      <w:r>
        <w:rPr>
          <w:rFonts w:hint="eastAsia" w:asciiTheme="minorEastAsia" w:hAnsiTheme="minorEastAsia" w:eastAsiaTheme="minorEastAsia" w:cstheme="minorEastAsia"/>
          <w:color w:val="auto"/>
          <w:spacing w:val="10"/>
          <w:sz w:val="24"/>
          <w:szCs w:val="24"/>
          <w:u w:val="single"/>
        </w:rPr>
        <w:t xml:space="preserve">     </w:t>
      </w:r>
      <w:r>
        <w:rPr>
          <w:rFonts w:hint="eastAsia" w:asciiTheme="minorEastAsia" w:hAnsiTheme="minorEastAsia" w:eastAsiaTheme="minorEastAsia" w:cstheme="minorEastAsia"/>
          <w:color w:val="auto"/>
          <w:spacing w:val="10"/>
          <w:sz w:val="24"/>
          <w:szCs w:val="24"/>
        </w:rPr>
        <w:t>日</w:t>
      </w:r>
      <w:r>
        <w:rPr>
          <w:rFonts w:hint="eastAsia" w:asciiTheme="minorEastAsia" w:hAnsiTheme="minorEastAsia" w:eastAsiaTheme="minorEastAsia" w:cstheme="minorEastAsia"/>
          <w:color w:val="auto"/>
          <w:spacing w:val="1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val="en-US" w:eastAsia="zh-CN"/>
        </w:rPr>
        <w:t>附件六</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heme="minorEastAsia" w:hAnsiTheme="minorEastAsia" w:eastAsiaTheme="minorEastAsia" w:cstheme="minorEastAsia"/>
          <w:b/>
          <w:bCs w:val="0"/>
          <w:color w:val="auto"/>
          <w:sz w:val="32"/>
          <w:szCs w:val="32"/>
        </w:rPr>
      </w:pPr>
      <w:r>
        <w:rPr>
          <w:rFonts w:hint="eastAsia" w:asciiTheme="minorEastAsia" w:hAnsiTheme="minorEastAsia" w:eastAsiaTheme="minorEastAsia" w:cstheme="minorEastAsia"/>
          <w:b/>
          <w:bCs w:val="0"/>
          <w:color w:val="auto"/>
          <w:sz w:val="32"/>
          <w:szCs w:val="32"/>
        </w:rPr>
        <w:t>商务条款偏离表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应根据其提供的货物和服务，对照</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除“</w:t>
      </w:r>
      <w:r>
        <w:rPr>
          <w:rFonts w:hint="eastAsia" w:asciiTheme="minorEastAsia" w:hAnsiTheme="minorEastAsia" w:eastAsiaTheme="minorEastAsia" w:cstheme="minorEastAsia"/>
          <w:b w:val="0"/>
          <w:bCs/>
          <w:color w:val="auto"/>
          <w:sz w:val="24"/>
          <w:szCs w:val="24"/>
          <w:lang w:val="en-US" w:eastAsia="zh-CN"/>
        </w:rPr>
        <w:t>采购需求</w:t>
      </w:r>
      <w:r>
        <w:rPr>
          <w:rFonts w:hint="eastAsia" w:asciiTheme="minorEastAsia" w:hAnsiTheme="minorEastAsia" w:eastAsiaTheme="minorEastAsia" w:cstheme="minorEastAsia"/>
          <w:b w:val="0"/>
          <w:bCs/>
          <w:color w:val="auto"/>
          <w:sz w:val="24"/>
          <w:szCs w:val="24"/>
        </w:rPr>
        <w:t>”外的要求，有差异的，则在差异表中写明实际响应的具体内容。</w:t>
      </w:r>
    </w:p>
    <w:tbl>
      <w:tblPr>
        <w:tblStyle w:val="39"/>
        <w:tblW w:w="88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043"/>
        <w:gridCol w:w="2443"/>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30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要求</w:t>
            </w:r>
          </w:p>
        </w:tc>
        <w:tc>
          <w:tcPr>
            <w:tcW w:w="24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内容</w:t>
            </w:r>
          </w:p>
        </w:tc>
        <w:tc>
          <w:tcPr>
            <w:tcW w:w="25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实际响应的具体内容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供统一社会信用代码</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开户许可证</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未被列入</w:t>
            </w:r>
            <w:r>
              <w:rPr>
                <w:rFonts w:hint="eastAsia" w:asciiTheme="minorEastAsia" w:hAnsiTheme="minorEastAsia" w:eastAsiaTheme="minorEastAsia" w:cstheme="minorEastAsia"/>
                <w:color w:val="auto"/>
                <w:sz w:val="24"/>
                <w:szCs w:val="24"/>
              </w:rPr>
              <w:t>“中国裁判文书网”记录综合查询被执行人</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未被列入失信行为记录</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社保缴纳证明</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完税证明</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7</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审计</w:t>
            </w:r>
            <w:r>
              <w:rPr>
                <w:rFonts w:hint="eastAsia" w:asciiTheme="minorEastAsia" w:hAnsiTheme="minorEastAsia" w:eastAsiaTheme="minorEastAsia" w:cstheme="minorEastAsia"/>
                <w:bCs/>
                <w:color w:val="auto"/>
                <w:sz w:val="24"/>
                <w:szCs w:val="24"/>
              </w:rPr>
              <w:t>报告</w:t>
            </w:r>
            <w:r>
              <w:rPr>
                <w:rFonts w:hint="eastAsia" w:asciiTheme="minorEastAsia" w:hAnsiTheme="minorEastAsia" w:eastAsiaTheme="minorEastAsia" w:cstheme="minorEastAsia"/>
                <w:bCs/>
                <w:color w:val="auto"/>
                <w:sz w:val="24"/>
                <w:szCs w:val="24"/>
                <w:lang w:val="en-US" w:eastAsia="zh-CN"/>
              </w:rPr>
              <w:t>或银行资信证明</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法人授权函</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before="158" w:beforeLines="50" w:after="158" w:afterLines="50"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（法人公章）：</w:t>
      </w:r>
    </w:p>
    <w:p>
      <w:pPr>
        <w:keepNext w:val="0"/>
        <w:keepLines w:val="0"/>
        <w:pageBreakBefore w:val="0"/>
        <w:widowControl w:val="0"/>
        <w:kinsoku/>
        <w:wordWrap/>
        <w:overflowPunct/>
        <w:topLinePunct w:val="0"/>
        <w:autoSpaceDE/>
        <w:autoSpaceDN/>
        <w:bidi w:val="0"/>
        <w:adjustRightInd/>
        <w:snapToGrid/>
        <w:spacing w:before="158" w:beforeLines="50" w:after="158" w:afterLines="50"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授权代表（签名或盖章）：</w:t>
      </w:r>
    </w:p>
    <w:p>
      <w:pPr>
        <w:keepNext w:val="0"/>
        <w:keepLines w:val="0"/>
        <w:pageBreakBefore w:val="0"/>
        <w:widowControl w:val="0"/>
        <w:kinsoku w:val="0"/>
        <w:wordWrap/>
        <w:overflowPunct/>
        <w:topLinePunct w:val="0"/>
        <w:autoSpaceDE w:val="0"/>
        <w:bidi w:val="0"/>
        <w:snapToGrid/>
        <w:spacing w:line="500" w:lineRule="exact"/>
        <w:ind w:left="0" w:leftChars="0" w:right="0" w:rightChars="0" w:firstLine="480"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before="158" w:beforeLines="50" w:after="158" w:afterLines="50" w:line="500" w:lineRule="exact"/>
        <w:ind w:firstLine="560" w:firstLineChars="200"/>
        <w:jc w:val="left"/>
        <w:textAlignment w:val="auto"/>
        <w:outlineLvl w:val="9"/>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br w:type="page"/>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rPr>
        <w:t>附件</w:t>
      </w:r>
      <w:r>
        <w:rPr>
          <w:rFonts w:hint="eastAsia" w:asciiTheme="minorEastAsia" w:hAnsiTheme="minorEastAsia" w:eastAsiaTheme="minorEastAsia" w:cstheme="minorEastAsia"/>
          <w:b/>
          <w:bCs w:val="0"/>
          <w:color w:val="auto"/>
          <w:sz w:val="28"/>
          <w:szCs w:val="28"/>
          <w:lang w:val="en-US" w:eastAsia="zh-CN"/>
        </w:rPr>
        <w:t>七</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Theme="minorEastAsia" w:hAnsiTheme="minorEastAsia" w:eastAsiaTheme="minorEastAsia" w:cstheme="minorEastAsia"/>
          <w:b/>
          <w:bCs w:val="0"/>
          <w:color w:val="auto"/>
          <w:sz w:val="32"/>
          <w:szCs w:val="32"/>
        </w:rPr>
      </w:pPr>
      <w:r>
        <w:rPr>
          <w:rFonts w:hint="eastAsia" w:asciiTheme="minorEastAsia" w:hAnsiTheme="minorEastAsia" w:eastAsiaTheme="minorEastAsia" w:cstheme="minorEastAsia"/>
          <w:b/>
          <w:bCs w:val="0"/>
          <w:color w:val="auto"/>
          <w:sz w:val="32"/>
          <w:szCs w:val="32"/>
        </w:rPr>
        <w:t>售后服务承诺</w:t>
      </w:r>
    </w:p>
    <w:p>
      <w:pPr>
        <w:pStyle w:val="9"/>
        <w:keepNext w:val="0"/>
        <w:keepLines w:val="0"/>
        <w:pageBreakBefore w:val="0"/>
        <w:overflowPunct/>
        <w:topLinePunct w:val="0"/>
        <w:bidi w:val="0"/>
        <w:outlineLvl w:val="9"/>
        <w:rPr>
          <w:rFonts w:hint="eastAsia" w:asciiTheme="minorEastAsia" w:hAnsiTheme="minorEastAsia" w:eastAsiaTheme="minorEastAsia" w:cstheme="minorEastAsia"/>
          <w:color w:val="auto"/>
          <w:lang w:val="en-US" w:eastAsia="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84"/>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质量承诺</w:t>
            </w:r>
          </w:p>
        </w:tc>
        <w:tc>
          <w:tcPr>
            <w:tcW w:w="6148"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符合国家及相关行业标准、三包等</w:t>
            </w:r>
            <w:r>
              <w:rPr>
                <w:rFonts w:hint="eastAsia" w:asciiTheme="minorEastAsia" w:hAnsiTheme="minorEastAsia" w:eastAsiaTheme="minorEastAsia" w:cstheme="minorEastAsia"/>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843"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w:t>
            </w:r>
          </w:p>
        </w:tc>
        <w:tc>
          <w:tcPr>
            <w:tcW w:w="1984"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价格承诺</w:t>
            </w:r>
          </w:p>
        </w:tc>
        <w:tc>
          <w:tcPr>
            <w:tcW w:w="6148"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（包括不高于征集文件最高限价等）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843"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w:t>
            </w:r>
          </w:p>
        </w:tc>
        <w:tc>
          <w:tcPr>
            <w:tcW w:w="1984"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质保期承诺</w:t>
            </w:r>
          </w:p>
        </w:tc>
        <w:tc>
          <w:tcPr>
            <w:tcW w:w="6148"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（包括质量保证期限等）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843"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val="en-US" w:eastAsia="zh-CN"/>
              </w:rPr>
              <w:t>4</w:t>
            </w:r>
          </w:p>
        </w:tc>
        <w:tc>
          <w:tcPr>
            <w:tcW w:w="1984"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维修安装承诺</w:t>
            </w:r>
          </w:p>
        </w:tc>
        <w:tc>
          <w:tcPr>
            <w:tcW w:w="6148"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（包括安装运输过程中可能出现的问题，运送地点，专人安装调试，运输安装费用等）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供货期限承诺</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（包括供货期限等）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val="en-US" w:eastAsia="zh-CN"/>
              </w:rPr>
              <w:t>6</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售后响应承诺</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（包括售后服务电话，质保期内、外的时限、服务承诺等）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7</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使用承诺</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包括</w:t>
            </w:r>
            <w:r>
              <w:rPr>
                <w:rFonts w:hint="eastAsia" w:asciiTheme="minorEastAsia" w:hAnsiTheme="minorEastAsia" w:eastAsiaTheme="minorEastAsia" w:cstheme="minorEastAsia"/>
                <w:bCs/>
                <w:color w:val="auto"/>
                <w:sz w:val="24"/>
                <w:szCs w:val="24"/>
                <w:highlight w:val="none"/>
                <w:lang w:val="en-US" w:eastAsia="zh-CN"/>
              </w:rPr>
              <w:t>车辆的</w:t>
            </w:r>
            <w:r>
              <w:rPr>
                <w:rFonts w:hint="eastAsia" w:asciiTheme="minorEastAsia" w:hAnsiTheme="minorEastAsia" w:eastAsiaTheme="minorEastAsia" w:cstheme="minorEastAsia"/>
                <w:bCs/>
                <w:color w:val="auto"/>
                <w:sz w:val="24"/>
                <w:szCs w:val="24"/>
                <w:lang w:val="en-US" w:eastAsia="zh-CN"/>
              </w:rPr>
              <w:t>使用、保养等</w:t>
            </w:r>
            <w:r>
              <w:rPr>
                <w:rFonts w:hint="eastAsia" w:asciiTheme="minorEastAsia" w:hAnsiTheme="minorEastAsia" w:eastAsiaTheme="minorEastAsia" w:cstheme="minorEastAsia"/>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val="en-US" w:eastAsia="zh-CN"/>
              </w:rPr>
              <w:t>8</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其他</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（包括采购项目本身所涉及的事项</w:t>
            </w:r>
            <w:r>
              <w:rPr>
                <w:rFonts w:hint="eastAsia" w:asciiTheme="minorEastAsia" w:hAnsiTheme="minorEastAsia" w:eastAsiaTheme="minorEastAsia" w:cstheme="minorEastAsia"/>
                <w:bCs/>
                <w:color w:val="auto"/>
                <w:sz w:val="24"/>
                <w:szCs w:val="24"/>
                <w:lang w:val="en-US" w:eastAsia="zh-CN"/>
              </w:rPr>
              <w:t>等</w:t>
            </w:r>
            <w:r>
              <w:rPr>
                <w:rFonts w:hint="eastAsia" w:asciiTheme="minorEastAsia" w:hAnsiTheme="minorEastAsia" w:eastAsiaTheme="minorEastAsia" w:cstheme="minorEastAsia"/>
                <w:bCs/>
                <w:color w:val="auto"/>
                <w:sz w:val="24"/>
                <w:szCs w:val="24"/>
                <w:lang w:eastAsia="zh-CN"/>
              </w:rPr>
              <w:t>）</w:t>
            </w:r>
          </w:p>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eastAsia" w:asciiTheme="minorEastAsia" w:hAnsiTheme="minorEastAsia" w:eastAsiaTheme="minorEastAsia" w:cstheme="minor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eastAsia" w:asciiTheme="minorEastAsia" w:hAnsiTheme="minorEastAsia" w:eastAsiaTheme="minorEastAsia" w:cstheme="minor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eastAsia" w:asciiTheme="minorEastAsia" w:hAnsiTheme="minorEastAsia" w:eastAsiaTheme="minorEastAsia" w:cstheme="minor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eastAsia" w:asciiTheme="minorEastAsia" w:hAnsiTheme="minorEastAsia" w:eastAsiaTheme="minorEastAsia" w:cstheme="minorEastAsia"/>
          <w:b/>
          <w:bCs/>
          <w:color w:val="auto"/>
          <w:sz w:val="28"/>
          <w:szCs w:val="28"/>
          <w:lang w:val="en-US" w:eastAsia="zh-CN"/>
        </w:rPr>
      </w:pPr>
    </w:p>
    <w:p>
      <w:pPr>
        <w:pStyle w:val="31"/>
        <w:ind w:left="0" w:leftChars="0" w:firstLine="0" w:firstLineChars="0"/>
        <w:jc w:val="both"/>
        <w:rPr>
          <w:rFonts w:hint="eastAsia"/>
          <w:color w:val="auto"/>
          <w:lang w:eastAsia="zh-CN"/>
        </w:rPr>
      </w:pPr>
    </w:p>
    <w:p>
      <w:pPr>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default"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附件八</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Theme="minorEastAsia" w:hAnsiTheme="minorEastAsia" w:eastAsiaTheme="minorEastAsia" w:cstheme="minorEastAsia"/>
          <w:b w:val="0"/>
          <w:bCs/>
          <w:color w:val="auto"/>
          <w:sz w:val="32"/>
          <w:szCs w:val="32"/>
          <w:lang w:val="en-US" w:eastAsia="zh-CN"/>
        </w:rPr>
      </w:pPr>
      <w:r>
        <w:rPr>
          <w:rFonts w:hint="eastAsia" w:asciiTheme="minorEastAsia" w:hAnsiTheme="minorEastAsia" w:eastAsiaTheme="minorEastAsia" w:cstheme="minorEastAsia"/>
          <w:b w:val="0"/>
          <w:bCs/>
          <w:color w:val="auto"/>
          <w:sz w:val="32"/>
          <w:szCs w:val="32"/>
        </w:rPr>
        <w:t>具备法律、行政法规规定的其他条件的证明</w:t>
      </w:r>
      <w:r>
        <w:rPr>
          <w:rFonts w:hint="eastAsia" w:asciiTheme="minorEastAsia" w:hAnsiTheme="minorEastAsia" w:eastAsiaTheme="minorEastAsia" w:cstheme="minorEastAsia"/>
          <w:b w:val="0"/>
          <w:bCs/>
          <w:color w:val="auto"/>
          <w:sz w:val="32"/>
          <w:szCs w:val="32"/>
          <w:lang w:val="en-US" w:eastAsia="zh-CN"/>
        </w:rPr>
        <w:t>材料</w:t>
      </w:r>
    </w:p>
    <w:bookmarkEnd w:id="225"/>
    <w:bookmarkEnd w:id="226"/>
    <w:bookmarkEnd w:id="227"/>
    <w:bookmarkEnd w:id="228"/>
    <w:bookmarkEnd w:id="229"/>
    <w:p>
      <w:pPr>
        <w:keepNext w:val="0"/>
        <w:keepLines w:val="0"/>
        <w:pageBreakBefore w:val="0"/>
        <w:widowControl w:val="0"/>
        <w:tabs>
          <w:tab w:val="left" w:pos="360"/>
        </w:tabs>
        <w:kinsoku/>
        <w:wordWrap/>
        <w:overflowPunct/>
        <w:topLinePunct w:val="0"/>
        <w:autoSpaceDE/>
        <w:autoSpaceDN/>
        <w:bidi w:val="0"/>
        <w:adjustRightInd/>
        <w:snapToGrid/>
        <w:spacing w:line="500" w:lineRule="exact"/>
        <w:ind w:firstLine="562" w:firstLineChars="200"/>
        <w:textAlignment w:val="auto"/>
        <w:outlineLvl w:val="9"/>
        <w:rPr>
          <w:rFonts w:hint="eastAsia" w:asciiTheme="minorEastAsia" w:hAnsiTheme="minorEastAsia" w:eastAsiaTheme="minorEastAsia" w:cstheme="minorEastAsia"/>
          <w:b/>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keepNext w:val="0"/>
        <w:keepLines w:val="0"/>
        <w:pageBreakBefore w:val="0"/>
        <w:overflowPunct/>
        <w:topLinePunct w:val="0"/>
        <w:bidi w:val="0"/>
        <w:spacing w:afterLines="50" w:line="360" w:lineRule="auto"/>
        <w:outlineLvl w:val="9"/>
        <w:rPr>
          <w:rFonts w:hint="eastAsia" w:asciiTheme="minorEastAsia" w:hAnsiTheme="minorEastAsia" w:eastAsiaTheme="minorEastAsia" w:cstheme="minorEastAsia"/>
          <w:b w:val="0"/>
          <w:bCs/>
          <w:color w:val="auto"/>
          <w:sz w:val="28"/>
          <w:szCs w:val="28"/>
        </w:rPr>
      </w:pPr>
    </w:p>
    <w:p>
      <w:pPr>
        <w:jc w:val="both"/>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rPr>
        <w:t>附件</w:t>
      </w:r>
      <w:r>
        <w:rPr>
          <w:rFonts w:hint="eastAsia" w:asciiTheme="minorEastAsia" w:hAnsiTheme="minorEastAsia" w:eastAsiaTheme="minorEastAsia" w:cstheme="minorEastAsia"/>
          <w:b/>
          <w:bCs w:val="0"/>
          <w:color w:val="auto"/>
          <w:sz w:val="28"/>
          <w:szCs w:val="28"/>
          <w:lang w:val="en-US" w:eastAsia="zh-CN"/>
        </w:rPr>
        <w:t>九</w:t>
      </w:r>
    </w:p>
    <w:p>
      <w:pPr>
        <w:jc w:val="both"/>
        <w:rPr>
          <w:rFonts w:hint="eastAsia" w:asciiTheme="minorEastAsia" w:hAnsiTheme="minorEastAsia" w:eastAsiaTheme="minorEastAsia" w:cstheme="minorEastAsia"/>
          <w:b w:val="0"/>
          <w:bCs/>
          <w:color w:val="auto"/>
          <w:sz w:val="28"/>
          <w:szCs w:val="28"/>
          <w:lang w:val="en-US" w:eastAsia="zh-CN"/>
        </w:rPr>
      </w:pPr>
    </w:p>
    <w:p>
      <w:pPr>
        <w:ind w:firstLine="2249" w:firstLineChars="800"/>
        <w:jc w:val="both"/>
        <w:rPr>
          <w:rFonts w:hint="eastAsia"/>
          <w:b/>
          <w:color w:val="auto"/>
          <w:sz w:val="28"/>
          <w:szCs w:val="28"/>
        </w:rPr>
      </w:pPr>
      <w:r>
        <w:rPr>
          <w:rFonts w:hint="eastAsia"/>
          <w:b/>
          <w:color w:val="auto"/>
          <w:sz w:val="28"/>
          <w:szCs w:val="28"/>
        </w:rPr>
        <w:t>中小企业声明函（工程、服务）</w:t>
      </w:r>
    </w:p>
    <w:p>
      <w:pPr>
        <w:rPr>
          <w:rFonts w:hint="eastAsia"/>
          <w:color w:val="auto"/>
        </w:rPr>
      </w:pP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1. （标的名称） ，属于（采购文件中明确的所属行业）；承建（承接）企业为（企业名称），从业人员人，营业收入为万元，资产总额为万元1，属于（中型企业、小型企业、微型企业）；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2. （标的名称） ，属于（采购文件中明确的所属行业）；承建（承接）企业为（企业名称），从业人员人，营业收入为万元，资产总额为万元，属于（中型企业、小型企业、微型企业）；</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szCs w:val="24"/>
        </w:rPr>
      </w:pPr>
      <w:r>
        <w:rPr>
          <w:rFonts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20" w:lineRule="exact"/>
        <w:ind w:firstLine="4080" w:firstLineChars="1700"/>
        <w:textAlignment w:val="auto"/>
        <w:rPr>
          <w:rFonts w:hint="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560" w:firstLineChars="1900"/>
        <w:textAlignment w:val="auto"/>
        <w:rPr>
          <w:rFonts w:hint="eastAsia"/>
          <w:color w:val="auto"/>
          <w:sz w:val="24"/>
          <w:szCs w:val="24"/>
        </w:rPr>
      </w:pPr>
      <w:r>
        <w:rPr>
          <w:rFonts w:hint="eastAsia"/>
          <w:color w:val="auto"/>
          <w:sz w:val="24"/>
          <w:szCs w:val="24"/>
        </w:rPr>
        <w:t>企业名称（盖章）：</w:t>
      </w:r>
    </w:p>
    <w:p>
      <w:pPr>
        <w:keepNext w:val="0"/>
        <w:keepLines w:val="0"/>
        <w:pageBreakBefore w:val="0"/>
        <w:widowControl w:val="0"/>
        <w:kinsoku/>
        <w:wordWrap/>
        <w:overflowPunct/>
        <w:topLinePunct w:val="0"/>
        <w:autoSpaceDE/>
        <w:autoSpaceDN/>
        <w:bidi w:val="0"/>
        <w:adjustRightInd/>
        <w:snapToGrid/>
        <w:spacing w:line="420" w:lineRule="exact"/>
        <w:ind w:firstLine="4560" w:firstLineChars="1900"/>
        <w:textAlignment w:val="auto"/>
        <w:rPr>
          <w:rFonts w:hint="eastAsia"/>
          <w:color w:val="auto"/>
          <w:sz w:val="24"/>
          <w:szCs w:val="24"/>
        </w:rPr>
      </w:pPr>
      <w:r>
        <w:rPr>
          <w:rFonts w:hint="eastAsia"/>
          <w:color w:val="auto"/>
          <w:sz w:val="24"/>
          <w:szCs w:val="24"/>
        </w:rPr>
        <w:t>日期：</w:t>
      </w:r>
    </w:p>
    <w:p>
      <w:pPr>
        <w:keepNext w:val="0"/>
        <w:keepLines w:val="0"/>
        <w:pageBreakBefore w:val="0"/>
        <w:widowControl w:val="0"/>
        <w:kinsoku/>
        <w:wordWrap w:val="0"/>
        <w:overflowPunct/>
        <w:topLinePunct w:val="0"/>
        <w:autoSpaceDE/>
        <w:autoSpaceDN/>
        <w:bidi w:val="0"/>
        <w:adjustRightInd/>
        <w:snapToGrid w:val="0"/>
        <w:spacing w:line="500" w:lineRule="exact"/>
        <w:ind w:left="0" w:leftChars="0"/>
        <w:jc w:val="right"/>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overflowPunct/>
        <w:topLinePunct w:val="0"/>
        <w:autoSpaceDE/>
        <w:autoSpaceDN/>
        <w:bidi w:val="0"/>
        <w:adjustRightInd/>
        <w:spacing w:line="700" w:lineRule="exact"/>
        <w:jc w:val="right"/>
        <w:textAlignment w:val="auto"/>
        <w:outlineLvl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9"/>
        <w:rPr>
          <w:rFonts w:hint="eastAsia" w:asciiTheme="minorEastAsia" w:hAnsiTheme="minorEastAsia" w:eastAsiaTheme="minorEastAsia" w:cstheme="minorEastAsia"/>
          <w:b/>
          <w:bCs/>
          <w:color w:val="auto"/>
          <w:sz w:val="30"/>
          <w:szCs w:val="30"/>
        </w:rPr>
      </w:pPr>
      <w:bookmarkStart w:id="230" w:name="OLE_LINK14"/>
      <w:bookmarkStart w:id="231" w:name="OLE_LINK13"/>
      <w:r>
        <w:rPr>
          <w:rFonts w:hint="eastAsia" w:asciiTheme="minorEastAsia" w:hAnsiTheme="minorEastAsia" w:eastAsiaTheme="minorEastAsia" w:cstheme="minorEastAsia"/>
          <w:b/>
          <w:bCs/>
          <w:color w:val="auto"/>
          <w:sz w:val="30"/>
          <w:szCs w:val="30"/>
        </w:rPr>
        <w:t>残疾人福利性单位声明函</w:t>
      </w:r>
    </w:p>
    <w:bookmarkEnd w:id="230"/>
    <w:bookmarkEnd w:id="231"/>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本单位郑重声明，根据《财政部民政部中国残疾人联合会关于促进残疾人就业政府采购政策的通知》（财库</w:t>
      </w:r>
      <w:r>
        <w:rPr>
          <w:rFonts w:hint="eastAsia" w:asciiTheme="minorEastAsia" w:hAnsiTheme="minorEastAsia" w:eastAsiaTheme="minorEastAsia" w:cstheme="minorEastAsia"/>
          <w:color w:val="auto"/>
          <w:sz w:val="24"/>
          <w:szCs w:val="24"/>
        </w:rPr>
        <w:t>〔2017〕 141</w:t>
      </w:r>
      <w:r>
        <w:rPr>
          <w:rFonts w:hint="eastAsia" w:asciiTheme="minorEastAsia" w:hAnsiTheme="minorEastAsia" w:eastAsiaTheme="minorEastAsia" w:cstheme="minorEastAsia"/>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p>
    <w:p>
      <w:pPr>
        <w:keepNext w:val="0"/>
        <w:keepLines w:val="0"/>
        <w:pageBreakBefore w:val="0"/>
        <w:widowControl w:val="0"/>
        <w:tabs>
          <w:tab w:val="left" w:pos="4860"/>
        </w:tabs>
        <w:kinsoku/>
        <w:wordWrap/>
        <w:overflowPunct/>
        <w:topLinePunct w:val="0"/>
        <w:autoSpaceDE/>
        <w:autoSpaceDN/>
        <w:bidi w:val="0"/>
        <w:adjustRightInd/>
        <w:snapToGrid/>
        <w:spacing w:line="500" w:lineRule="exact"/>
        <w:ind w:right="0"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lang w:val="en-US" w:eastAsia="zh-CN"/>
        </w:rPr>
        <w:t xml:space="preserve">                       </w:t>
      </w:r>
      <w:r>
        <w:rPr>
          <w:rFonts w:hint="eastAsia" w:asciiTheme="minorEastAsia" w:hAnsiTheme="minorEastAsia" w:eastAsiaTheme="minorEastAsia" w:cstheme="minorEastAsia"/>
          <w:color w:val="auto"/>
          <w:spacing w:val="6"/>
          <w:sz w:val="24"/>
          <w:szCs w:val="24"/>
        </w:rPr>
        <w:t>单位名称（</w:t>
      </w:r>
      <w:r>
        <w:rPr>
          <w:rFonts w:hint="eastAsia" w:asciiTheme="minorEastAsia" w:hAnsiTheme="minorEastAsia" w:eastAsiaTheme="minorEastAsia" w:cstheme="minorEastAsia"/>
          <w:color w:val="auto"/>
          <w:spacing w:val="6"/>
          <w:sz w:val="24"/>
          <w:szCs w:val="24"/>
          <w:lang w:val="en-US" w:eastAsia="zh-CN"/>
        </w:rPr>
        <w:t>盖章</w:t>
      </w:r>
      <w:r>
        <w:rPr>
          <w:rFonts w:hint="eastAsia" w:asciiTheme="minorEastAsia" w:hAnsiTheme="minorEastAsia" w:eastAsiaTheme="minorEastAsia" w:cstheme="minorEastAsia"/>
          <w:color w:val="auto"/>
          <w:spacing w:val="6"/>
          <w:sz w:val="24"/>
          <w:szCs w:val="24"/>
        </w:rPr>
        <w:t>）：</w:t>
      </w:r>
    </w:p>
    <w:p>
      <w:pPr>
        <w:keepNext w:val="0"/>
        <w:keepLines w:val="0"/>
        <w:pageBreakBefore w:val="0"/>
        <w:widowControl w:val="0"/>
        <w:tabs>
          <w:tab w:val="left" w:pos="4860"/>
        </w:tabs>
        <w:kinsoku/>
        <w:wordWrap/>
        <w:overflowPunct/>
        <w:topLinePunct w:val="0"/>
        <w:autoSpaceDE/>
        <w:autoSpaceDN/>
        <w:bidi w:val="0"/>
        <w:adjustRightInd/>
        <w:snapToGrid/>
        <w:spacing w:line="500" w:lineRule="exact"/>
        <w:ind w:right="0"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lang w:val="en-US" w:eastAsia="zh-CN"/>
        </w:rPr>
        <w:t xml:space="preserve">                                 </w:t>
      </w:r>
      <w:r>
        <w:rPr>
          <w:rFonts w:hint="eastAsia" w:asciiTheme="minorEastAsia" w:hAnsiTheme="minorEastAsia" w:eastAsiaTheme="minorEastAsia" w:cstheme="minorEastAsia"/>
          <w:color w:val="auto"/>
          <w:spacing w:val="6"/>
          <w:sz w:val="24"/>
          <w:szCs w:val="24"/>
        </w:rPr>
        <w:t>日</w:t>
      </w:r>
      <w:r>
        <w:rPr>
          <w:rFonts w:hint="eastAsia" w:asciiTheme="minorEastAsia" w:hAnsiTheme="minorEastAsia" w:eastAsiaTheme="minorEastAsia" w:cstheme="minorEastAsia"/>
          <w:color w:val="auto"/>
          <w:spacing w:val="6"/>
          <w:sz w:val="24"/>
          <w:szCs w:val="24"/>
          <w:lang w:val="en-US" w:eastAsia="zh-CN"/>
        </w:rPr>
        <w:t xml:space="preserve">  </w:t>
      </w:r>
      <w:r>
        <w:rPr>
          <w:rFonts w:hint="eastAsia" w:asciiTheme="minorEastAsia" w:hAnsiTheme="minorEastAsia" w:eastAsiaTheme="minorEastAsia" w:cstheme="minorEastAsia"/>
          <w:color w:val="auto"/>
          <w:spacing w:val="6"/>
          <w:sz w:val="24"/>
          <w:szCs w:val="24"/>
        </w:rPr>
        <w:t>期：</w:t>
      </w:r>
    </w:p>
    <w:p>
      <w:pPr>
        <w:pStyle w:val="9"/>
        <w:keepNext w:val="0"/>
        <w:keepLines w:val="0"/>
        <w:pageBreakBefore w:val="0"/>
        <w:overflowPunct/>
        <w:topLinePunct w:val="0"/>
        <w:bidi w:val="0"/>
        <w:ind w:firstLine="482"/>
        <w:outlineLvl w:val="9"/>
        <w:rPr>
          <w:rFonts w:hint="eastAsia" w:asciiTheme="minorEastAsia" w:hAnsiTheme="minorEastAsia" w:eastAsiaTheme="minorEastAsia" w:cstheme="minorEastAsia"/>
          <w:b/>
          <w:bCs/>
          <w:color w:val="auto"/>
          <w:szCs w:val="24"/>
        </w:rPr>
      </w:pPr>
    </w:p>
    <w:p>
      <w:pPr>
        <w:pStyle w:val="9"/>
        <w:rPr>
          <w:rFonts w:hint="eastAsia" w:ascii="宋体" w:hAnsi="宋体"/>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ind w:firstLine="1767" w:firstLineChars="400"/>
        <w:rPr>
          <w:rFonts w:hint="eastAsia" w:asciiTheme="minorEastAsia" w:hAnsiTheme="minorEastAsia" w:eastAsiaTheme="minorEastAsia" w:cstheme="minorEastAsia"/>
          <w:b/>
          <w:bCs w:val="0"/>
          <w:color w:val="auto"/>
          <w:sz w:val="44"/>
          <w:szCs w:val="44"/>
          <w:lang w:val="en-US" w:eastAsia="zh-CN"/>
        </w:rPr>
      </w:pPr>
    </w:p>
    <w:p>
      <w:pPr>
        <w:pStyle w:val="9"/>
        <w:ind w:firstLine="1767" w:firstLineChars="400"/>
        <w:rPr>
          <w:rFonts w:hint="eastAsia" w:asciiTheme="minorEastAsia" w:hAnsiTheme="minorEastAsia" w:eastAsiaTheme="minorEastAsia" w:cstheme="minorEastAsia"/>
          <w:b/>
          <w:bCs w:val="0"/>
          <w:color w:val="auto"/>
          <w:sz w:val="44"/>
          <w:szCs w:val="44"/>
          <w:lang w:val="en-US" w:eastAsia="zh-CN"/>
        </w:rPr>
      </w:pPr>
    </w:p>
    <w:p>
      <w:pPr>
        <w:pStyle w:val="9"/>
        <w:ind w:left="0" w:leftChars="0" w:firstLine="0" w:firstLineChars="0"/>
        <w:outlineLvl w:val="0"/>
        <w:rPr>
          <w:rFonts w:hint="default" w:asciiTheme="minorEastAsia" w:hAnsiTheme="minorEastAsia" w:eastAsiaTheme="minorEastAsia" w:cstheme="minorEastAsia"/>
          <w:b/>
          <w:bCs w:val="0"/>
          <w:color w:val="auto"/>
          <w:sz w:val="44"/>
          <w:szCs w:val="44"/>
          <w:lang w:val="en-US"/>
        </w:rPr>
      </w:pPr>
      <w:bookmarkStart w:id="232" w:name="_Toc30602"/>
      <w:r>
        <w:rPr>
          <w:rFonts w:hint="eastAsia" w:asciiTheme="minorEastAsia" w:hAnsiTheme="minorEastAsia" w:eastAsiaTheme="minorEastAsia" w:cstheme="minorEastAsia"/>
          <w:b/>
          <w:bCs w:val="0"/>
          <w:color w:val="auto"/>
          <w:sz w:val="44"/>
          <w:szCs w:val="44"/>
          <w:lang w:val="en-US" w:eastAsia="zh-CN"/>
        </w:rPr>
        <w:t>第八部分       不见面开标大厅</w:t>
      </w:r>
      <w:r>
        <w:rPr>
          <w:rFonts w:hint="eastAsia" w:asciiTheme="minorEastAsia" w:hAnsiTheme="minorEastAsia" w:eastAsiaTheme="minorEastAsia" w:cstheme="minorEastAsia"/>
          <w:b/>
          <w:bCs w:val="0"/>
          <w:color w:val="auto"/>
          <w:spacing w:val="-3"/>
          <w:sz w:val="44"/>
          <w:szCs w:val="44"/>
        </w:rPr>
        <w:t>操作手册</w:t>
      </w:r>
      <w:bookmarkEnd w:id="232"/>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bookmarkStart w:id="233" w:name="_Toc14441_WPSOffice_Level1"/>
      <w:bookmarkStart w:id="234" w:name="_Toc8270_WPSOffice_Level1"/>
      <w:bookmarkStart w:id="235" w:name="_Toc7392_WPSOffice_Level1"/>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asciiTheme="minorEastAsia" w:hAnsiTheme="minorEastAsia" w:eastAsiaTheme="minorEastAsia" w:cstheme="minorEastAsia"/>
          <w:color w:val="auto"/>
          <w:sz w:val="52"/>
          <w:szCs w:val="52"/>
        </w:rPr>
      </w:pPr>
      <w:r>
        <w:rPr>
          <w:rFonts w:hint="eastAsia" w:asciiTheme="minorEastAsia" w:hAnsiTheme="minorEastAsia" w:eastAsiaTheme="minorEastAsia" w:cstheme="minorEastAsia"/>
          <w:color w:val="auto"/>
          <w:spacing w:val="-4"/>
          <w:sz w:val="52"/>
          <w:szCs w:val="52"/>
        </w:rPr>
        <w:t>甘肃</w:t>
      </w:r>
      <w:r>
        <w:rPr>
          <w:rFonts w:hint="eastAsia" w:asciiTheme="minorEastAsia" w:hAnsiTheme="minorEastAsia" w:eastAsiaTheme="minorEastAsia" w:cstheme="minorEastAsia"/>
          <w:color w:val="auto"/>
          <w:spacing w:val="-3"/>
          <w:sz w:val="52"/>
          <w:szCs w:val="52"/>
        </w:rPr>
        <w:t>中</w:t>
      </w:r>
      <w:r>
        <w:rPr>
          <w:rFonts w:hint="eastAsia" w:asciiTheme="minorEastAsia" w:hAnsiTheme="minorEastAsia" w:eastAsiaTheme="minorEastAsia" w:cstheme="minorEastAsia"/>
          <w:color w:val="auto"/>
          <w:spacing w:val="-2"/>
          <w:sz w:val="52"/>
          <w:szCs w:val="52"/>
        </w:rPr>
        <w:t>工电子开评标系统运营项目</w:t>
      </w:r>
      <w:r>
        <w:rPr>
          <w:rFonts w:hint="eastAsia" w:asciiTheme="minorEastAsia" w:hAnsiTheme="minorEastAsia" w:eastAsiaTheme="minorEastAsia" w:cstheme="minorEastAsia"/>
          <w:color w:val="auto"/>
          <w:spacing w:val="-4"/>
          <w:sz w:val="52"/>
          <w:szCs w:val="52"/>
        </w:rPr>
        <w:t>不</w:t>
      </w:r>
      <w:r>
        <w:rPr>
          <w:rFonts w:hint="eastAsia" w:asciiTheme="minorEastAsia" w:hAnsiTheme="minorEastAsia" w:eastAsiaTheme="minorEastAsia" w:cstheme="minorEastAsia"/>
          <w:color w:val="auto"/>
          <w:spacing w:val="-3"/>
          <w:sz w:val="52"/>
          <w:szCs w:val="52"/>
        </w:rPr>
        <w:t>见面开标大厅操作手册</w:t>
      </w:r>
      <w:bookmarkEnd w:id="233"/>
      <w:bookmarkEnd w:id="234"/>
      <w:bookmarkEnd w:id="235"/>
    </w:p>
    <w:p>
      <w:pPr>
        <w:rPr>
          <w:rFonts w:asciiTheme="minorEastAsia" w:hAnsiTheme="minorEastAsia" w:eastAsiaTheme="minorEastAsia" w:cstheme="minorEastAsia"/>
          <w:color w:val="auto"/>
        </w:rPr>
        <w:sectPr>
          <w:pgSz w:w="11906" w:h="16839"/>
          <w:pgMar w:top="1524" w:right="1717" w:bottom="0" w:left="1785" w:header="1521" w:footer="0"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4" w:lineRule="auto"/>
        <w:rPr>
          <w:rFonts w:asciiTheme="minorEastAsia" w:hAnsiTheme="minorEastAsia" w:eastAsiaTheme="minorEastAsia" w:cstheme="minorEastAsia"/>
          <w:color w:val="auto"/>
          <w:sz w:val="24"/>
          <w:szCs w:val="24"/>
        </w:rPr>
      </w:pPr>
    </w:p>
    <w:sdt>
      <w:sdtPr>
        <w:rPr>
          <w:rFonts w:ascii="宋体" w:hAnsi="宋体" w:eastAsia="宋体" w:cs="Times New Roman"/>
          <w:kern w:val="2"/>
          <w:sz w:val="21"/>
          <w:szCs w:val="24"/>
          <w:lang w:val="en-US" w:eastAsia="zh-CN" w:bidi="ar-SA"/>
        </w:rPr>
        <w:id w:val="147452855"/>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236" w:name="_Toc28349_WPSOffice_Type1"/>
          <w:r>
            <w:rPr>
              <w:rFonts w:ascii="宋体" w:hAnsi="宋体" w:eastAsia="宋体"/>
              <w:sz w:val="21"/>
            </w:rPr>
            <w:t>目录</w:t>
          </w:r>
        </w:p>
        <w:p>
          <w:pPr>
            <w:pStyle w:val="174"/>
            <w:tabs>
              <w:tab w:val="right" w:leader="dot" w:pos="8336"/>
            </w:tabs>
          </w:pPr>
          <w:r>
            <w:fldChar w:fldCharType="begin"/>
          </w:r>
          <w:r>
            <w:instrText xml:space="preserve"> HYPERLINK \l _Toc9433_WPSOffice_Level1 </w:instrText>
          </w:r>
          <w:r>
            <w:fldChar w:fldCharType="separate"/>
          </w:r>
          <w:sdt>
            <w:sdtPr>
              <w:rPr>
                <w:rFonts w:ascii="Times New Roman" w:hAnsi="Times New Roman" w:eastAsia="宋体" w:cs="Times New Roman"/>
                <w:kern w:val="2"/>
                <w:sz w:val="21"/>
                <w:szCs w:val="24"/>
                <w:lang w:val="en-US" w:eastAsia="zh-CN" w:bidi="ar-SA"/>
              </w:rPr>
              <w:id w:val="147452855"/>
              <w:placeholder>
                <w:docPart w:val="{0ac01040-9767-4216-8dac-fe57afca8cce}"/>
              </w:placeholder>
            </w:sdtPr>
            <w:sdtEndPr>
              <w:rPr>
                <w:rFonts w:ascii="Times New Roman" w:hAnsi="Times New Roman" w:eastAsia="宋体" w:cs="Times New Roman"/>
                <w:kern w:val="2"/>
                <w:sz w:val="21"/>
                <w:szCs w:val="24"/>
                <w:lang w:val="en-US" w:eastAsia="zh-CN" w:bidi="ar-SA"/>
              </w:rPr>
            </w:sdtEndPr>
            <w:sdtContent>
              <w:r>
                <w:rPr>
                  <w:rFonts w:hint="eastAsia" w:asciiTheme="minorEastAsia" w:hAnsiTheme="minorEastAsia" w:eastAsiaTheme="minorEastAsia" w:cstheme="minorEastAsia"/>
                </w:rPr>
                <w:t>一、开标大厅</w:t>
              </w:r>
            </w:sdtContent>
          </w:sdt>
          <w:r>
            <w:tab/>
          </w:r>
          <w:bookmarkStart w:id="237" w:name="_Toc9433_WPSOffice_Level1Page"/>
          <w:r>
            <w:t>61</w:t>
          </w:r>
          <w:bookmarkEnd w:id="237"/>
          <w:r>
            <w:fldChar w:fldCharType="end"/>
          </w:r>
        </w:p>
        <w:p>
          <w:pPr>
            <w:pStyle w:val="174"/>
            <w:tabs>
              <w:tab w:val="right" w:leader="dot" w:pos="8336"/>
            </w:tabs>
          </w:pPr>
          <w:r>
            <w:fldChar w:fldCharType="begin"/>
          </w:r>
          <w:r>
            <w:instrText xml:space="preserve"> HYPERLINK \l _Toc28349_WPSOffice_Level1 </w:instrText>
          </w:r>
          <w:r>
            <w:fldChar w:fldCharType="separate"/>
          </w:r>
          <w:sdt>
            <w:sdtPr>
              <w:rPr>
                <w:rFonts w:ascii="Times New Roman" w:hAnsi="Times New Roman" w:eastAsia="宋体" w:cs="Times New Roman"/>
                <w:kern w:val="2"/>
                <w:sz w:val="21"/>
                <w:szCs w:val="24"/>
                <w:lang w:val="en-US" w:eastAsia="zh-CN" w:bidi="ar-SA"/>
              </w:rPr>
              <w:id w:val="147452855"/>
              <w:placeholder>
                <w:docPart w:val="{a86a3844-1fa9-4310-9c20-55262b9bb8f2}"/>
              </w:placeholder>
            </w:sdtPr>
            <w:sdtEndPr>
              <w:rPr>
                <w:rFonts w:ascii="Times New Roman" w:hAnsi="Times New Roman" w:eastAsia="宋体" w:cs="Times New Roman"/>
                <w:kern w:val="2"/>
                <w:sz w:val="21"/>
                <w:szCs w:val="24"/>
                <w:lang w:val="en-US" w:eastAsia="zh-CN" w:bidi="ar-SA"/>
              </w:rPr>
            </w:sdtEndPr>
            <w:sdtContent>
              <w:r>
                <w:rPr>
                  <w:rFonts w:hint="eastAsia" w:asciiTheme="minorEastAsia" w:hAnsiTheme="minorEastAsia" w:eastAsiaTheme="minorEastAsia" w:cstheme="minorEastAsia"/>
                </w:rPr>
                <w:t>二、电脑环境准备</w:t>
              </w:r>
            </w:sdtContent>
          </w:sdt>
          <w:r>
            <w:tab/>
          </w:r>
          <w:bookmarkStart w:id="238" w:name="_Toc28349_WPSOffice_Level1Page"/>
          <w:r>
            <w:t>61</w:t>
          </w:r>
          <w:bookmarkEnd w:id="238"/>
          <w:r>
            <w:fldChar w:fldCharType="end"/>
          </w:r>
        </w:p>
        <w:p>
          <w:pPr>
            <w:pStyle w:val="174"/>
            <w:tabs>
              <w:tab w:val="right" w:leader="dot" w:pos="8336"/>
            </w:tabs>
          </w:pPr>
          <w:r>
            <w:fldChar w:fldCharType="begin"/>
          </w:r>
          <w:r>
            <w:instrText xml:space="preserve"> HYPERLINK \l _Toc9792_WPSOffice_Level1 </w:instrText>
          </w:r>
          <w:r>
            <w:fldChar w:fldCharType="separate"/>
          </w:r>
          <w:sdt>
            <w:sdtPr>
              <w:rPr>
                <w:rFonts w:ascii="Times New Roman" w:hAnsi="Times New Roman" w:eastAsia="宋体" w:cs="Times New Roman"/>
                <w:kern w:val="2"/>
                <w:sz w:val="21"/>
                <w:szCs w:val="24"/>
                <w:lang w:val="en-US" w:eastAsia="zh-CN" w:bidi="ar-SA"/>
              </w:rPr>
              <w:id w:val="147452855"/>
              <w:placeholder>
                <w:docPart w:val="{c3e525db-fa86-429f-b4e3-aed5c815cd46}"/>
              </w:placeholder>
            </w:sdtPr>
            <w:sdtEndPr>
              <w:rPr>
                <w:rFonts w:ascii="Times New Roman" w:hAnsi="Times New Roman" w:eastAsia="宋体" w:cs="Times New Roman"/>
                <w:kern w:val="2"/>
                <w:sz w:val="21"/>
                <w:szCs w:val="24"/>
                <w:lang w:val="en-US" w:eastAsia="zh-CN" w:bidi="ar-SA"/>
              </w:rPr>
            </w:sdtEndPr>
            <w:sdtContent>
              <w:r>
                <w:rPr>
                  <w:rFonts w:hint="eastAsia" w:asciiTheme="minorEastAsia" w:hAnsiTheme="minorEastAsia" w:eastAsiaTheme="minorEastAsia" w:cstheme="minorEastAsia"/>
                </w:rPr>
                <w:t>三、招标代理</w:t>
              </w:r>
            </w:sdtContent>
          </w:sdt>
          <w:r>
            <w:tab/>
          </w:r>
          <w:bookmarkStart w:id="239" w:name="_Toc9792_WPSOffice_Level1Page"/>
          <w:r>
            <w:t>66</w:t>
          </w:r>
          <w:bookmarkEnd w:id="239"/>
          <w:r>
            <w:fldChar w:fldCharType="end"/>
          </w:r>
          <w:bookmarkEnd w:id="236"/>
        </w:p>
      </w:sdtContent>
    </w:sdt>
    <w:p>
      <w:pPr>
        <w:rPr>
          <w:rFonts w:asciiTheme="minorEastAsia" w:hAnsiTheme="minorEastAsia" w:eastAsiaTheme="minorEastAsia" w:cstheme="minorEastAsia"/>
          <w:color w:val="auto"/>
        </w:rPr>
        <w:sectPr>
          <w:headerReference r:id="rId6" w:type="default"/>
          <w:footerReference r:id="rId7"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before="133" w:line="545" w:lineRule="exact"/>
        <w:ind w:left="484"/>
        <w:outlineLvl w:val="0"/>
        <w:rPr>
          <w:rFonts w:asciiTheme="minorEastAsia" w:hAnsiTheme="minorEastAsia" w:eastAsiaTheme="minorEastAsia" w:cstheme="minorEastAsia"/>
          <w:color w:val="auto"/>
          <w:sz w:val="31"/>
          <w:szCs w:val="31"/>
        </w:rPr>
      </w:pPr>
      <w:bookmarkStart w:id="240" w:name="_Toc1205"/>
      <w:bookmarkStart w:id="241" w:name="_Toc31176_WPSOffice_Level1"/>
      <w:bookmarkStart w:id="242" w:name="_Toc24186"/>
      <w:bookmarkStart w:id="243" w:name="_Toc22673_WPSOffice_Level1"/>
      <w:bookmarkStart w:id="244" w:name="_Toc9433_WPSOffice_Level1"/>
      <w:bookmarkStart w:id="245" w:name="_Toc1003_WPSOffice_Level1"/>
      <w:r>
        <w:rPr>
          <w:rFonts w:hint="eastAsia" w:asciiTheme="minorEastAsia" w:hAnsiTheme="minorEastAsia" w:eastAsiaTheme="minorEastAsia" w:cstheme="minorEastAsia"/>
          <w:color w:val="auto"/>
          <w:spacing w:val="6"/>
          <w:position w:val="5"/>
          <w:sz w:val="31"/>
          <w:szCs w:val="31"/>
        </w:rPr>
        <w:t>一</w:t>
      </w:r>
      <w:r>
        <w:rPr>
          <w:rFonts w:hint="eastAsia" w:asciiTheme="minorEastAsia" w:hAnsiTheme="minorEastAsia" w:eastAsiaTheme="minorEastAsia" w:cstheme="minorEastAsia"/>
          <w:color w:val="auto"/>
          <w:spacing w:val="3"/>
          <w:position w:val="5"/>
          <w:sz w:val="31"/>
          <w:szCs w:val="31"/>
        </w:rPr>
        <w:t>、开标大厅</w:t>
      </w:r>
      <w:bookmarkEnd w:id="240"/>
      <w:bookmarkEnd w:id="241"/>
      <w:bookmarkEnd w:id="242"/>
      <w:bookmarkEnd w:id="243"/>
      <w:bookmarkEnd w:id="244"/>
      <w:bookmarkEnd w:id="245"/>
    </w:p>
    <w:p>
      <w:pPr>
        <w:spacing w:before="248" w:line="423" w:lineRule="auto"/>
        <w:ind w:left="26" w:firstLine="41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开标大厅主要是用于在网上开标 ，减少投标人的出差成本 ；只要在有稳定网络的地方</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13"/>
          <w:sz w:val="20"/>
          <w:szCs w:val="20"/>
        </w:rPr>
        <w:t>登</w:t>
      </w:r>
      <w:r>
        <w:rPr>
          <w:rFonts w:hint="eastAsia" w:asciiTheme="minorEastAsia" w:hAnsiTheme="minorEastAsia" w:eastAsiaTheme="minorEastAsia" w:cstheme="minorEastAsia"/>
          <w:color w:val="auto"/>
          <w:spacing w:val="9"/>
          <w:sz w:val="20"/>
          <w:szCs w:val="20"/>
        </w:rPr>
        <w:t>录不见面开标大厅就可以实现网上开标。有效的提高工作效率。</w:t>
      </w:r>
    </w:p>
    <w:p>
      <w:pPr>
        <w:spacing w:line="618" w:lineRule="exact"/>
        <w:ind w:left="441"/>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7"/>
          <w:position w:val="29"/>
          <w:sz w:val="20"/>
          <w:szCs w:val="20"/>
        </w:rPr>
        <w:t>开</w:t>
      </w:r>
      <w:r>
        <w:rPr>
          <w:rFonts w:hint="eastAsia" w:asciiTheme="minorEastAsia" w:hAnsiTheme="minorEastAsia" w:eastAsiaTheme="minorEastAsia" w:cstheme="minorEastAsia"/>
          <w:color w:val="auto"/>
          <w:spacing w:val="9"/>
          <w:position w:val="29"/>
          <w:sz w:val="20"/>
          <w:szCs w:val="20"/>
        </w:rPr>
        <w:t>标大厅地址 ：</w:t>
      </w:r>
      <w:r>
        <w:rPr>
          <w:rFonts w:hint="eastAsia" w:asciiTheme="minorEastAsia" w:hAnsiTheme="minorEastAsia" w:eastAsiaTheme="minorEastAsia" w:cstheme="minorEastAsia"/>
          <w:color w:val="auto"/>
          <w:position w:val="29"/>
          <w:sz w:val="20"/>
          <w:szCs w:val="20"/>
        </w:rPr>
        <w:t>http</w:t>
      </w:r>
      <w:r>
        <w:rPr>
          <w:rFonts w:hint="eastAsia" w:asciiTheme="minorEastAsia" w:hAnsiTheme="minorEastAsia" w:eastAsiaTheme="minorEastAsia" w:cstheme="minorEastAsia"/>
          <w:color w:val="auto"/>
          <w:spacing w:val="9"/>
          <w:position w:val="29"/>
          <w:sz w:val="20"/>
          <w:szCs w:val="20"/>
        </w:rPr>
        <w:t>://</w:t>
      </w:r>
      <w:r>
        <w:rPr>
          <w:rFonts w:hint="eastAsia" w:asciiTheme="minorEastAsia" w:hAnsiTheme="minorEastAsia" w:eastAsiaTheme="minorEastAsia" w:cstheme="minorEastAsia"/>
          <w:color w:val="auto"/>
          <w:position w:val="29"/>
          <w:sz w:val="20"/>
          <w:szCs w:val="20"/>
        </w:rPr>
        <w:t>gsztb</w:t>
      </w:r>
      <w:r>
        <w:rPr>
          <w:rFonts w:hint="eastAsia" w:asciiTheme="minorEastAsia" w:hAnsiTheme="minorEastAsia" w:eastAsiaTheme="minorEastAsia" w:cstheme="minorEastAsia"/>
          <w:color w:val="auto"/>
          <w:spacing w:val="9"/>
          <w:position w:val="29"/>
          <w:sz w:val="20"/>
          <w:szCs w:val="20"/>
        </w:rPr>
        <w:t>.</w:t>
      </w:r>
      <w:r>
        <w:rPr>
          <w:rFonts w:hint="eastAsia" w:asciiTheme="minorEastAsia" w:hAnsiTheme="minorEastAsia" w:eastAsiaTheme="minorEastAsia" w:cstheme="minorEastAsia"/>
          <w:color w:val="auto"/>
          <w:position w:val="29"/>
          <w:sz w:val="20"/>
          <w:szCs w:val="20"/>
        </w:rPr>
        <w:t>cn</w:t>
      </w:r>
      <w:r>
        <w:rPr>
          <w:rFonts w:hint="eastAsia" w:asciiTheme="minorEastAsia" w:hAnsiTheme="minorEastAsia" w:eastAsiaTheme="minorEastAsia" w:cstheme="minorEastAsia"/>
          <w:color w:val="auto"/>
          <w:spacing w:val="9"/>
          <w:position w:val="29"/>
          <w:sz w:val="20"/>
          <w:szCs w:val="20"/>
        </w:rPr>
        <w:t>/</w:t>
      </w:r>
      <w:r>
        <w:rPr>
          <w:rFonts w:hint="eastAsia" w:asciiTheme="minorEastAsia" w:hAnsiTheme="minorEastAsia" w:eastAsiaTheme="minorEastAsia" w:cstheme="minorEastAsia"/>
          <w:color w:val="auto"/>
          <w:position w:val="29"/>
          <w:sz w:val="20"/>
          <w:szCs w:val="20"/>
        </w:rPr>
        <w:t>BidOpeningHall</w:t>
      </w:r>
    </w:p>
    <w:p>
      <w:pPr>
        <w:spacing w:line="351" w:lineRule="exact"/>
        <w:ind w:left="441"/>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4"/>
          <w:position w:val="4"/>
          <w:sz w:val="20"/>
          <w:szCs w:val="20"/>
        </w:rPr>
        <w:t>开</w:t>
      </w:r>
      <w:r>
        <w:rPr>
          <w:rFonts w:hint="eastAsia" w:asciiTheme="minorEastAsia" w:hAnsiTheme="minorEastAsia" w:eastAsiaTheme="minorEastAsia" w:cstheme="minorEastAsia"/>
          <w:color w:val="auto"/>
          <w:spacing w:val="8"/>
          <w:position w:val="4"/>
          <w:sz w:val="20"/>
          <w:szCs w:val="20"/>
        </w:rPr>
        <w:t>标</w:t>
      </w:r>
      <w:r>
        <w:rPr>
          <w:rFonts w:hint="eastAsia" w:asciiTheme="minorEastAsia" w:hAnsiTheme="minorEastAsia" w:eastAsiaTheme="minorEastAsia" w:cstheme="minorEastAsia"/>
          <w:color w:val="auto"/>
          <w:spacing w:val="7"/>
          <w:position w:val="4"/>
          <w:sz w:val="20"/>
          <w:szCs w:val="20"/>
        </w:rPr>
        <w:t>大厅页面 ( 如下图 )  ：</w:t>
      </w:r>
    </w:p>
    <w:p>
      <w:pPr>
        <w:spacing w:before="153"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8"/>
                    <a:stretch>
                      <a:fillRect/>
                    </a:stretch>
                  </pic:blipFill>
                  <pic:spPr>
                    <a:xfrm>
                      <a:off x="0" y="0"/>
                      <a:ext cx="5266944" cy="2308859"/>
                    </a:xfrm>
                    <a:prstGeom prst="rect">
                      <a:avLst/>
                    </a:prstGeom>
                  </pic:spPr>
                </pic:pic>
              </a:graphicData>
            </a:graphic>
          </wp:inline>
        </w:drawing>
      </w:r>
    </w:p>
    <w:p>
      <w:pPr>
        <w:spacing w:before="272" w:line="191"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 xml:space="preserve">点击右上角的登录按钮 </w:t>
      </w:r>
      <w:r>
        <w:rPr>
          <w:rFonts w:hint="eastAsia" w:asciiTheme="minorEastAsia" w:hAnsiTheme="minorEastAsia" w:eastAsiaTheme="minorEastAsia" w:cstheme="minorEastAsia"/>
          <w:color w:val="auto"/>
          <w:spacing w:val="1"/>
          <w:sz w:val="20"/>
          <w:szCs w:val="20"/>
        </w:rPr>
        <w:t>，显示登录界面。页面主要分为六个登录分类 ，分别是招标代理、</w:t>
      </w:r>
    </w:p>
    <w:p>
      <w:pPr>
        <w:spacing w:line="264" w:lineRule="auto"/>
        <w:rPr>
          <w:rFonts w:asciiTheme="minorEastAsia" w:hAnsiTheme="minorEastAsia" w:eastAsiaTheme="minorEastAsia" w:cstheme="minorEastAsia"/>
          <w:color w:val="auto"/>
        </w:rPr>
      </w:pPr>
    </w:p>
    <w:p>
      <w:pPr>
        <w:spacing w:before="87" w:line="190" w:lineRule="auto"/>
        <w:ind w:left="2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2"/>
          <w:sz w:val="20"/>
          <w:szCs w:val="20"/>
        </w:rPr>
        <w:t>投</w:t>
      </w:r>
      <w:r>
        <w:rPr>
          <w:rFonts w:hint="eastAsia" w:asciiTheme="minorEastAsia" w:hAnsiTheme="minorEastAsia" w:eastAsiaTheme="minorEastAsia" w:cstheme="minorEastAsia"/>
          <w:color w:val="auto"/>
          <w:spacing w:val="7"/>
          <w:sz w:val="20"/>
          <w:szCs w:val="20"/>
        </w:rPr>
        <w:t xml:space="preserve">标人、招标人、监管人、公证人和交易中心 ；可以通过 </w:t>
      </w:r>
      <w:r>
        <w:rPr>
          <w:rFonts w:hint="eastAsia" w:asciiTheme="minorEastAsia" w:hAnsiTheme="minorEastAsia" w:eastAsiaTheme="minorEastAsia" w:cstheme="minorEastAsia"/>
          <w:color w:val="auto"/>
          <w:sz w:val="20"/>
          <w:szCs w:val="20"/>
        </w:rPr>
        <w:t>CA</w:t>
      </w:r>
      <w:r>
        <w:rPr>
          <w:rFonts w:hint="eastAsia" w:asciiTheme="minorEastAsia" w:hAnsiTheme="minorEastAsia" w:eastAsiaTheme="minorEastAsia" w:cstheme="minorEastAsia"/>
          <w:color w:val="auto"/>
          <w:spacing w:val="7"/>
          <w:sz w:val="20"/>
          <w:szCs w:val="20"/>
        </w:rPr>
        <w:t xml:space="preserve"> 登录和用户名登录。</w:t>
      </w:r>
    </w:p>
    <w:p>
      <w:pPr>
        <w:spacing w:before="187"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9"/>
                    <a:stretch>
                      <a:fillRect/>
                    </a:stretch>
                  </pic:blipFill>
                  <pic:spPr>
                    <a:xfrm>
                      <a:off x="0" y="0"/>
                      <a:ext cx="5266944" cy="2308859"/>
                    </a:xfrm>
                    <a:prstGeom prst="rect">
                      <a:avLst/>
                    </a:prstGeom>
                  </pic:spPr>
                </pic:pic>
              </a:graphicData>
            </a:graphic>
          </wp:inline>
        </w:drawing>
      </w:r>
    </w:p>
    <w:p>
      <w:pPr>
        <w:spacing w:before="339" w:line="181" w:lineRule="auto"/>
        <w:ind w:left="478"/>
        <w:outlineLvl w:val="0"/>
        <w:rPr>
          <w:rFonts w:asciiTheme="minorEastAsia" w:hAnsiTheme="minorEastAsia" w:eastAsiaTheme="minorEastAsia" w:cstheme="minorEastAsia"/>
          <w:color w:val="auto"/>
          <w:sz w:val="31"/>
          <w:szCs w:val="31"/>
        </w:rPr>
      </w:pPr>
      <w:bookmarkStart w:id="246" w:name="_Toc30647_WPSOffice_Level1"/>
      <w:bookmarkStart w:id="247" w:name="_Toc1704_WPSOffice_Level1"/>
      <w:bookmarkStart w:id="248" w:name="_Toc28349_WPSOffice_Level1"/>
      <w:bookmarkStart w:id="249" w:name="_Toc9162"/>
      <w:bookmarkStart w:id="250" w:name="_Toc4517"/>
      <w:bookmarkStart w:id="251" w:name="_Toc22599_WPSOffice_Level1"/>
      <w:r>
        <w:rPr>
          <w:rFonts w:hint="eastAsia" w:asciiTheme="minorEastAsia" w:hAnsiTheme="minorEastAsia" w:eastAsiaTheme="minorEastAsia" w:cstheme="minorEastAsia"/>
          <w:color w:val="auto"/>
          <w:spacing w:val="-18"/>
          <w:sz w:val="31"/>
          <w:szCs w:val="31"/>
        </w:rPr>
        <w:t>二</w:t>
      </w:r>
      <w:r>
        <w:rPr>
          <w:rFonts w:hint="eastAsia" w:asciiTheme="minorEastAsia" w:hAnsiTheme="minorEastAsia" w:eastAsiaTheme="minorEastAsia" w:cstheme="minorEastAsia"/>
          <w:color w:val="auto"/>
          <w:spacing w:val="-13"/>
          <w:sz w:val="31"/>
          <w:szCs w:val="31"/>
        </w:rPr>
        <w:t>、电脑环境准备</w:t>
      </w:r>
      <w:bookmarkEnd w:id="246"/>
      <w:bookmarkEnd w:id="247"/>
      <w:bookmarkEnd w:id="248"/>
      <w:bookmarkEnd w:id="249"/>
      <w:bookmarkEnd w:id="250"/>
      <w:bookmarkEnd w:id="251"/>
    </w:p>
    <w:p>
      <w:pPr>
        <w:spacing w:line="268" w:lineRule="auto"/>
        <w:rPr>
          <w:rFonts w:asciiTheme="minorEastAsia" w:hAnsiTheme="minorEastAsia" w:eastAsiaTheme="minorEastAsia" w:cstheme="minorEastAsia"/>
          <w:color w:val="auto"/>
        </w:rPr>
      </w:pPr>
    </w:p>
    <w:p>
      <w:pPr>
        <w:spacing w:before="87" w:line="241" w:lineRule="auto"/>
        <w:ind w:left="45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sz w:val="20"/>
          <w:szCs w:val="20"/>
        </w:rPr>
        <w:t xml:space="preserve">1 、   </w:t>
      </w:r>
      <w:r>
        <w:rPr>
          <w:rFonts w:hint="eastAsia" w:asciiTheme="minorEastAsia" w:hAnsiTheme="minorEastAsia" w:eastAsiaTheme="minorEastAsia" w:cstheme="minorEastAsia"/>
          <w:color w:val="auto"/>
          <w:sz w:val="20"/>
          <w:szCs w:val="20"/>
        </w:rPr>
        <w:t xml:space="preserve"> 为保证视频直播流畅度 ，请在电脑上安装 windows10 系统 ，并使用 IE11 浏览器。</w:t>
      </w:r>
    </w:p>
    <w:p>
      <w:pPr>
        <w:rPr>
          <w:rFonts w:asciiTheme="minorEastAsia" w:hAnsiTheme="minorEastAsia" w:eastAsiaTheme="minorEastAsia" w:cstheme="minorEastAsia"/>
          <w:color w:val="auto"/>
        </w:rPr>
        <w:sectPr>
          <w:headerReference r:id="rId8" w:type="default"/>
          <w:footerReference r:id="rId9" w:type="default"/>
          <w:pgSz w:w="11906" w:h="16839"/>
          <w:pgMar w:top="991" w:right="1701"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251" w:lineRule="auto"/>
        <w:rPr>
          <w:rFonts w:asciiTheme="minorEastAsia" w:hAnsiTheme="minorEastAsia" w:eastAsiaTheme="minorEastAsia" w:cstheme="minorEastAsia"/>
          <w:color w:val="auto"/>
        </w:rPr>
      </w:pPr>
    </w:p>
    <w:p>
      <w:pPr>
        <w:spacing w:line="252" w:lineRule="auto"/>
        <w:rPr>
          <w:rFonts w:asciiTheme="minorEastAsia" w:hAnsiTheme="minorEastAsia" w:eastAsiaTheme="minorEastAsia" w:cstheme="minorEastAsia"/>
          <w:color w:val="auto"/>
        </w:rPr>
      </w:pPr>
    </w:p>
    <w:p>
      <w:pPr>
        <w:spacing w:before="86" w:line="192" w:lineRule="auto"/>
        <w:ind w:left="4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8"/>
          <w:sz w:val="20"/>
          <w:szCs w:val="20"/>
        </w:rPr>
        <w:t>电脑要求内</w:t>
      </w:r>
      <w:r>
        <w:rPr>
          <w:rFonts w:hint="eastAsia" w:asciiTheme="minorEastAsia" w:hAnsiTheme="minorEastAsia" w:eastAsiaTheme="minorEastAsia" w:cstheme="minorEastAsia"/>
          <w:color w:val="auto"/>
          <w:spacing w:val="6"/>
          <w:sz w:val="20"/>
          <w:szCs w:val="20"/>
        </w:rPr>
        <w:t>存</w:t>
      </w:r>
      <w:r>
        <w:rPr>
          <w:rFonts w:hint="eastAsia" w:asciiTheme="minorEastAsia" w:hAnsiTheme="minorEastAsia" w:eastAsiaTheme="minorEastAsia" w:cstheme="minorEastAsia"/>
          <w:color w:val="auto"/>
          <w:spacing w:val="4"/>
          <w:sz w:val="20"/>
          <w:szCs w:val="20"/>
        </w:rPr>
        <w:t xml:space="preserve"> 4</w:t>
      </w:r>
      <w:r>
        <w:rPr>
          <w:rFonts w:hint="eastAsia" w:asciiTheme="minorEastAsia" w:hAnsiTheme="minorEastAsia" w:eastAsiaTheme="minorEastAsia" w:cstheme="minorEastAsia"/>
          <w:color w:val="auto"/>
          <w:sz w:val="20"/>
          <w:szCs w:val="20"/>
        </w:rPr>
        <w:t>G</w:t>
      </w:r>
      <w:r>
        <w:rPr>
          <w:rFonts w:hint="eastAsia" w:asciiTheme="minorEastAsia" w:hAnsiTheme="minorEastAsia" w:eastAsiaTheme="minorEastAsia" w:cstheme="minorEastAsia"/>
          <w:color w:val="auto"/>
          <w:spacing w:val="4"/>
          <w:sz w:val="20"/>
          <w:szCs w:val="20"/>
        </w:rPr>
        <w:t xml:space="preserve"> 及以上 ，且需配套麦克风、音箱等 ，并确保其均能正常运转。</w:t>
      </w:r>
    </w:p>
    <w:p>
      <w:pPr>
        <w:spacing w:line="262" w:lineRule="auto"/>
        <w:rPr>
          <w:rFonts w:asciiTheme="minorEastAsia" w:hAnsiTheme="minorEastAsia" w:eastAsiaTheme="minorEastAsia" w:cstheme="minorEastAsia"/>
          <w:color w:val="auto"/>
        </w:rPr>
      </w:pPr>
    </w:p>
    <w:p>
      <w:pPr>
        <w:spacing w:before="85" w:line="421" w:lineRule="auto"/>
        <w:ind w:left="27" w:right="75" w:firstLine="410"/>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2 、    网络使用有线连接 ，带宽 100</w:t>
      </w:r>
      <w:r>
        <w:rPr>
          <w:rFonts w:hint="eastAsia" w:asciiTheme="minorEastAsia" w:hAnsiTheme="minorEastAsia" w:eastAsiaTheme="minorEastAsia" w:cstheme="minorEastAsia"/>
          <w:color w:val="auto"/>
          <w:spacing w:val="-1"/>
          <w:sz w:val="20"/>
          <w:szCs w:val="20"/>
        </w:rPr>
        <w:t>M 以上 ，开标过程中确保网络稳定通畅 ，不建议使用</w:t>
      </w:r>
      <w:r>
        <w:rPr>
          <w:rFonts w:hint="eastAsia" w:asciiTheme="minorEastAsia" w:hAnsiTheme="minorEastAsia" w:eastAsiaTheme="minorEastAsia" w:cstheme="minorEastAsia"/>
          <w:color w:val="auto"/>
          <w:spacing w:val="12"/>
          <w:sz w:val="20"/>
          <w:szCs w:val="20"/>
        </w:rPr>
        <w:t>无</w:t>
      </w:r>
      <w:r>
        <w:rPr>
          <w:rFonts w:hint="eastAsia" w:asciiTheme="minorEastAsia" w:hAnsiTheme="minorEastAsia" w:eastAsiaTheme="minorEastAsia" w:cstheme="minorEastAsia"/>
          <w:color w:val="auto"/>
          <w:spacing w:val="7"/>
          <w:sz w:val="20"/>
          <w:szCs w:val="20"/>
        </w:rPr>
        <w:t>线网络或手机热点。</w:t>
      </w:r>
    </w:p>
    <w:p>
      <w:pPr>
        <w:spacing w:line="445" w:lineRule="auto"/>
        <w:ind w:left="23" w:firstLine="419"/>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3 、    安装甘肃省</w:t>
      </w:r>
      <w:r>
        <w:rPr>
          <w:rFonts w:hint="eastAsia" w:asciiTheme="minorEastAsia" w:hAnsiTheme="minorEastAsia" w:eastAsiaTheme="minorEastAsia" w:cstheme="minorEastAsia"/>
          <w:color w:val="auto"/>
          <w:spacing w:val="2"/>
          <w:sz w:val="20"/>
          <w:szCs w:val="20"/>
        </w:rPr>
        <w:t>互联互通版驱动( 直接在甘肃中工官网下载即可 )  ，驱动下载及相关注</w:t>
      </w:r>
      <w:r>
        <w:rPr>
          <w:rFonts w:hint="eastAsia" w:asciiTheme="minorEastAsia" w:hAnsiTheme="minorEastAsia" w:eastAsiaTheme="minorEastAsia" w:cstheme="minorEastAsia"/>
          <w:color w:val="auto"/>
          <w:spacing w:val="10"/>
          <w:sz w:val="20"/>
          <w:szCs w:val="20"/>
        </w:rPr>
        <w:t>意事</w:t>
      </w:r>
      <w:r>
        <w:rPr>
          <w:rFonts w:hint="eastAsia" w:asciiTheme="minorEastAsia" w:hAnsiTheme="minorEastAsia" w:eastAsiaTheme="minorEastAsia" w:cstheme="minorEastAsia"/>
          <w:color w:val="auto"/>
          <w:spacing w:val="5"/>
          <w:sz w:val="20"/>
          <w:szCs w:val="20"/>
        </w:rPr>
        <w:t xml:space="preserve">项查看地址 ( 注意按照提示添加兼容性视图、  可信任站点和 </w:t>
      </w:r>
      <w:r>
        <w:rPr>
          <w:rFonts w:hint="eastAsia" w:asciiTheme="minorEastAsia" w:hAnsiTheme="minorEastAsia" w:eastAsiaTheme="minorEastAsia" w:cstheme="minorEastAsia"/>
          <w:color w:val="auto"/>
          <w:sz w:val="20"/>
          <w:szCs w:val="20"/>
        </w:rPr>
        <w:t>ActiveX</w:t>
      </w:r>
      <w:r>
        <w:rPr>
          <w:rFonts w:hint="eastAsia" w:asciiTheme="minorEastAsia" w:hAnsiTheme="minorEastAsia" w:eastAsiaTheme="minorEastAsia" w:cstheme="minorEastAsia"/>
          <w:color w:val="auto"/>
          <w:spacing w:val="5"/>
          <w:sz w:val="20"/>
          <w:szCs w:val="20"/>
        </w:rPr>
        <w:t xml:space="preserve"> 访问权限设置 )  ：</w:t>
      </w:r>
    </w:p>
    <w:p>
      <w:pPr>
        <w:spacing w:before="22" w:line="180"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兼容性视图 ：</w:t>
      </w:r>
    </w:p>
    <w:p>
      <w:pPr>
        <w:spacing w:before="321" w:line="436" w:lineRule="auto"/>
        <w:ind w:left="37" w:right="75" w:firstLine="40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打开</w:t>
      </w:r>
      <w:r>
        <w:rPr>
          <w:rFonts w:hint="eastAsia" w:asciiTheme="minorEastAsia" w:hAnsiTheme="minorEastAsia" w:eastAsiaTheme="minorEastAsia" w:cstheme="minorEastAsia"/>
          <w:color w:val="auto"/>
          <w:sz w:val="20"/>
          <w:szCs w:val="20"/>
        </w:rPr>
        <w:t>IE</w:t>
      </w:r>
      <w:r>
        <w:rPr>
          <w:rFonts w:hint="eastAsia" w:asciiTheme="minorEastAsia" w:hAnsiTheme="minorEastAsia" w:eastAsiaTheme="minorEastAsia" w:cstheme="minorEastAsia"/>
          <w:color w:val="auto"/>
          <w:spacing w:val="2"/>
          <w:sz w:val="20"/>
          <w:szCs w:val="20"/>
        </w:rPr>
        <w:t xml:space="preserve"> 浏览器进入甘肃中工不见面开标系统 ，在浏览器“工具( </w:t>
      </w:r>
      <w:r>
        <w:rPr>
          <w:rFonts w:hint="eastAsia" w:asciiTheme="minorEastAsia" w:hAnsiTheme="minorEastAsia" w:eastAsiaTheme="minorEastAsia" w:cstheme="minorEastAsia"/>
          <w:color w:val="auto"/>
          <w:sz w:val="20"/>
          <w:szCs w:val="20"/>
        </w:rPr>
        <w:t>T</w:t>
      </w:r>
      <w:r>
        <w:rPr>
          <w:rFonts w:hint="eastAsia" w:asciiTheme="minorEastAsia" w:hAnsiTheme="minorEastAsia" w:eastAsiaTheme="minorEastAsia" w:cstheme="minorEastAsia"/>
          <w:color w:val="auto"/>
          <w:spacing w:val="2"/>
          <w:sz w:val="20"/>
          <w:szCs w:val="20"/>
        </w:rPr>
        <w:t xml:space="preserve"> ) ”下点击“兼容性视</w:t>
      </w:r>
      <w:r>
        <w:rPr>
          <w:rFonts w:hint="eastAsia" w:asciiTheme="minorEastAsia" w:hAnsiTheme="minorEastAsia" w:eastAsiaTheme="minorEastAsia" w:cstheme="minorEastAsia"/>
          <w:color w:val="auto"/>
          <w:spacing w:val="-14"/>
          <w:sz w:val="20"/>
          <w:szCs w:val="20"/>
        </w:rPr>
        <w:t>图设置 (</w:t>
      </w:r>
      <w:r>
        <w:rPr>
          <w:rFonts w:hint="eastAsia" w:asciiTheme="minorEastAsia" w:hAnsiTheme="minorEastAsia" w:eastAsiaTheme="minorEastAsia" w:cstheme="minorEastAsia"/>
          <w:color w:val="auto"/>
          <w:spacing w:val="-7"/>
          <w:sz w:val="20"/>
          <w:szCs w:val="20"/>
        </w:rPr>
        <w:t xml:space="preserve"> B ) ”。在弹出的“兼容性视图设置”界面 ，点击“添加”按钮 ，将甘肃中工不见面开标</w:t>
      </w:r>
    </w:p>
    <w:p>
      <w:pPr>
        <w:spacing w:line="352" w:lineRule="exact"/>
        <w:ind w:left="27"/>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position w:val="4"/>
          <w:sz w:val="20"/>
          <w:szCs w:val="20"/>
        </w:rPr>
        <w:t xml:space="preserve">系统地址添加至“已添加到兼容性视图中的网站 ( </w:t>
      </w:r>
      <w:r>
        <w:rPr>
          <w:rFonts w:hint="eastAsia" w:asciiTheme="minorEastAsia" w:hAnsiTheme="minorEastAsia" w:eastAsiaTheme="minorEastAsia" w:cstheme="minorEastAsia"/>
          <w:color w:val="auto"/>
          <w:position w:val="4"/>
          <w:sz w:val="20"/>
          <w:szCs w:val="20"/>
        </w:rPr>
        <w:t>W ) ”区域内。</w:t>
      </w:r>
    </w:p>
    <w:p>
      <w:pPr>
        <w:spacing w:before="155" w:line="7361" w:lineRule="exact"/>
        <w:ind w:firstLine="1017"/>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3998595" cy="4673600"/>
            <wp:effectExtent l="0" t="0" r="1905" b="1270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30"/>
                    <a:stretch>
                      <a:fillRect/>
                    </a:stretch>
                  </pic:blipFill>
                  <pic:spPr>
                    <a:xfrm>
                      <a:off x="0" y="0"/>
                      <a:ext cx="3998975" cy="4674108"/>
                    </a:xfrm>
                    <a:prstGeom prst="rect">
                      <a:avLst/>
                    </a:prstGeom>
                  </pic:spPr>
                </pic:pic>
              </a:graphicData>
            </a:graphic>
          </wp:inline>
        </w:drawing>
      </w:r>
    </w:p>
    <w:p>
      <w:pPr>
        <w:rPr>
          <w:rFonts w:asciiTheme="minorEastAsia" w:hAnsiTheme="minorEastAsia" w:eastAsiaTheme="minorEastAsia" w:cstheme="minorEastAsia"/>
          <w:color w:val="auto"/>
        </w:rPr>
        <w:sectPr>
          <w:headerReference r:id="rId10" w:type="default"/>
          <w:footerReference r:id="rId11" w:type="default"/>
          <w:pgSz w:w="11906" w:h="16839"/>
          <w:pgMar w:top="991" w:right="1726"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244" w:lineRule="auto"/>
        <w:rPr>
          <w:rFonts w:asciiTheme="minorEastAsia" w:hAnsiTheme="minorEastAsia" w:eastAsiaTheme="minorEastAsia" w:cstheme="minorEastAsia"/>
          <w:color w:val="auto"/>
        </w:rPr>
      </w:pPr>
    </w:p>
    <w:p>
      <w:pPr>
        <w:spacing w:line="244" w:lineRule="auto"/>
        <w:rPr>
          <w:rFonts w:asciiTheme="minorEastAsia" w:hAnsiTheme="minorEastAsia" w:eastAsiaTheme="minorEastAsia" w:cstheme="minorEastAsia"/>
          <w:color w:val="auto"/>
        </w:rPr>
      </w:pPr>
    </w:p>
    <w:p>
      <w:pPr>
        <w:spacing w:line="8820" w:lineRule="exact"/>
        <w:ind w:firstLine="882"/>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4181475" cy="5600700"/>
            <wp:effectExtent l="0" t="0" r="9525"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31"/>
                    <a:stretch>
                      <a:fillRect/>
                    </a:stretch>
                  </pic:blipFill>
                  <pic:spPr>
                    <a:xfrm>
                      <a:off x="0" y="0"/>
                      <a:ext cx="4181855" cy="5600700"/>
                    </a:xfrm>
                    <a:prstGeom prst="rect">
                      <a:avLst/>
                    </a:prstGeom>
                  </pic:spPr>
                </pic:pic>
              </a:graphicData>
            </a:graphic>
          </wp:inline>
        </w:drawing>
      </w:r>
    </w:p>
    <w:p>
      <w:pPr>
        <w:spacing w:line="245" w:lineRule="auto"/>
        <w:rPr>
          <w:rFonts w:asciiTheme="minorEastAsia" w:hAnsiTheme="minorEastAsia" w:eastAsiaTheme="minorEastAsia" w:cstheme="minorEastAsia"/>
          <w:color w:val="auto"/>
        </w:rPr>
      </w:pPr>
    </w:p>
    <w:p>
      <w:pPr>
        <w:spacing w:before="86" w:line="180" w:lineRule="auto"/>
        <w:ind w:left="45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6"/>
          <w:sz w:val="20"/>
          <w:szCs w:val="20"/>
        </w:rPr>
        <w:t>可</w:t>
      </w:r>
      <w:r>
        <w:rPr>
          <w:rFonts w:hint="eastAsia" w:asciiTheme="minorEastAsia" w:hAnsiTheme="minorEastAsia" w:eastAsiaTheme="minorEastAsia" w:cstheme="minorEastAsia"/>
          <w:color w:val="auto"/>
          <w:spacing w:val="4"/>
          <w:sz w:val="20"/>
          <w:szCs w:val="20"/>
        </w:rPr>
        <w:t>信</w:t>
      </w:r>
      <w:r>
        <w:rPr>
          <w:rFonts w:hint="eastAsia" w:asciiTheme="minorEastAsia" w:hAnsiTheme="minorEastAsia" w:eastAsiaTheme="minorEastAsia" w:cstheme="minorEastAsia"/>
          <w:color w:val="auto"/>
          <w:spacing w:val="3"/>
          <w:sz w:val="20"/>
          <w:szCs w:val="20"/>
        </w:rPr>
        <w:t>任站点 ：</w:t>
      </w:r>
    </w:p>
    <w:p>
      <w:pPr>
        <w:spacing w:before="318" w:line="445" w:lineRule="auto"/>
        <w:ind w:left="19" w:right="96" w:firstLine="42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6"/>
          <w:sz w:val="20"/>
          <w:szCs w:val="20"/>
        </w:rPr>
        <w:t xml:space="preserve">打开 </w:t>
      </w:r>
      <w:r>
        <w:rPr>
          <w:rFonts w:hint="eastAsia" w:asciiTheme="minorEastAsia" w:hAnsiTheme="minorEastAsia" w:eastAsiaTheme="minorEastAsia" w:cstheme="minorEastAsia"/>
          <w:color w:val="auto"/>
          <w:sz w:val="20"/>
          <w:szCs w:val="20"/>
        </w:rPr>
        <w:t>IE</w:t>
      </w:r>
      <w:r>
        <w:rPr>
          <w:rFonts w:hint="eastAsia" w:asciiTheme="minorEastAsia" w:hAnsiTheme="minorEastAsia" w:eastAsiaTheme="minorEastAsia" w:cstheme="minorEastAsia"/>
          <w:color w:val="auto"/>
          <w:spacing w:val="3"/>
          <w:sz w:val="20"/>
          <w:szCs w:val="20"/>
        </w:rPr>
        <w:t xml:space="preserve"> 浏览器进入甘肃中工不见面开标系统 ，在浏览器“工具 ( </w:t>
      </w:r>
      <w:r>
        <w:rPr>
          <w:rFonts w:hint="eastAsia" w:asciiTheme="minorEastAsia" w:hAnsiTheme="minorEastAsia" w:eastAsiaTheme="minorEastAsia" w:cstheme="minorEastAsia"/>
          <w:color w:val="auto"/>
          <w:sz w:val="20"/>
          <w:szCs w:val="20"/>
        </w:rPr>
        <w:t>T</w:t>
      </w:r>
      <w:r>
        <w:rPr>
          <w:rFonts w:hint="eastAsia" w:asciiTheme="minorEastAsia" w:hAnsiTheme="minorEastAsia" w:eastAsiaTheme="minorEastAsia" w:cstheme="minorEastAsia"/>
          <w:color w:val="auto"/>
          <w:spacing w:val="3"/>
          <w:sz w:val="20"/>
          <w:szCs w:val="20"/>
        </w:rPr>
        <w:t xml:space="preserve"> ) ”下点击“</w:t>
      </w:r>
      <w:r>
        <w:rPr>
          <w:rFonts w:hint="eastAsia" w:asciiTheme="minorEastAsia" w:hAnsiTheme="minorEastAsia" w:eastAsiaTheme="minorEastAsia" w:cstheme="minorEastAsia"/>
          <w:color w:val="auto"/>
          <w:sz w:val="20"/>
          <w:szCs w:val="20"/>
        </w:rPr>
        <w:t xml:space="preserve">Internet </w:t>
      </w:r>
      <w:r>
        <w:rPr>
          <w:rFonts w:hint="eastAsia" w:asciiTheme="minorEastAsia" w:hAnsiTheme="minorEastAsia" w:eastAsiaTheme="minorEastAsia" w:cstheme="minorEastAsia"/>
          <w:color w:val="auto"/>
          <w:spacing w:val="-3"/>
          <w:sz w:val="20"/>
          <w:szCs w:val="20"/>
        </w:rPr>
        <w:t>选项 ( O ) ”。</w:t>
      </w:r>
    </w:p>
    <w:p>
      <w:pPr>
        <w:rPr>
          <w:rFonts w:asciiTheme="minorEastAsia" w:hAnsiTheme="minorEastAsia" w:eastAsiaTheme="minorEastAsia" w:cstheme="minorEastAsia"/>
          <w:color w:val="auto"/>
        </w:rPr>
        <w:sectPr>
          <w:headerReference r:id="rId12" w:type="default"/>
          <w:footerReference r:id="rId13"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250" w:lineRule="auto"/>
        <w:rPr>
          <w:rFonts w:asciiTheme="minorEastAsia" w:hAnsiTheme="minorEastAsia" w:eastAsiaTheme="minorEastAsia" w:cstheme="minorEastAsia"/>
          <w:color w:val="auto"/>
        </w:rPr>
      </w:pPr>
    </w:p>
    <w:p>
      <w:pPr>
        <w:spacing w:line="250" w:lineRule="auto"/>
        <w:rPr>
          <w:rFonts w:asciiTheme="minorEastAsia" w:hAnsiTheme="minorEastAsia" w:eastAsiaTheme="minorEastAsia" w:cstheme="minorEastAsia"/>
          <w:color w:val="auto"/>
        </w:rPr>
      </w:pPr>
    </w:p>
    <w:p>
      <w:pPr>
        <w:spacing w:line="7236" w:lineRule="exact"/>
        <w:ind w:firstLine="1062"/>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3942080" cy="4594860"/>
            <wp:effectExtent l="0" t="0" r="1270" b="15240"/>
            <wp:docPr id="6" name="IM 5"/>
            <wp:cNvGraphicFramePr/>
            <a:graphic xmlns:a="http://schemas.openxmlformats.org/drawingml/2006/main">
              <a:graphicData uri="http://schemas.openxmlformats.org/drawingml/2006/picture">
                <pic:pic xmlns:pic="http://schemas.openxmlformats.org/drawingml/2006/picture">
                  <pic:nvPicPr>
                    <pic:cNvPr id="6" name="IM 5"/>
                    <pic:cNvPicPr/>
                  </pic:nvPicPr>
                  <pic:blipFill>
                    <a:blip r:embed="rId32"/>
                    <a:stretch>
                      <a:fillRect/>
                    </a:stretch>
                  </pic:blipFill>
                  <pic:spPr>
                    <a:xfrm>
                      <a:off x="0" y="0"/>
                      <a:ext cx="3942588" cy="4594860"/>
                    </a:xfrm>
                    <a:prstGeom prst="rect">
                      <a:avLst/>
                    </a:prstGeom>
                  </pic:spPr>
                </pic:pic>
              </a:graphicData>
            </a:graphic>
          </wp:inline>
        </w:drawing>
      </w:r>
    </w:p>
    <w:p>
      <w:pPr>
        <w:spacing w:before="302" w:line="445" w:lineRule="auto"/>
        <w:ind w:left="19" w:firstLine="42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在弹出的“</w:t>
      </w:r>
      <w:r>
        <w:rPr>
          <w:rFonts w:hint="eastAsia" w:asciiTheme="minorEastAsia" w:hAnsiTheme="minorEastAsia" w:eastAsiaTheme="minorEastAsia" w:cstheme="minorEastAsia"/>
          <w:color w:val="auto"/>
          <w:sz w:val="20"/>
          <w:szCs w:val="20"/>
        </w:rPr>
        <w:t>Internet</w:t>
      </w:r>
      <w:r>
        <w:rPr>
          <w:rFonts w:hint="eastAsia" w:asciiTheme="minorEastAsia" w:hAnsiTheme="minorEastAsia" w:eastAsiaTheme="minorEastAsia" w:cstheme="minorEastAsia"/>
          <w:color w:val="auto"/>
          <w:spacing w:val="4"/>
          <w:sz w:val="20"/>
          <w:szCs w:val="20"/>
        </w:rPr>
        <w:t xml:space="preserve"> 选项”弹框页面 ，进入“安全”页签 ，选择“受信任的站点” ，点击“站点</w:t>
      </w:r>
      <w:r>
        <w:rPr>
          <w:rFonts w:hint="eastAsia" w:asciiTheme="minorEastAsia" w:hAnsiTheme="minorEastAsia" w:eastAsiaTheme="minorEastAsia" w:cstheme="minorEastAsia"/>
          <w:color w:val="auto"/>
          <w:spacing w:val="1"/>
          <w:sz w:val="20"/>
          <w:szCs w:val="20"/>
        </w:rPr>
        <w:t>”</w:t>
      </w:r>
      <w:r>
        <w:rPr>
          <w:rFonts w:hint="eastAsia" w:asciiTheme="minorEastAsia" w:hAnsiTheme="minorEastAsia" w:eastAsiaTheme="minorEastAsia" w:cstheme="minorEastAsia"/>
          <w:color w:val="auto"/>
          <w:spacing w:val="10"/>
          <w:sz w:val="20"/>
          <w:szCs w:val="20"/>
        </w:rPr>
        <w:t>按</w:t>
      </w:r>
      <w:r>
        <w:rPr>
          <w:rFonts w:hint="eastAsia" w:asciiTheme="minorEastAsia" w:hAnsiTheme="minorEastAsia" w:eastAsiaTheme="minorEastAsia" w:cstheme="minorEastAsia"/>
          <w:color w:val="auto"/>
          <w:spacing w:val="5"/>
          <w:sz w:val="20"/>
          <w:szCs w:val="20"/>
        </w:rPr>
        <w:t>钮 ，在弹出的“受信任的站点”页面点击“添加”按钮 ，将甘肃中工不见面开标系统地址添加</w:t>
      </w:r>
      <w:r>
        <w:rPr>
          <w:rFonts w:hint="eastAsia" w:asciiTheme="minorEastAsia" w:hAnsiTheme="minorEastAsia" w:eastAsiaTheme="minorEastAsia" w:cstheme="minorEastAsia"/>
          <w:color w:val="auto"/>
          <w:spacing w:val="8"/>
          <w:sz w:val="20"/>
          <w:szCs w:val="20"/>
        </w:rPr>
        <w:t>进</w:t>
      </w:r>
      <w:r>
        <w:rPr>
          <w:rFonts w:hint="eastAsia" w:asciiTheme="minorEastAsia" w:hAnsiTheme="minorEastAsia" w:eastAsiaTheme="minorEastAsia" w:cstheme="minorEastAsia"/>
          <w:color w:val="auto"/>
          <w:spacing w:val="7"/>
          <w:sz w:val="20"/>
          <w:szCs w:val="20"/>
        </w:rPr>
        <w:t>可信任区。</w:t>
      </w:r>
    </w:p>
    <w:p>
      <w:pPr>
        <w:rPr>
          <w:rFonts w:asciiTheme="minorEastAsia" w:hAnsiTheme="minorEastAsia" w:eastAsiaTheme="minorEastAsia" w:cstheme="minorEastAsia"/>
          <w:color w:val="auto"/>
        </w:rPr>
        <w:sectPr>
          <w:headerReference r:id="rId14" w:type="default"/>
          <w:footerReference r:id="rId15" w:type="default"/>
          <w:pgSz w:w="11906" w:h="16839"/>
          <w:pgMar w:top="991" w:right="1756"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45" w:lineRule="auto"/>
        <w:rPr>
          <w:rFonts w:asciiTheme="minorEastAsia" w:hAnsiTheme="minorEastAsia" w:eastAsiaTheme="minorEastAsia" w:cstheme="minorEastAsia"/>
          <w:color w:val="auto"/>
        </w:rPr>
      </w:pPr>
    </w:p>
    <w:p>
      <w:pPr>
        <w:spacing w:line="9840" w:lineRule="exact"/>
        <w:ind w:firstLine="86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4210685" cy="6248400"/>
            <wp:effectExtent l="0" t="0" r="18415" b="0"/>
            <wp:docPr id="7" name="IM 6"/>
            <wp:cNvGraphicFramePr/>
            <a:graphic xmlns:a="http://schemas.openxmlformats.org/drawingml/2006/main">
              <a:graphicData uri="http://schemas.openxmlformats.org/drawingml/2006/picture">
                <pic:pic xmlns:pic="http://schemas.openxmlformats.org/drawingml/2006/picture">
                  <pic:nvPicPr>
                    <pic:cNvPr id="7" name="IM 6"/>
                    <pic:cNvPicPr/>
                  </pic:nvPicPr>
                  <pic:blipFill>
                    <a:blip r:embed="rId33"/>
                    <a:stretch>
                      <a:fillRect/>
                    </a:stretch>
                  </pic:blipFill>
                  <pic:spPr>
                    <a:xfrm>
                      <a:off x="0" y="0"/>
                      <a:ext cx="4210811" cy="6248400"/>
                    </a:xfrm>
                    <a:prstGeom prst="rect">
                      <a:avLst/>
                    </a:prstGeom>
                  </pic:spPr>
                </pic:pic>
              </a:graphicData>
            </a:graphic>
          </wp:inline>
        </w:drawing>
      </w:r>
    </w:p>
    <w:p>
      <w:pPr>
        <w:spacing w:before="246" w:line="353" w:lineRule="exact"/>
        <w:ind w:left="43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b/>
          <w:bCs/>
          <w:color w:val="auto"/>
          <w:position w:val="4"/>
          <w:sz w:val="20"/>
          <w:szCs w:val="20"/>
        </w:rPr>
        <w:t>ActiveX</w:t>
      </w:r>
      <w:r>
        <w:rPr>
          <w:rFonts w:hint="eastAsia" w:asciiTheme="minorEastAsia" w:hAnsiTheme="minorEastAsia" w:eastAsiaTheme="minorEastAsia" w:cstheme="minorEastAsia"/>
          <w:color w:val="auto"/>
          <w:spacing w:val="13"/>
          <w:position w:val="4"/>
          <w:sz w:val="20"/>
          <w:szCs w:val="20"/>
        </w:rPr>
        <w:t>访问权限设置</w:t>
      </w:r>
    </w:p>
    <w:p>
      <w:pPr>
        <w:spacing w:before="273" w:line="442" w:lineRule="auto"/>
        <w:ind w:left="21" w:right="15" w:firstLine="422"/>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8"/>
          <w:sz w:val="20"/>
          <w:szCs w:val="20"/>
        </w:rPr>
        <w:t>在</w:t>
      </w:r>
      <w:r>
        <w:rPr>
          <w:rFonts w:hint="eastAsia" w:asciiTheme="minorEastAsia" w:hAnsiTheme="minorEastAsia" w:eastAsiaTheme="minorEastAsia" w:cstheme="minorEastAsia"/>
          <w:color w:val="auto"/>
          <w:spacing w:val="-17"/>
          <w:sz w:val="20"/>
          <w:szCs w:val="20"/>
        </w:rPr>
        <w:t>弹</w:t>
      </w:r>
      <w:r>
        <w:rPr>
          <w:rFonts w:hint="eastAsia" w:asciiTheme="minorEastAsia" w:hAnsiTheme="minorEastAsia" w:eastAsiaTheme="minorEastAsia" w:cstheme="minorEastAsia"/>
          <w:color w:val="auto"/>
          <w:spacing w:val="-14"/>
          <w:sz w:val="20"/>
          <w:szCs w:val="20"/>
        </w:rPr>
        <w:t>出的“Internet 选项”弹框页面 ，进入“安全”页签 ，选择“受信任的站点”，点击“自定义</w:t>
      </w:r>
      <w:r>
        <w:rPr>
          <w:rFonts w:hint="eastAsia" w:asciiTheme="minorEastAsia" w:hAnsiTheme="minorEastAsia" w:eastAsiaTheme="minorEastAsia" w:cstheme="minorEastAsia"/>
          <w:color w:val="auto"/>
          <w:spacing w:val="-8"/>
          <w:sz w:val="20"/>
          <w:szCs w:val="20"/>
        </w:rPr>
        <w:t xml:space="preserve">级别 ( </w:t>
      </w:r>
      <w:r>
        <w:rPr>
          <w:rFonts w:hint="eastAsia" w:asciiTheme="minorEastAsia" w:hAnsiTheme="minorEastAsia" w:eastAsiaTheme="minorEastAsia" w:cstheme="minorEastAsia"/>
          <w:color w:val="auto"/>
          <w:spacing w:val="-4"/>
          <w:sz w:val="20"/>
          <w:szCs w:val="20"/>
        </w:rPr>
        <w:t>C</w:t>
      </w:r>
      <w:r>
        <w:rPr>
          <w:rFonts w:hint="eastAsia" w:asciiTheme="minorEastAsia" w:hAnsiTheme="minorEastAsia" w:eastAsiaTheme="minorEastAsia" w:cstheme="minorEastAsia"/>
          <w:color w:val="auto"/>
          <w:spacing w:val="-8"/>
          <w:sz w:val="20"/>
          <w:szCs w:val="20"/>
        </w:rPr>
        <w:t xml:space="preserve"> ) ..</w:t>
      </w:r>
      <w:r>
        <w:rPr>
          <w:rFonts w:hint="eastAsia" w:asciiTheme="minorEastAsia" w:hAnsiTheme="minorEastAsia" w:eastAsiaTheme="minorEastAsia" w:cstheme="minorEastAsia"/>
          <w:color w:val="auto"/>
          <w:spacing w:val="-4"/>
          <w:sz w:val="20"/>
          <w:szCs w:val="20"/>
        </w:rPr>
        <w:t>.”按钮 ，在弹出的“安全设置-受信任的站点区域”页面 ，将“ActiveX 控件和插件”</w:t>
      </w:r>
      <w:r>
        <w:rPr>
          <w:rFonts w:hint="eastAsia" w:asciiTheme="minorEastAsia" w:hAnsiTheme="minorEastAsia" w:eastAsiaTheme="minorEastAsia" w:cstheme="minorEastAsia"/>
          <w:color w:val="auto"/>
          <w:spacing w:val="13"/>
          <w:sz w:val="20"/>
          <w:szCs w:val="20"/>
        </w:rPr>
        <w:t>项</w:t>
      </w:r>
      <w:r>
        <w:rPr>
          <w:rFonts w:hint="eastAsia" w:asciiTheme="minorEastAsia" w:hAnsiTheme="minorEastAsia" w:eastAsiaTheme="minorEastAsia" w:cstheme="minorEastAsia"/>
          <w:color w:val="auto"/>
          <w:spacing w:val="9"/>
          <w:sz w:val="20"/>
          <w:szCs w:val="20"/>
        </w:rPr>
        <w:t xml:space="preserve">下的所有含 </w:t>
      </w:r>
      <w:r>
        <w:rPr>
          <w:rFonts w:hint="eastAsia" w:asciiTheme="minorEastAsia" w:hAnsiTheme="minorEastAsia" w:eastAsiaTheme="minorEastAsia" w:cstheme="minorEastAsia"/>
          <w:color w:val="auto"/>
          <w:sz w:val="20"/>
          <w:szCs w:val="20"/>
        </w:rPr>
        <w:t>ActiveX</w:t>
      </w:r>
      <w:r>
        <w:rPr>
          <w:rFonts w:hint="eastAsia" w:asciiTheme="minorEastAsia" w:hAnsiTheme="minorEastAsia" w:eastAsiaTheme="minorEastAsia" w:cstheme="minorEastAsia"/>
          <w:color w:val="auto"/>
          <w:spacing w:val="9"/>
          <w:sz w:val="20"/>
          <w:szCs w:val="20"/>
        </w:rPr>
        <w:t xml:space="preserve"> 的子项启用。</w:t>
      </w:r>
    </w:p>
    <w:p>
      <w:pPr>
        <w:rPr>
          <w:rFonts w:asciiTheme="minorEastAsia" w:hAnsiTheme="minorEastAsia" w:eastAsiaTheme="minorEastAsia" w:cstheme="minorEastAsia"/>
          <w:color w:val="auto"/>
        </w:rPr>
        <w:sectPr>
          <w:headerReference r:id="rId16" w:type="default"/>
          <w:footerReference r:id="rId17"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41" w:lineRule="auto"/>
        <w:rPr>
          <w:rFonts w:asciiTheme="minorEastAsia" w:hAnsiTheme="minorEastAsia" w:eastAsiaTheme="minorEastAsia" w:cstheme="minorEastAsia"/>
          <w:color w:val="auto"/>
        </w:rPr>
      </w:pPr>
    </w:p>
    <w:p>
      <w:pPr>
        <w:spacing w:line="4845"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5420" cy="3076575"/>
            <wp:effectExtent l="0" t="0" r="11430" b="9525"/>
            <wp:docPr id="12" name="IM 7"/>
            <wp:cNvGraphicFramePr/>
            <a:graphic xmlns:a="http://schemas.openxmlformats.org/drawingml/2006/main">
              <a:graphicData uri="http://schemas.openxmlformats.org/drawingml/2006/picture">
                <pic:pic xmlns:pic="http://schemas.openxmlformats.org/drawingml/2006/picture">
                  <pic:nvPicPr>
                    <pic:cNvPr id="12" name="IM 7"/>
                    <pic:cNvPicPr/>
                  </pic:nvPicPr>
                  <pic:blipFill>
                    <a:blip r:embed="rId34"/>
                    <a:stretch>
                      <a:fillRect/>
                    </a:stretch>
                  </pic:blipFill>
                  <pic:spPr>
                    <a:xfrm>
                      <a:off x="0" y="0"/>
                      <a:ext cx="5265420" cy="3076956"/>
                    </a:xfrm>
                    <a:prstGeom prst="rect">
                      <a:avLst/>
                    </a:prstGeom>
                  </pic:spPr>
                </pic:pic>
              </a:graphicData>
            </a:graphic>
          </wp:inline>
        </w:drawing>
      </w:r>
    </w:p>
    <w:p>
      <w:pPr>
        <w:spacing w:before="368" w:line="190" w:lineRule="auto"/>
        <w:ind w:left="477"/>
        <w:outlineLvl w:val="0"/>
        <w:rPr>
          <w:rFonts w:asciiTheme="minorEastAsia" w:hAnsiTheme="minorEastAsia" w:eastAsiaTheme="minorEastAsia" w:cstheme="minorEastAsia"/>
          <w:color w:val="auto"/>
          <w:sz w:val="31"/>
          <w:szCs w:val="31"/>
        </w:rPr>
      </w:pPr>
      <w:bookmarkStart w:id="252" w:name="_Toc9792_WPSOffice_Level1"/>
      <w:bookmarkStart w:id="253" w:name="_Toc10263_WPSOffice_Level1"/>
      <w:bookmarkStart w:id="254" w:name="_Toc3481_WPSOffice_Level1"/>
      <w:bookmarkStart w:id="255" w:name="_Toc12647_WPSOffice_Level1"/>
      <w:bookmarkStart w:id="256" w:name="_Toc2425"/>
      <w:bookmarkStart w:id="257" w:name="_Toc14926"/>
      <w:r>
        <w:rPr>
          <w:rFonts w:hint="eastAsia" w:asciiTheme="minorEastAsia" w:hAnsiTheme="minorEastAsia" w:eastAsiaTheme="minorEastAsia" w:cstheme="minorEastAsia"/>
          <w:color w:val="auto"/>
          <w:spacing w:val="8"/>
          <w:sz w:val="31"/>
          <w:szCs w:val="31"/>
        </w:rPr>
        <w:t>三</w:t>
      </w:r>
      <w:r>
        <w:rPr>
          <w:rFonts w:hint="eastAsia" w:asciiTheme="minorEastAsia" w:hAnsiTheme="minorEastAsia" w:eastAsiaTheme="minorEastAsia" w:cstheme="minorEastAsia"/>
          <w:color w:val="auto"/>
          <w:spacing w:val="4"/>
          <w:sz w:val="31"/>
          <w:szCs w:val="31"/>
        </w:rPr>
        <w:t>、招标代理</w:t>
      </w:r>
      <w:bookmarkEnd w:id="252"/>
      <w:bookmarkEnd w:id="253"/>
      <w:bookmarkEnd w:id="254"/>
      <w:bookmarkEnd w:id="255"/>
      <w:bookmarkEnd w:id="256"/>
      <w:bookmarkEnd w:id="257"/>
    </w:p>
    <w:p>
      <w:pPr>
        <w:spacing w:line="285" w:lineRule="auto"/>
        <w:rPr>
          <w:rFonts w:asciiTheme="minorEastAsia" w:hAnsiTheme="minorEastAsia" w:eastAsiaTheme="minorEastAsia" w:cstheme="minorEastAsia"/>
          <w:color w:val="auto"/>
        </w:rPr>
      </w:pPr>
    </w:p>
    <w:p>
      <w:pPr>
        <w:spacing w:before="85" w:line="420" w:lineRule="auto"/>
        <w:ind w:left="21" w:right="15" w:firstLine="426"/>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6"/>
          <w:sz w:val="20"/>
          <w:szCs w:val="20"/>
        </w:rPr>
        <w:t>招标代理使用账号密码</w:t>
      </w:r>
      <w:r>
        <w:rPr>
          <w:rFonts w:hint="eastAsia" w:asciiTheme="minorEastAsia" w:hAnsiTheme="minorEastAsia" w:eastAsiaTheme="minorEastAsia" w:cstheme="minorEastAsia"/>
          <w:color w:val="auto"/>
          <w:spacing w:val="4"/>
          <w:sz w:val="20"/>
          <w:szCs w:val="20"/>
        </w:rPr>
        <w:t>登</w:t>
      </w:r>
      <w:r>
        <w:rPr>
          <w:rFonts w:hint="eastAsia" w:asciiTheme="minorEastAsia" w:hAnsiTheme="minorEastAsia" w:eastAsiaTheme="minorEastAsia" w:cstheme="minorEastAsia"/>
          <w:color w:val="auto"/>
          <w:spacing w:val="3"/>
          <w:sz w:val="20"/>
          <w:szCs w:val="20"/>
        </w:rPr>
        <w:t>录 ，登录到系统后 ，主要显示登录信息、今日开标项目和历史</w:t>
      </w:r>
      <w:r>
        <w:rPr>
          <w:rFonts w:hint="eastAsia" w:asciiTheme="minorEastAsia" w:hAnsiTheme="minorEastAsia" w:eastAsiaTheme="minorEastAsia" w:cstheme="minorEastAsia"/>
          <w:color w:val="auto"/>
          <w:spacing w:val="12"/>
          <w:sz w:val="20"/>
          <w:szCs w:val="20"/>
        </w:rPr>
        <w:t>开</w:t>
      </w:r>
      <w:r>
        <w:rPr>
          <w:rFonts w:hint="eastAsia" w:asciiTheme="minorEastAsia" w:hAnsiTheme="minorEastAsia" w:eastAsiaTheme="minorEastAsia" w:cstheme="minorEastAsia"/>
          <w:color w:val="auto"/>
          <w:spacing w:val="7"/>
          <w:sz w:val="20"/>
          <w:szCs w:val="20"/>
        </w:rPr>
        <w:t>标项目等内容。</w:t>
      </w:r>
    </w:p>
    <w:p>
      <w:pPr>
        <w:spacing w:line="352" w:lineRule="exact"/>
        <w:ind w:left="446"/>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8"/>
          <w:position w:val="4"/>
          <w:sz w:val="20"/>
          <w:szCs w:val="20"/>
        </w:rPr>
        <w:t>登</w:t>
      </w:r>
      <w:r>
        <w:rPr>
          <w:rFonts w:hint="eastAsia" w:asciiTheme="minorEastAsia" w:hAnsiTheme="minorEastAsia" w:eastAsiaTheme="minorEastAsia" w:cstheme="minorEastAsia"/>
          <w:color w:val="auto"/>
          <w:spacing w:val="4"/>
          <w:position w:val="4"/>
          <w:sz w:val="20"/>
          <w:szCs w:val="20"/>
        </w:rPr>
        <w:t>录信息 ：  ( 右上角 ) 显示当前用户信息 ；可以点击退出按钮退出登录状态。</w:t>
      </w:r>
    </w:p>
    <w:p>
      <w:pPr>
        <w:spacing w:before="278" w:line="664" w:lineRule="exact"/>
        <w:ind w:left="440"/>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1"/>
          <w:position w:val="32"/>
          <w:sz w:val="20"/>
          <w:szCs w:val="20"/>
        </w:rPr>
        <w:t>今</w:t>
      </w:r>
      <w:r>
        <w:rPr>
          <w:rFonts w:hint="eastAsia" w:asciiTheme="minorEastAsia" w:hAnsiTheme="minorEastAsia" w:eastAsiaTheme="minorEastAsia" w:cstheme="minorEastAsia"/>
          <w:color w:val="auto"/>
          <w:spacing w:val="6"/>
          <w:position w:val="32"/>
          <w:sz w:val="20"/>
          <w:szCs w:val="20"/>
        </w:rPr>
        <w:t>日开标项目/历史开标项目 ：显示所有需要开标和开标结束的项目内容 ；可根据关键</w:t>
      </w:r>
    </w:p>
    <w:p>
      <w:pPr>
        <w:spacing w:line="182" w:lineRule="auto"/>
        <w:ind w:left="33"/>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字在搜索区进行搜索</w:t>
      </w:r>
      <w:r>
        <w:rPr>
          <w:rFonts w:hint="eastAsia" w:asciiTheme="minorEastAsia" w:hAnsiTheme="minorEastAsia" w:eastAsiaTheme="minorEastAsia" w:cstheme="minorEastAsia"/>
          <w:color w:val="auto"/>
          <w:spacing w:val="6"/>
          <w:sz w:val="20"/>
          <w:szCs w:val="20"/>
        </w:rPr>
        <w:t>。</w:t>
      </w:r>
    </w:p>
    <w:p>
      <w:pPr>
        <w:spacing w:before="199"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3" name="IM 8"/>
            <wp:cNvGraphicFramePr/>
            <a:graphic xmlns:a="http://schemas.openxmlformats.org/drawingml/2006/main">
              <a:graphicData uri="http://schemas.openxmlformats.org/drawingml/2006/picture">
                <pic:pic xmlns:pic="http://schemas.openxmlformats.org/drawingml/2006/picture">
                  <pic:nvPicPr>
                    <pic:cNvPr id="13" name="IM 8"/>
                    <pic:cNvPicPr/>
                  </pic:nvPicPr>
                  <pic:blipFill>
                    <a:blip r:embed="rId35"/>
                    <a:stretch>
                      <a:fillRect/>
                    </a:stretch>
                  </pic:blipFill>
                  <pic:spPr>
                    <a:xfrm>
                      <a:off x="0" y="0"/>
                      <a:ext cx="5266944" cy="2308859"/>
                    </a:xfrm>
                    <a:prstGeom prst="rect">
                      <a:avLst/>
                    </a:prstGeom>
                  </pic:spPr>
                </pic:pic>
              </a:graphicData>
            </a:graphic>
          </wp:inline>
        </w:drawing>
      </w:r>
    </w:p>
    <w:p>
      <w:pPr>
        <w:rPr>
          <w:rFonts w:asciiTheme="minorEastAsia" w:hAnsiTheme="minorEastAsia" w:eastAsiaTheme="minorEastAsia" w:cstheme="minorEastAsia"/>
          <w:color w:val="auto"/>
        </w:rPr>
        <w:sectPr>
          <w:footerReference r:id="rId18"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2" w:lineRule="auto"/>
        <w:rPr>
          <w:rFonts w:asciiTheme="minorEastAsia" w:hAnsiTheme="minorEastAsia" w:eastAsiaTheme="minorEastAsia" w:cstheme="minorEastAsia"/>
          <w:color w:val="auto"/>
        </w:rPr>
      </w:pPr>
    </w:p>
    <w:p>
      <w:pPr>
        <w:spacing w:before="124" w:line="756" w:lineRule="exact"/>
        <w:ind w:left="1019"/>
        <w:rPr>
          <w:rFonts w:asciiTheme="minorEastAsia" w:hAnsiTheme="minorEastAsia" w:eastAsiaTheme="minorEastAsia" w:cstheme="minorEastAsia"/>
          <w:color w:val="auto"/>
          <w:sz w:val="29"/>
          <w:szCs w:val="29"/>
        </w:rPr>
      </w:pPr>
      <w:r>
        <w:rPr>
          <w:rFonts w:hint="eastAsia" w:asciiTheme="minorEastAsia" w:hAnsiTheme="minorEastAsia" w:eastAsiaTheme="minorEastAsia" w:cstheme="minorEastAsia"/>
          <w:b/>
          <w:bCs/>
          <w:color w:val="auto"/>
          <w:spacing w:val="8"/>
          <w:position w:val="38"/>
          <w:sz w:val="29"/>
          <w:szCs w:val="29"/>
        </w:rPr>
        <w:t>3</w:t>
      </w:r>
      <w:r>
        <w:rPr>
          <w:rFonts w:hint="eastAsia" w:asciiTheme="minorEastAsia" w:hAnsiTheme="minorEastAsia" w:eastAsiaTheme="minorEastAsia" w:cstheme="minorEastAsia"/>
          <w:b/>
          <w:bCs/>
          <w:color w:val="auto"/>
          <w:spacing w:val="7"/>
          <w:position w:val="38"/>
          <w:sz w:val="29"/>
          <w:szCs w:val="29"/>
        </w:rPr>
        <w:t>.1</w:t>
      </w:r>
      <w:r>
        <w:rPr>
          <w:rFonts w:hint="eastAsia" w:asciiTheme="minorEastAsia" w:hAnsiTheme="minorEastAsia" w:eastAsiaTheme="minorEastAsia" w:cstheme="minorEastAsia"/>
          <w:color w:val="auto"/>
          <w:spacing w:val="7"/>
          <w:position w:val="38"/>
          <w:sz w:val="29"/>
          <w:szCs w:val="29"/>
        </w:rPr>
        <w:t>、操作流程</w:t>
      </w:r>
    </w:p>
    <w:p>
      <w:pPr>
        <w:spacing w:line="178" w:lineRule="auto"/>
        <w:ind w:left="18"/>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1</w:t>
      </w:r>
      <w:r>
        <w:rPr>
          <w:rFonts w:hint="eastAsia" w:asciiTheme="minorEastAsia" w:hAnsiTheme="minorEastAsia" w:eastAsiaTheme="minorEastAsia" w:cstheme="minorEastAsia"/>
          <w:color w:val="auto"/>
          <w:sz w:val="28"/>
          <w:szCs w:val="28"/>
        </w:rPr>
        <w:t>、准备阶段</w:t>
      </w:r>
    </w:p>
    <w:p>
      <w:pPr>
        <w:spacing w:line="334" w:lineRule="auto"/>
        <w:rPr>
          <w:rFonts w:asciiTheme="minorEastAsia" w:hAnsiTheme="minorEastAsia" w:eastAsiaTheme="minorEastAsia" w:cstheme="minorEastAsia"/>
          <w:color w:val="auto"/>
        </w:rPr>
      </w:pPr>
    </w:p>
    <w:p>
      <w:pPr>
        <w:spacing w:before="85" w:line="623" w:lineRule="exact"/>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position w:val="33"/>
          <w:sz w:val="20"/>
          <w:szCs w:val="20"/>
        </w:rPr>
        <w:t>点击今日开标项目 ，找到正在开标项目 ，点击进入到网上开标大厅</w:t>
      </w:r>
      <w:r>
        <w:rPr>
          <w:rFonts w:hint="eastAsia" w:asciiTheme="minorEastAsia" w:hAnsiTheme="minorEastAsia" w:eastAsiaTheme="minorEastAsia" w:cstheme="minorEastAsia"/>
          <w:color w:val="auto"/>
          <w:spacing w:val="4"/>
          <w:position w:val="33"/>
          <w:sz w:val="20"/>
          <w:szCs w:val="20"/>
        </w:rPr>
        <w:t>。</w:t>
      </w:r>
    </w:p>
    <w:p>
      <w:pPr>
        <w:spacing w:before="1" w:line="180"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6"/>
          <w:sz w:val="20"/>
          <w:szCs w:val="20"/>
        </w:rPr>
        <w:t>根</w:t>
      </w:r>
      <w:r>
        <w:rPr>
          <w:rFonts w:hint="eastAsia" w:asciiTheme="minorEastAsia" w:hAnsiTheme="minorEastAsia" w:eastAsiaTheme="minorEastAsia" w:cstheme="minorEastAsia"/>
          <w:color w:val="auto"/>
          <w:spacing w:val="15"/>
          <w:sz w:val="20"/>
          <w:szCs w:val="20"/>
        </w:rPr>
        <w:t>据</w:t>
      </w:r>
      <w:r>
        <w:rPr>
          <w:rFonts w:hint="eastAsia" w:asciiTheme="minorEastAsia" w:hAnsiTheme="minorEastAsia" w:eastAsiaTheme="minorEastAsia" w:cstheme="minorEastAsia"/>
          <w:color w:val="auto"/>
          <w:spacing w:val="8"/>
          <w:sz w:val="20"/>
          <w:szCs w:val="20"/>
        </w:rPr>
        <w:t>投标人签到情况显示投标人是否在席。</w:t>
      </w:r>
    </w:p>
    <w:p>
      <w:pPr>
        <w:spacing w:before="201"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860"/>
            <wp:effectExtent l="0" t="0" r="10160" b="15240"/>
            <wp:docPr id="14" name="IM 9"/>
            <wp:cNvGraphicFramePr/>
            <a:graphic xmlns:a="http://schemas.openxmlformats.org/drawingml/2006/main">
              <a:graphicData uri="http://schemas.openxmlformats.org/drawingml/2006/picture">
                <pic:pic xmlns:pic="http://schemas.openxmlformats.org/drawingml/2006/picture">
                  <pic:nvPicPr>
                    <pic:cNvPr id="14" name="IM 9"/>
                    <pic:cNvPicPr/>
                  </pic:nvPicPr>
                  <pic:blipFill>
                    <a:blip r:embed="rId36"/>
                    <a:stretch>
                      <a:fillRect/>
                    </a:stretch>
                  </pic:blipFill>
                  <pic:spPr>
                    <a:xfrm>
                      <a:off x="0" y="0"/>
                      <a:ext cx="5266944" cy="2308860"/>
                    </a:xfrm>
                    <a:prstGeom prst="rect">
                      <a:avLst/>
                    </a:prstGeom>
                  </pic:spPr>
                </pic:pic>
              </a:graphicData>
            </a:graphic>
          </wp:inline>
        </w:drawing>
      </w:r>
    </w:p>
    <w:p>
      <w:pPr>
        <w:spacing w:before="108"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5" name="IM 10"/>
            <wp:cNvGraphicFramePr/>
            <a:graphic xmlns:a="http://schemas.openxmlformats.org/drawingml/2006/main">
              <a:graphicData uri="http://schemas.openxmlformats.org/drawingml/2006/picture">
                <pic:pic xmlns:pic="http://schemas.openxmlformats.org/drawingml/2006/picture">
                  <pic:nvPicPr>
                    <pic:cNvPr id="15" name="IM 10"/>
                    <pic:cNvPicPr/>
                  </pic:nvPicPr>
                  <pic:blipFill>
                    <a:blip r:embed="rId37"/>
                    <a:stretch>
                      <a:fillRect/>
                    </a:stretch>
                  </pic:blipFill>
                  <pic:spPr>
                    <a:xfrm>
                      <a:off x="0" y="0"/>
                      <a:ext cx="5266944" cy="2308859"/>
                    </a:xfrm>
                    <a:prstGeom prst="rect">
                      <a:avLst/>
                    </a:prstGeom>
                  </pic:spPr>
                </pic:pic>
              </a:graphicData>
            </a:graphic>
          </wp:inline>
        </w:drawing>
      </w:r>
    </w:p>
    <w:p>
      <w:pPr>
        <w:spacing w:before="360" w:line="178" w:lineRule="auto"/>
        <w:ind w:left="18"/>
        <w:outlineLvl w:val="1"/>
        <w:rPr>
          <w:rFonts w:asciiTheme="minorEastAsia" w:hAnsiTheme="minorEastAsia" w:eastAsiaTheme="minorEastAsia" w:cstheme="minorEastAsia"/>
          <w:color w:val="auto"/>
          <w:sz w:val="28"/>
          <w:szCs w:val="28"/>
        </w:rPr>
      </w:pPr>
      <w:bookmarkStart w:id="258" w:name="_Toc17993"/>
      <w:bookmarkStart w:id="259" w:name="_Toc2962"/>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.2</w:t>
      </w:r>
      <w:r>
        <w:rPr>
          <w:rFonts w:hint="eastAsia" w:asciiTheme="minorEastAsia" w:hAnsiTheme="minorEastAsia" w:eastAsiaTheme="minorEastAsia" w:cstheme="minorEastAsia"/>
          <w:color w:val="auto"/>
          <w:sz w:val="28"/>
          <w:szCs w:val="28"/>
        </w:rPr>
        <w:t>、公布投标人</w:t>
      </w:r>
      <w:bookmarkEnd w:id="258"/>
      <w:bookmarkEnd w:id="259"/>
    </w:p>
    <w:p>
      <w:pPr>
        <w:spacing w:line="332" w:lineRule="auto"/>
        <w:rPr>
          <w:rFonts w:asciiTheme="minorEastAsia" w:hAnsiTheme="minorEastAsia" w:eastAsiaTheme="minorEastAsia" w:cstheme="minorEastAsia"/>
          <w:color w:val="auto"/>
        </w:rPr>
      </w:pPr>
    </w:p>
    <w:p>
      <w:pPr>
        <w:spacing w:before="86" w:line="191" w:lineRule="auto"/>
        <w:ind w:left="442"/>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所有投标单位在</w:t>
      </w:r>
      <w:r>
        <w:rPr>
          <w:rFonts w:hint="eastAsia" w:asciiTheme="minorEastAsia" w:hAnsiTheme="minorEastAsia" w:eastAsiaTheme="minorEastAsia" w:cstheme="minorEastAsia"/>
          <w:color w:val="auto"/>
          <w:spacing w:val="-1"/>
          <w:sz w:val="20"/>
          <w:szCs w:val="20"/>
        </w:rPr>
        <w:t>席后 ，招标代理点击公布投标人 ，显示所有投标人内容 ，页面显示如下 ：</w:t>
      </w:r>
    </w:p>
    <w:p>
      <w:pPr>
        <w:rPr>
          <w:rFonts w:asciiTheme="minorEastAsia" w:hAnsiTheme="minorEastAsia" w:eastAsiaTheme="minorEastAsia" w:cstheme="minorEastAsia"/>
          <w:color w:val="auto"/>
        </w:rPr>
        <w:sectPr>
          <w:headerReference r:id="rId19" w:type="default"/>
          <w:footerReference r:id="rId20" w:type="default"/>
          <w:pgSz w:w="11906" w:h="16839"/>
          <w:pgMar w:top="991" w:right="1690"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6" w:lineRule="auto"/>
        <w:rPr>
          <w:rFonts w:asciiTheme="minorEastAsia" w:hAnsiTheme="minorEastAsia" w:eastAsiaTheme="minorEastAsia" w:cstheme="minorEastAsia"/>
          <w:color w:val="auto"/>
        </w:rPr>
      </w:pPr>
    </w:p>
    <w:p>
      <w:pPr>
        <w:spacing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6" name="IM 11"/>
            <wp:cNvGraphicFramePr/>
            <a:graphic xmlns:a="http://schemas.openxmlformats.org/drawingml/2006/main">
              <a:graphicData uri="http://schemas.openxmlformats.org/drawingml/2006/picture">
                <pic:pic xmlns:pic="http://schemas.openxmlformats.org/drawingml/2006/picture">
                  <pic:nvPicPr>
                    <pic:cNvPr id="16" name="IM 11"/>
                    <pic:cNvPicPr/>
                  </pic:nvPicPr>
                  <pic:blipFill>
                    <a:blip r:embed="rId38"/>
                    <a:stretch>
                      <a:fillRect/>
                    </a:stretch>
                  </pic:blipFill>
                  <pic:spPr>
                    <a:xfrm>
                      <a:off x="0" y="0"/>
                      <a:ext cx="5266944" cy="2308859"/>
                    </a:xfrm>
                    <a:prstGeom prst="rect">
                      <a:avLst/>
                    </a:prstGeom>
                  </pic:spPr>
                </pic:pic>
              </a:graphicData>
            </a:graphic>
          </wp:inline>
        </w:drawing>
      </w:r>
    </w:p>
    <w:p>
      <w:pPr>
        <w:spacing w:before="360" w:line="178" w:lineRule="auto"/>
        <w:ind w:left="18"/>
        <w:outlineLvl w:val="1"/>
        <w:rPr>
          <w:rFonts w:asciiTheme="minorEastAsia" w:hAnsiTheme="minorEastAsia" w:eastAsiaTheme="minorEastAsia" w:cstheme="minorEastAsia"/>
          <w:color w:val="auto"/>
          <w:sz w:val="28"/>
          <w:szCs w:val="28"/>
        </w:rPr>
      </w:pPr>
      <w:bookmarkStart w:id="260" w:name="_Toc27428"/>
      <w:bookmarkStart w:id="261" w:name="_Toc14345"/>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.3</w:t>
      </w:r>
      <w:r>
        <w:rPr>
          <w:rFonts w:hint="eastAsia" w:asciiTheme="minorEastAsia" w:hAnsiTheme="minorEastAsia" w:eastAsiaTheme="minorEastAsia" w:cstheme="minorEastAsia"/>
          <w:color w:val="auto"/>
          <w:sz w:val="28"/>
          <w:szCs w:val="28"/>
        </w:rPr>
        <w:t>、查看投标人</w:t>
      </w:r>
      <w:bookmarkEnd w:id="260"/>
      <w:bookmarkEnd w:id="261"/>
    </w:p>
    <w:p>
      <w:pPr>
        <w:spacing w:line="333" w:lineRule="auto"/>
        <w:rPr>
          <w:rFonts w:asciiTheme="minorEastAsia" w:hAnsiTheme="minorEastAsia" w:eastAsiaTheme="minorEastAsia" w:cstheme="minorEastAsia"/>
          <w:color w:val="auto"/>
        </w:rPr>
      </w:pPr>
    </w:p>
    <w:p>
      <w:pPr>
        <w:spacing w:before="86" w:line="190" w:lineRule="auto"/>
        <w:ind w:left="44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4"/>
          <w:sz w:val="20"/>
          <w:szCs w:val="20"/>
        </w:rPr>
        <w:t>该</w:t>
      </w:r>
      <w:r>
        <w:rPr>
          <w:rFonts w:hint="eastAsia" w:asciiTheme="minorEastAsia" w:hAnsiTheme="minorEastAsia" w:eastAsiaTheme="minorEastAsia" w:cstheme="minorEastAsia"/>
          <w:color w:val="auto"/>
          <w:spacing w:val="7"/>
          <w:sz w:val="20"/>
          <w:szCs w:val="20"/>
        </w:rPr>
        <w:t>模块可查看投标人情况 ；</w:t>
      </w:r>
    </w:p>
    <w:p>
      <w:pPr>
        <w:spacing w:before="186"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7" name="IM 12"/>
            <wp:cNvGraphicFramePr/>
            <a:graphic xmlns:a="http://schemas.openxmlformats.org/drawingml/2006/main">
              <a:graphicData uri="http://schemas.openxmlformats.org/drawingml/2006/picture">
                <pic:pic xmlns:pic="http://schemas.openxmlformats.org/drawingml/2006/picture">
                  <pic:nvPicPr>
                    <pic:cNvPr id="17" name="IM 12"/>
                    <pic:cNvPicPr/>
                  </pic:nvPicPr>
                  <pic:blipFill>
                    <a:blip r:embed="rId39"/>
                    <a:stretch>
                      <a:fillRect/>
                    </a:stretch>
                  </pic:blipFill>
                  <pic:spPr>
                    <a:xfrm>
                      <a:off x="0" y="0"/>
                      <a:ext cx="5266944" cy="2308859"/>
                    </a:xfrm>
                    <a:prstGeom prst="rect">
                      <a:avLst/>
                    </a:prstGeom>
                  </pic:spPr>
                </pic:pic>
              </a:graphicData>
            </a:graphic>
          </wp:inline>
        </w:drawing>
      </w:r>
    </w:p>
    <w:p>
      <w:pPr>
        <w:spacing w:before="361" w:line="178" w:lineRule="auto"/>
        <w:ind w:left="18"/>
        <w:outlineLvl w:val="1"/>
        <w:rPr>
          <w:rFonts w:asciiTheme="minorEastAsia" w:hAnsiTheme="minorEastAsia" w:eastAsiaTheme="minorEastAsia" w:cstheme="minorEastAsia"/>
          <w:color w:val="auto"/>
          <w:sz w:val="28"/>
          <w:szCs w:val="28"/>
        </w:rPr>
      </w:pPr>
      <w:bookmarkStart w:id="262" w:name="_Toc30162"/>
      <w:bookmarkStart w:id="263" w:name="_Toc21026"/>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.4</w:t>
      </w:r>
      <w:r>
        <w:rPr>
          <w:rFonts w:hint="eastAsia" w:asciiTheme="minorEastAsia" w:hAnsiTheme="minorEastAsia" w:eastAsiaTheme="minorEastAsia" w:cstheme="minorEastAsia"/>
          <w:color w:val="auto"/>
          <w:sz w:val="28"/>
          <w:szCs w:val="28"/>
        </w:rPr>
        <w:t>、投标人解密</w:t>
      </w:r>
      <w:bookmarkEnd w:id="262"/>
      <w:bookmarkEnd w:id="263"/>
    </w:p>
    <w:p>
      <w:pPr>
        <w:spacing w:line="332" w:lineRule="auto"/>
        <w:rPr>
          <w:rFonts w:asciiTheme="minorEastAsia" w:hAnsiTheme="minorEastAsia" w:eastAsiaTheme="minorEastAsia" w:cstheme="minorEastAsia"/>
          <w:color w:val="auto"/>
        </w:rPr>
      </w:pPr>
    </w:p>
    <w:p>
      <w:pPr>
        <w:spacing w:before="85" w:line="191" w:lineRule="auto"/>
        <w:ind w:left="443"/>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 xml:space="preserve">代理点击下一阶段后 </w:t>
      </w:r>
      <w:r>
        <w:rPr>
          <w:rFonts w:hint="eastAsia" w:asciiTheme="minorEastAsia" w:hAnsiTheme="minorEastAsia" w:eastAsiaTheme="minorEastAsia" w:cstheme="minorEastAsia"/>
          <w:color w:val="auto"/>
          <w:spacing w:val="1"/>
          <w:sz w:val="20"/>
          <w:szCs w:val="20"/>
        </w:rPr>
        <w:t>，投标人进行文件解密。  如下图 ：</w:t>
      </w:r>
    </w:p>
    <w:p>
      <w:pPr>
        <w:rPr>
          <w:rFonts w:asciiTheme="minorEastAsia" w:hAnsiTheme="minorEastAsia" w:eastAsiaTheme="minorEastAsia" w:cstheme="minorEastAsia"/>
          <w:color w:val="auto"/>
        </w:rPr>
        <w:sectPr>
          <w:headerReference r:id="rId21" w:type="default"/>
          <w:footerReference r:id="rId22"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6" w:lineRule="auto"/>
        <w:rPr>
          <w:rFonts w:asciiTheme="minorEastAsia" w:hAnsiTheme="minorEastAsia" w:eastAsiaTheme="minorEastAsia" w:cstheme="minorEastAsia"/>
          <w:color w:val="auto"/>
        </w:rPr>
      </w:pPr>
    </w:p>
    <w:p>
      <w:pPr>
        <w:spacing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8" name="IM 13"/>
            <wp:cNvGraphicFramePr/>
            <a:graphic xmlns:a="http://schemas.openxmlformats.org/drawingml/2006/main">
              <a:graphicData uri="http://schemas.openxmlformats.org/drawingml/2006/picture">
                <pic:pic xmlns:pic="http://schemas.openxmlformats.org/drawingml/2006/picture">
                  <pic:nvPicPr>
                    <pic:cNvPr id="18" name="IM 13"/>
                    <pic:cNvPicPr/>
                  </pic:nvPicPr>
                  <pic:blipFill>
                    <a:blip r:embed="rId40"/>
                    <a:stretch>
                      <a:fillRect/>
                    </a:stretch>
                  </pic:blipFill>
                  <pic:spPr>
                    <a:xfrm>
                      <a:off x="0" y="0"/>
                      <a:ext cx="5266944" cy="2308859"/>
                    </a:xfrm>
                    <a:prstGeom prst="rect">
                      <a:avLst/>
                    </a:prstGeom>
                  </pic:spPr>
                </pic:pic>
              </a:graphicData>
            </a:graphic>
          </wp:inline>
        </w:drawing>
      </w:r>
    </w:p>
    <w:p>
      <w:pPr>
        <w:spacing w:before="226" w:line="445" w:lineRule="auto"/>
        <w:ind w:left="19" w:right="15" w:firstLine="42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解</w:t>
      </w:r>
      <w:r>
        <w:rPr>
          <w:rFonts w:hint="eastAsia" w:asciiTheme="minorEastAsia" w:hAnsiTheme="minorEastAsia" w:eastAsiaTheme="minorEastAsia" w:cstheme="minorEastAsia"/>
          <w:color w:val="auto"/>
          <w:spacing w:val="4"/>
          <w:sz w:val="20"/>
          <w:szCs w:val="20"/>
        </w:rPr>
        <w:t>密阶段 ，若解密时长到了 ，可以进行解密延时( 一般不启用 ，只要在特殊情况时需要</w:t>
      </w:r>
      <w:r>
        <w:rPr>
          <w:rFonts w:hint="eastAsia" w:asciiTheme="minorEastAsia" w:hAnsiTheme="minorEastAsia" w:eastAsiaTheme="minorEastAsia" w:cstheme="minorEastAsia"/>
          <w:color w:val="auto"/>
          <w:spacing w:val="8"/>
          <w:sz w:val="20"/>
          <w:szCs w:val="20"/>
        </w:rPr>
        <w:t xml:space="preserve">进行延时 ) </w:t>
      </w:r>
      <w:r>
        <w:rPr>
          <w:rFonts w:hint="eastAsia" w:asciiTheme="minorEastAsia" w:hAnsiTheme="minorEastAsia" w:eastAsiaTheme="minorEastAsia" w:cstheme="minorEastAsia"/>
          <w:color w:val="auto"/>
          <w:spacing w:val="7"/>
          <w:sz w:val="20"/>
          <w:szCs w:val="20"/>
        </w:rPr>
        <w:t>。</w:t>
      </w:r>
    </w:p>
    <w:p>
      <w:pPr>
        <w:spacing w:before="113" w:line="176" w:lineRule="auto"/>
        <w:ind w:left="18"/>
        <w:outlineLvl w:val="1"/>
        <w:rPr>
          <w:rFonts w:asciiTheme="minorEastAsia" w:hAnsiTheme="minorEastAsia" w:eastAsiaTheme="minorEastAsia" w:cstheme="minorEastAsia"/>
          <w:color w:val="auto"/>
          <w:sz w:val="28"/>
          <w:szCs w:val="28"/>
        </w:rPr>
      </w:pPr>
      <w:bookmarkStart w:id="264" w:name="_Toc19628"/>
      <w:bookmarkStart w:id="265" w:name="_Toc10958"/>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5</w:t>
      </w:r>
      <w:r>
        <w:rPr>
          <w:rFonts w:hint="eastAsia" w:asciiTheme="minorEastAsia" w:hAnsiTheme="minorEastAsia" w:eastAsiaTheme="minorEastAsia" w:cstheme="minorEastAsia"/>
          <w:color w:val="auto"/>
          <w:sz w:val="28"/>
          <w:szCs w:val="28"/>
        </w:rPr>
        <w:t>、批量导入</w:t>
      </w:r>
      <w:bookmarkEnd w:id="264"/>
      <w:bookmarkEnd w:id="265"/>
    </w:p>
    <w:p>
      <w:pPr>
        <w:spacing w:line="332" w:lineRule="auto"/>
        <w:rPr>
          <w:rFonts w:asciiTheme="minorEastAsia" w:hAnsiTheme="minorEastAsia" w:eastAsiaTheme="minorEastAsia" w:cstheme="minorEastAsia"/>
          <w:color w:val="auto"/>
        </w:rPr>
      </w:pPr>
    </w:p>
    <w:p>
      <w:pPr>
        <w:spacing w:before="86" w:line="191" w:lineRule="auto"/>
        <w:ind w:left="442"/>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2"/>
          <w:sz w:val="20"/>
          <w:szCs w:val="20"/>
        </w:rPr>
        <w:t>所有投</w:t>
      </w:r>
      <w:r>
        <w:rPr>
          <w:rFonts w:hint="eastAsia" w:asciiTheme="minorEastAsia" w:hAnsiTheme="minorEastAsia" w:eastAsiaTheme="minorEastAsia" w:cstheme="minorEastAsia"/>
          <w:color w:val="auto"/>
          <w:spacing w:val="10"/>
          <w:sz w:val="20"/>
          <w:szCs w:val="20"/>
        </w:rPr>
        <w:t>标</w:t>
      </w:r>
      <w:r>
        <w:rPr>
          <w:rFonts w:hint="eastAsia" w:asciiTheme="minorEastAsia" w:hAnsiTheme="minorEastAsia" w:eastAsiaTheme="minorEastAsia" w:cstheme="minorEastAsia"/>
          <w:color w:val="auto"/>
          <w:spacing w:val="6"/>
          <w:sz w:val="20"/>
          <w:szCs w:val="20"/>
        </w:rPr>
        <w:t>单位解密完成后 ，招标代理点击批量导入按钮。如下图 ：</w:t>
      </w:r>
    </w:p>
    <w:p>
      <w:pPr>
        <w:spacing w:before="186"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9" name="IM 14"/>
            <wp:cNvGraphicFramePr/>
            <a:graphic xmlns:a="http://schemas.openxmlformats.org/drawingml/2006/main">
              <a:graphicData uri="http://schemas.openxmlformats.org/drawingml/2006/picture">
                <pic:pic xmlns:pic="http://schemas.openxmlformats.org/drawingml/2006/picture">
                  <pic:nvPicPr>
                    <pic:cNvPr id="19" name="IM 14"/>
                    <pic:cNvPicPr/>
                  </pic:nvPicPr>
                  <pic:blipFill>
                    <a:blip r:embed="rId41"/>
                    <a:stretch>
                      <a:fillRect/>
                    </a:stretch>
                  </pic:blipFill>
                  <pic:spPr>
                    <a:xfrm>
                      <a:off x="0" y="0"/>
                      <a:ext cx="5266944" cy="2308859"/>
                    </a:xfrm>
                    <a:prstGeom prst="rect">
                      <a:avLst/>
                    </a:prstGeom>
                  </pic:spPr>
                </pic:pic>
              </a:graphicData>
            </a:graphic>
          </wp:inline>
        </w:drawing>
      </w:r>
    </w:p>
    <w:p>
      <w:pPr>
        <w:spacing w:before="356" w:line="178" w:lineRule="auto"/>
        <w:ind w:left="18"/>
        <w:outlineLvl w:val="1"/>
        <w:rPr>
          <w:rFonts w:asciiTheme="minorEastAsia" w:hAnsiTheme="minorEastAsia" w:eastAsiaTheme="minorEastAsia" w:cstheme="minorEastAsia"/>
          <w:color w:val="auto"/>
          <w:sz w:val="28"/>
          <w:szCs w:val="28"/>
        </w:rPr>
      </w:pPr>
      <w:bookmarkStart w:id="266" w:name="_Toc1978"/>
      <w:bookmarkStart w:id="267" w:name="_Toc32240"/>
      <w:r>
        <w:rPr>
          <w:rFonts w:hint="eastAsia" w:asciiTheme="minorEastAsia" w:hAnsiTheme="minorEastAsia" w:eastAsiaTheme="minorEastAsia" w:cstheme="minorEastAsia"/>
          <w:b/>
          <w:bCs/>
          <w:color w:val="auto"/>
          <w:spacing w:val="-16"/>
          <w:sz w:val="28"/>
          <w:szCs w:val="28"/>
        </w:rPr>
        <w:t>3</w:t>
      </w:r>
      <w:r>
        <w:rPr>
          <w:rFonts w:hint="eastAsia" w:asciiTheme="minorEastAsia" w:hAnsiTheme="minorEastAsia" w:eastAsiaTheme="minorEastAsia" w:cstheme="minorEastAsia"/>
          <w:b/>
          <w:bCs/>
          <w:color w:val="auto"/>
          <w:spacing w:val="-14"/>
          <w:sz w:val="28"/>
          <w:szCs w:val="28"/>
        </w:rPr>
        <w:t>.1.6</w:t>
      </w:r>
      <w:r>
        <w:rPr>
          <w:rFonts w:hint="eastAsia" w:asciiTheme="minorEastAsia" w:hAnsiTheme="minorEastAsia" w:eastAsiaTheme="minorEastAsia" w:cstheme="minorEastAsia"/>
          <w:color w:val="auto"/>
          <w:spacing w:val="-14"/>
          <w:sz w:val="28"/>
          <w:szCs w:val="28"/>
        </w:rPr>
        <w:t>、唱标确认</w:t>
      </w:r>
      <w:bookmarkEnd w:id="266"/>
      <w:bookmarkEnd w:id="267"/>
    </w:p>
    <w:p>
      <w:pPr>
        <w:spacing w:line="335" w:lineRule="auto"/>
        <w:rPr>
          <w:rFonts w:asciiTheme="minorEastAsia" w:hAnsiTheme="minorEastAsia" w:eastAsiaTheme="minorEastAsia" w:cstheme="minorEastAsia"/>
          <w:color w:val="auto"/>
        </w:rPr>
      </w:pPr>
    </w:p>
    <w:p>
      <w:pPr>
        <w:spacing w:before="86" w:line="626" w:lineRule="exact"/>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2"/>
          <w:position w:val="33"/>
          <w:sz w:val="20"/>
          <w:szCs w:val="20"/>
        </w:rPr>
        <w:t>点击“唱标确认”进行唱标 ；</w:t>
      </w:r>
    </w:p>
    <w:p>
      <w:pPr>
        <w:spacing w:before="1" w:line="181" w:lineRule="auto"/>
        <w:ind w:left="45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唱</w:t>
      </w:r>
      <w:r>
        <w:rPr>
          <w:rFonts w:hint="eastAsia" w:asciiTheme="minorEastAsia" w:hAnsiTheme="minorEastAsia" w:eastAsiaTheme="minorEastAsia" w:cstheme="minorEastAsia"/>
          <w:color w:val="auto"/>
          <w:spacing w:val="5"/>
          <w:sz w:val="20"/>
          <w:szCs w:val="20"/>
        </w:rPr>
        <w:t>标结束后如下图 ：</w:t>
      </w:r>
    </w:p>
    <w:p>
      <w:pPr>
        <w:rPr>
          <w:rFonts w:asciiTheme="minorEastAsia" w:hAnsiTheme="minorEastAsia" w:eastAsiaTheme="minorEastAsia" w:cstheme="minorEastAsia"/>
          <w:color w:val="auto"/>
        </w:rPr>
        <w:sectPr>
          <w:footerReference r:id="rId23"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6" w:lineRule="auto"/>
        <w:rPr>
          <w:rFonts w:asciiTheme="minorEastAsia" w:hAnsiTheme="minorEastAsia" w:eastAsiaTheme="minorEastAsia" w:cstheme="minorEastAsia"/>
          <w:color w:val="auto"/>
        </w:rPr>
      </w:pPr>
    </w:p>
    <w:p>
      <w:pPr>
        <w:spacing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0" name="IM 15"/>
            <wp:cNvGraphicFramePr/>
            <a:graphic xmlns:a="http://schemas.openxmlformats.org/drawingml/2006/main">
              <a:graphicData uri="http://schemas.openxmlformats.org/drawingml/2006/picture">
                <pic:pic xmlns:pic="http://schemas.openxmlformats.org/drawingml/2006/picture">
                  <pic:nvPicPr>
                    <pic:cNvPr id="20" name="IM 15"/>
                    <pic:cNvPicPr/>
                  </pic:nvPicPr>
                  <pic:blipFill>
                    <a:blip r:embed="rId42"/>
                    <a:stretch>
                      <a:fillRect/>
                    </a:stretch>
                  </pic:blipFill>
                  <pic:spPr>
                    <a:xfrm>
                      <a:off x="0" y="0"/>
                      <a:ext cx="5266944" cy="2308859"/>
                    </a:xfrm>
                    <a:prstGeom prst="rect">
                      <a:avLst/>
                    </a:prstGeom>
                  </pic:spPr>
                </pic:pic>
              </a:graphicData>
            </a:graphic>
          </wp:inline>
        </w:drawing>
      </w:r>
    </w:p>
    <w:p>
      <w:pPr>
        <w:rPr>
          <w:rFonts w:asciiTheme="minorEastAsia" w:hAnsiTheme="minorEastAsia" w:eastAsiaTheme="minorEastAsia" w:cstheme="minorEastAsia"/>
          <w:color w:val="auto"/>
        </w:rPr>
      </w:pPr>
    </w:p>
    <w:p>
      <w:pPr>
        <w:spacing w:before="120" w:line="177" w:lineRule="auto"/>
        <w:ind w:left="18"/>
        <w:outlineLvl w:val="1"/>
        <w:rPr>
          <w:rFonts w:asciiTheme="minorEastAsia" w:hAnsiTheme="minorEastAsia" w:eastAsiaTheme="minorEastAsia" w:cstheme="minorEastAsia"/>
          <w:color w:val="auto"/>
          <w:sz w:val="28"/>
          <w:szCs w:val="28"/>
        </w:rPr>
      </w:pPr>
      <w:bookmarkStart w:id="268" w:name="_Toc14641"/>
      <w:bookmarkStart w:id="269" w:name="_Toc27851"/>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.7</w:t>
      </w:r>
      <w:r>
        <w:rPr>
          <w:rFonts w:hint="eastAsia" w:asciiTheme="minorEastAsia" w:hAnsiTheme="minorEastAsia" w:eastAsiaTheme="minorEastAsia" w:cstheme="minorEastAsia"/>
          <w:color w:val="auto"/>
          <w:sz w:val="28"/>
          <w:szCs w:val="28"/>
        </w:rPr>
        <w:t>、异议与回复</w:t>
      </w:r>
      <w:bookmarkEnd w:id="268"/>
      <w:bookmarkEnd w:id="269"/>
    </w:p>
    <w:p>
      <w:pPr>
        <w:spacing w:line="331" w:lineRule="auto"/>
        <w:rPr>
          <w:rFonts w:asciiTheme="minorEastAsia" w:hAnsiTheme="minorEastAsia" w:eastAsiaTheme="minorEastAsia" w:cstheme="minorEastAsia"/>
          <w:color w:val="auto"/>
        </w:rPr>
      </w:pPr>
    </w:p>
    <w:p>
      <w:pPr>
        <w:spacing w:before="86" w:line="625" w:lineRule="exact"/>
        <w:ind w:left="44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position w:val="33"/>
          <w:sz w:val="20"/>
          <w:szCs w:val="20"/>
        </w:rPr>
        <w:t>投标人在开标阶段可以提出异议内容 ，投标人提出后 ，招标代理在右下角可以查看</w:t>
      </w:r>
      <w:r>
        <w:rPr>
          <w:rFonts w:hint="eastAsia" w:asciiTheme="minorEastAsia" w:hAnsiTheme="minorEastAsia" w:eastAsiaTheme="minorEastAsia" w:cstheme="minorEastAsia"/>
          <w:color w:val="auto"/>
          <w:spacing w:val="2"/>
          <w:position w:val="33"/>
          <w:sz w:val="20"/>
          <w:szCs w:val="20"/>
        </w:rPr>
        <w:t>投</w:t>
      </w:r>
      <w:r>
        <w:rPr>
          <w:rFonts w:hint="eastAsia" w:asciiTheme="minorEastAsia" w:hAnsiTheme="minorEastAsia" w:eastAsiaTheme="minorEastAsia" w:cstheme="minorEastAsia"/>
          <w:color w:val="auto"/>
          <w:position w:val="33"/>
          <w:sz w:val="20"/>
          <w:szCs w:val="20"/>
        </w:rPr>
        <w:t>标</w:t>
      </w:r>
    </w:p>
    <w:p>
      <w:pPr>
        <w:spacing w:before="1" w:line="181" w:lineRule="auto"/>
        <w:ind w:left="2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8"/>
          <w:sz w:val="20"/>
          <w:szCs w:val="20"/>
        </w:rPr>
        <w:t xml:space="preserve">人提出的异议信息进行回复。如下图 </w:t>
      </w:r>
      <w:r>
        <w:rPr>
          <w:rFonts w:hint="eastAsia" w:asciiTheme="minorEastAsia" w:hAnsiTheme="minorEastAsia" w:eastAsiaTheme="minorEastAsia" w:cstheme="minorEastAsia"/>
          <w:color w:val="auto"/>
          <w:spacing w:val="6"/>
          <w:sz w:val="20"/>
          <w:szCs w:val="20"/>
        </w:rPr>
        <w:t>：</w:t>
      </w:r>
    </w:p>
    <w:p>
      <w:pPr>
        <w:spacing w:before="200"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1" name="IM 16"/>
            <wp:cNvGraphicFramePr/>
            <a:graphic xmlns:a="http://schemas.openxmlformats.org/drawingml/2006/main">
              <a:graphicData uri="http://schemas.openxmlformats.org/drawingml/2006/picture">
                <pic:pic xmlns:pic="http://schemas.openxmlformats.org/drawingml/2006/picture">
                  <pic:nvPicPr>
                    <pic:cNvPr id="21" name="IM 16"/>
                    <pic:cNvPicPr/>
                  </pic:nvPicPr>
                  <pic:blipFill>
                    <a:blip r:embed="rId43"/>
                    <a:stretch>
                      <a:fillRect/>
                    </a:stretch>
                  </pic:blipFill>
                  <pic:spPr>
                    <a:xfrm>
                      <a:off x="0" y="0"/>
                      <a:ext cx="5266944" cy="2308859"/>
                    </a:xfrm>
                    <a:prstGeom prst="rect">
                      <a:avLst/>
                    </a:prstGeom>
                  </pic:spPr>
                </pic:pic>
              </a:graphicData>
            </a:graphic>
          </wp:inline>
        </w:drawing>
      </w:r>
    </w:p>
    <w:p>
      <w:pPr>
        <w:spacing w:before="275" w:line="189"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4"/>
          <w:sz w:val="20"/>
          <w:szCs w:val="20"/>
        </w:rPr>
        <w:t>点</w:t>
      </w:r>
      <w:r>
        <w:rPr>
          <w:rFonts w:hint="eastAsia" w:asciiTheme="minorEastAsia" w:hAnsiTheme="minorEastAsia" w:eastAsiaTheme="minorEastAsia" w:cstheme="minorEastAsia"/>
          <w:color w:val="auto"/>
          <w:spacing w:val="9"/>
          <w:sz w:val="20"/>
          <w:szCs w:val="20"/>
        </w:rPr>
        <w:t>击</w:t>
      </w:r>
      <w:r>
        <w:rPr>
          <w:rFonts w:hint="eastAsia" w:asciiTheme="minorEastAsia" w:hAnsiTheme="minorEastAsia" w:eastAsiaTheme="minorEastAsia" w:cstheme="minorEastAsia"/>
          <w:color w:val="auto"/>
          <w:spacing w:val="7"/>
          <w:sz w:val="20"/>
          <w:szCs w:val="20"/>
        </w:rPr>
        <w:t>查看按钮查看异议 ；</w:t>
      </w:r>
    </w:p>
    <w:p>
      <w:pPr>
        <w:spacing w:before="186"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2" name="IM 17"/>
            <wp:cNvGraphicFramePr/>
            <a:graphic xmlns:a="http://schemas.openxmlformats.org/drawingml/2006/main">
              <a:graphicData uri="http://schemas.openxmlformats.org/drawingml/2006/picture">
                <pic:pic xmlns:pic="http://schemas.openxmlformats.org/drawingml/2006/picture">
                  <pic:nvPicPr>
                    <pic:cNvPr id="22" name="IM 17"/>
                    <pic:cNvPicPr/>
                  </pic:nvPicPr>
                  <pic:blipFill>
                    <a:blip r:embed="rId44"/>
                    <a:stretch>
                      <a:fillRect/>
                    </a:stretch>
                  </pic:blipFill>
                  <pic:spPr>
                    <a:xfrm>
                      <a:off x="0" y="0"/>
                      <a:ext cx="5266944" cy="2308859"/>
                    </a:xfrm>
                    <a:prstGeom prst="rect">
                      <a:avLst/>
                    </a:prstGeom>
                  </pic:spPr>
                </pic:pic>
              </a:graphicData>
            </a:graphic>
          </wp:inline>
        </w:drawing>
      </w:r>
    </w:p>
    <w:p>
      <w:pPr>
        <w:rPr>
          <w:rFonts w:asciiTheme="minorEastAsia" w:hAnsiTheme="minorEastAsia" w:eastAsiaTheme="minorEastAsia" w:cstheme="minorEastAsia"/>
          <w:color w:val="auto"/>
        </w:rPr>
        <w:sectPr>
          <w:footerReference r:id="rId24"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252" w:lineRule="auto"/>
        <w:rPr>
          <w:rFonts w:asciiTheme="minorEastAsia" w:hAnsiTheme="minorEastAsia" w:eastAsiaTheme="minorEastAsia" w:cstheme="minorEastAsia"/>
          <w:color w:val="auto"/>
        </w:rPr>
      </w:pPr>
    </w:p>
    <w:p>
      <w:pPr>
        <w:spacing w:line="252" w:lineRule="auto"/>
        <w:rPr>
          <w:rFonts w:asciiTheme="minorEastAsia" w:hAnsiTheme="minorEastAsia" w:eastAsiaTheme="minorEastAsia" w:cstheme="minorEastAsia"/>
          <w:color w:val="auto"/>
        </w:rPr>
      </w:pPr>
    </w:p>
    <w:p>
      <w:pPr>
        <w:spacing w:before="86" w:line="191" w:lineRule="auto"/>
        <w:ind w:left="439"/>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对</w:t>
      </w:r>
      <w:r>
        <w:rPr>
          <w:rFonts w:hint="eastAsia" w:asciiTheme="minorEastAsia" w:hAnsiTheme="minorEastAsia" w:eastAsiaTheme="minorEastAsia" w:cstheme="minorEastAsia"/>
          <w:color w:val="auto"/>
          <w:spacing w:val="-5"/>
          <w:sz w:val="20"/>
          <w:szCs w:val="20"/>
        </w:rPr>
        <w:t>异议进行恢复后点击“回复异议”即可 ；</w:t>
      </w:r>
    </w:p>
    <w:p>
      <w:pPr>
        <w:spacing w:before="186"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3" name="IM 18"/>
            <wp:cNvGraphicFramePr/>
            <a:graphic xmlns:a="http://schemas.openxmlformats.org/drawingml/2006/main">
              <a:graphicData uri="http://schemas.openxmlformats.org/drawingml/2006/picture">
                <pic:pic xmlns:pic="http://schemas.openxmlformats.org/drawingml/2006/picture">
                  <pic:nvPicPr>
                    <pic:cNvPr id="23" name="IM 18"/>
                    <pic:cNvPicPr/>
                  </pic:nvPicPr>
                  <pic:blipFill>
                    <a:blip r:embed="rId45"/>
                    <a:stretch>
                      <a:fillRect/>
                    </a:stretch>
                  </pic:blipFill>
                  <pic:spPr>
                    <a:xfrm>
                      <a:off x="0" y="0"/>
                      <a:ext cx="5266944" cy="2308859"/>
                    </a:xfrm>
                    <a:prstGeom prst="rect">
                      <a:avLst/>
                    </a:prstGeom>
                  </pic:spPr>
                </pic:pic>
              </a:graphicData>
            </a:graphic>
          </wp:inline>
        </w:drawing>
      </w:r>
    </w:p>
    <w:p>
      <w:pPr>
        <w:spacing w:before="273" w:line="190" w:lineRule="auto"/>
        <w:ind w:left="443"/>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 xml:space="preserve">切换到“已回复”菜单可查看回复的异议情况 </w:t>
      </w:r>
      <w:r>
        <w:rPr>
          <w:rFonts w:hint="eastAsia" w:asciiTheme="minorEastAsia" w:hAnsiTheme="minorEastAsia" w:eastAsiaTheme="minorEastAsia" w:cstheme="minorEastAsia"/>
          <w:color w:val="auto"/>
          <w:spacing w:val="-3"/>
          <w:sz w:val="20"/>
          <w:szCs w:val="20"/>
        </w:rPr>
        <w:t>；</w:t>
      </w:r>
    </w:p>
    <w:p>
      <w:pPr>
        <w:spacing w:before="187"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860"/>
            <wp:effectExtent l="0" t="0" r="10160" b="15240"/>
            <wp:docPr id="24" name="IM 19"/>
            <wp:cNvGraphicFramePr/>
            <a:graphic xmlns:a="http://schemas.openxmlformats.org/drawingml/2006/main">
              <a:graphicData uri="http://schemas.openxmlformats.org/drawingml/2006/picture">
                <pic:pic xmlns:pic="http://schemas.openxmlformats.org/drawingml/2006/picture">
                  <pic:nvPicPr>
                    <pic:cNvPr id="24" name="IM 19"/>
                    <pic:cNvPicPr/>
                  </pic:nvPicPr>
                  <pic:blipFill>
                    <a:blip r:embed="rId46"/>
                    <a:stretch>
                      <a:fillRect/>
                    </a:stretch>
                  </pic:blipFill>
                  <pic:spPr>
                    <a:xfrm>
                      <a:off x="0" y="0"/>
                      <a:ext cx="5266944" cy="2308860"/>
                    </a:xfrm>
                    <a:prstGeom prst="rect">
                      <a:avLst/>
                    </a:prstGeom>
                  </pic:spPr>
                </pic:pic>
              </a:graphicData>
            </a:graphic>
          </wp:inline>
        </w:drawing>
      </w:r>
    </w:p>
    <w:p>
      <w:pPr>
        <w:spacing w:before="360" w:line="178" w:lineRule="auto"/>
        <w:ind w:left="18"/>
        <w:outlineLvl w:val="1"/>
        <w:rPr>
          <w:rFonts w:asciiTheme="minorEastAsia" w:hAnsiTheme="minorEastAsia" w:eastAsiaTheme="minorEastAsia" w:cstheme="minorEastAsia"/>
          <w:color w:val="auto"/>
          <w:sz w:val="28"/>
          <w:szCs w:val="28"/>
        </w:rPr>
      </w:pPr>
      <w:bookmarkStart w:id="270" w:name="_Toc16073"/>
      <w:bookmarkStart w:id="271" w:name="_Toc17714"/>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8</w:t>
      </w:r>
      <w:r>
        <w:rPr>
          <w:rFonts w:hint="eastAsia" w:asciiTheme="minorEastAsia" w:hAnsiTheme="minorEastAsia" w:eastAsiaTheme="minorEastAsia" w:cstheme="minorEastAsia"/>
          <w:color w:val="auto"/>
          <w:sz w:val="28"/>
          <w:szCs w:val="28"/>
        </w:rPr>
        <w:t>、结束开标</w:t>
      </w:r>
      <w:bookmarkEnd w:id="270"/>
      <w:bookmarkEnd w:id="271"/>
    </w:p>
    <w:p>
      <w:pPr>
        <w:spacing w:line="332" w:lineRule="auto"/>
        <w:rPr>
          <w:rFonts w:asciiTheme="minorEastAsia" w:hAnsiTheme="minorEastAsia" w:eastAsiaTheme="minorEastAsia" w:cstheme="minorEastAsia"/>
          <w:color w:val="auto"/>
        </w:rPr>
      </w:pPr>
    </w:p>
    <w:p>
      <w:pPr>
        <w:spacing w:before="86" w:line="191"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9"/>
          <w:sz w:val="20"/>
          <w:szCs w:val="20"/>
        </w:rPr>
        <w:t xml:space="preserve">点击开标结束 ，进行“开标结束”操作 </w:t>
      </w:r>
      <w:r>
        <w:rPr>
          <w:rFonts w:hint="eastAsia" w:asciiTheme="minorEastAsia" w:hAnsiTheme="minorEastAsia" w:eastAsiaTheme="minorEastAsia" w:cstheme="minorEastAsia"/>
          <w:color w:val="auto"/>
          <w:spacing w:val="-7"/>
          <w:sz w:val="20"/>
          <w:szCs w:val="20"/>
        </w:rPr>
        <w:t>；</w:t>
      </w:r>
    </w:p>
    <w:p>
      <w:pPr>
        <w:spacing w:before="187"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5" name="IM 20"/>
            <wp:cNvGraphicFramePr/>
            <a:graphic xmlns:a="http://schemas.openxmlformats.org/drawingml/2006/main">
              <a:graphicData uri="http://schemas.openxmlformats.org/drawingml/2006/picture">
                <pic:pic xmlns:pic="http://schemas.openxmlformats.org/drawingml/2006/picture">
                  <pic:nvPicPr>
                    <pic:cNvPr id="25" name="IM 20"/>
                    <pic:cNvPicPr/>
                  </pic:nvPicPr>
                  <pic:blipFill>
                    <a:blip r:embed="rId47"/>
                    <a:stretch>
                      <a:fillRect/>
                    </a:stretch>
                  </pic:blipFill>
                  <pic:spPr>
                    <a:xfrm>
                      <a:off x="0" y="0"/>
                      <a:ext cx="5266944" cy="2308859"/>
                    </a:xfrm>
                    <a:prstGeom prst="rect">
                      <a:avLst/>
                    </a:prstGeom>
                  </pic:spPr>
                </pic:pic>
              </a:graphicData>
            </a:graphic>
          </wp:inline>
        </w:drawing>
      </w:r>
    </w:p>
    <w:p>
      <w:pPr>
        <w:rPr>
          <w:rFonts w:asciiTheme="minorEastAsia" w:hAnsiTheme="minorEastAsia" w:eastAsiaTheme="minorEastAsia" w:cstheme="minorEastAsia"/>
          <w:color w:val="auto"/>
        </w:rPr>
        <w:sectPr>
          <w:footerReference r:id="rId25"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before="85" w:line="181" w:lineRule="auto"/>
        <w:ind w:left="441"/>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开</w:t>
      </w:r>
      <w:r>
        <w:rPr>
          <w:rFonts w:hint="eastAsia" w:asciiTheme="minorEastAsia" w:hAnsiTheme="minorEastAsia" w:eastAsiaTheme="minorEastAsia" w:cstheme="minorEastAsia"/>
          <w:color w:val="auto"/>
          <w:spacing w:val="-5"/>
          <w:sz w:val="20"/>
          <w:szCs w:val="20"/>
        </w:rPr>
        <w:t>标结束后可点击“开标记录表”进行查看。</w:t>
      </w:r>
    </w:p>
    <w:p>
      <w:pPr>
        <w:spacing w:line="246" w:lineRule="auto"/>
        <w:rPr>
          <w:rFonts w:asciiTheme="minorEastAsia" w:hAnsiTheme="minorEastAsia" w:eastAsiaTheme="minorEastAsia" w:cstheme="minorEastAsia"/>
          <w:color w:val="auto"/>
        </w:rPr>
      </w:pPr>
    </w:p>
    <w:p>
      <w:pPr>
        <w:spacing w:line="4471"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7960" cy="2839085"/>
            <wp:effectExtent l="0" t="0" r="8890" b="18415"/>
            <wp:docPr id="26" name="IM 21"/>
            <wp:cNvGraphicFramePr/>
            <a:graphic xmlns:a="http://schemas.openxmlformats.org/drawingml/2006/main">
              <a:graphicData uri="http://schemas.openxmlformats.org/drawingml/2006/picture">
                <pic:pic xmlns:pic="http://schemas.openxmlformats.org/drawingml/2006/picture">
                  <pic:nvPicPr>
                    <pic:cNvPr id="26" name="IM 21"/>
                    <pic:cNvPicPr/>
                  </pic:nvPicPr>
                  <pic:blipFill>
                    <a:blip r:embed="rId48"/>
                    <a:stretch>
                      <a:fillRect/>
                    </a:stretch>
                  </pic:blipFill>
                  <pic:spPr>
                    <a:xfrm>
                      <a:off x="0" y="0"/>
                      <a:ext cx="5268467" cy="2839211"/>
                    </a:xfrm>
                    <a:prstGeom prst="rect">
                      <a:avLst/>
                    </a:prstGeom>
                  </pic:spPr>
                </pic:pic>
              </a:graphicData>
            </a:graphic>
          </wp:inline>
        </w:drawing>
      </w:r>
    </w:p>
    <w:p>
      <w:pPr>
        <w:spacing w:line="600" w:lineRule="exact"/>
        <w:rPr>
          <w:rFonts w:asciiTheme="minorEastAsia" w:hAnsiTheme="minorEastAsia" w:eastAsiaTheme="minorEastAsia" w:cstheme="minorEastAsia"/>
          <w:b/>
          <w:bCs/>
          <w:color w:val="auto"/>
          <w:sz w:val="36"/>
          <w:szCs w:val="36"/>
        </w:rPr>
      </w:pPr>
    </w:p>
    <w:p>
      <w:pPr>
        <w:pStyle w:val="9"/>
        <w:ind w:left="0" w:leftChars="0" w:firstLine="0" w:firstLineChars="0"/>
        <w:rPr>
          <w:rFonts w:hint="eastAsia" w:asciiTheme="minorEastAsia" w:hAnsiTheme="minorEastAsia" w:eastAsiaTheme="minorEastAsia" w:cstheme="minorEastAsia"/>
          <w:color w:val="auto"/>
          <w:sz w:val="24"/>
        </w:rPr>
      </w:pPr>
    </w:p>
    <w:sectPr>
      <w:footerReference r:id="rId26" w:type="default"/>
      <w:pgSz w:w="11906" w:h="16838"/>
      <w:pgMar w:top="2098" w:right="1531" w:bottom="2098" w:left="1531" w:header="851" w:footer="992" w:gutter="0"/>
      <w:pgBorders>
        <w:top w:val="none" w:sz="0" w:space="0"/>
        <w:left w:val="none" w:sz="0" w:space="0"/>
        <w:bottom w:val="none" w:sz="0" w:space="0"/>
        <w:right w:val="none" w:sz="0" w:space="0"/>
      </w:pgBorders>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amp;#23435;&amp;#20307;">
    <w:altName w:val="Segoe Print"/>
    <w:panose1 w:val="00000000000000000000"/>
    <w:charset w:val="00"/>
    <w:family w:val="moder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1" w:csb1="00000000"/>
  </w:font>
  <w:font w:name="Univers LT Std">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18030">
    <w:altName w:val="微软雅黑"/>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swiss"/>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7D8NEBAACnAwAADgAAAGRycy9lMm9Eb2MueG1srVNLbtswEN0XyB0I&#10;7mPJRlO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Zew/DRAQAApwMAAA4AAAAAAAAAAQAgAAAAHgEAAGRy&#10;cy9lMm9Eb2MueG1sUEsFBgAAAAAGAAYAWQEAAGE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BFQI6AgAAcQ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fU6KZQsdP37+d&#10;fvw6/fxKcAeBWutniHuwiAzdW9NhbIZ7j8vIu6ucir9gROCHvMeLvKILhMdH08l0msPF4RsOwM8e&#10;n1vnwzthFIlGQR36l2Rlh40PfegQErNps26kTD2UmrQFvXr9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VARUCOgIAAHEEAAAOAAAAAAAAAAEAIAAAAB8BAABkcnMvZTJvRG9j&#10;LnhtbFBLBQYAAAAABgAGAFkBAADL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64</w:t>
                    </w:r>
                    <w:r>
                      <w:fldChar w:fldCharType="end"/>
                    </w:r>
                  </w:p>
                </w:txbxContent>
              </v:textbox>
            </v:shape>
          </w:pict>
        </mc:Fallback>
      </mc:AlternateContent>
    </w:r>
    <w:r>
      <mc:AlternateContent>
        <mc:Choice Requires="wps">
          <w:drawing>
            <wp:inline distT="0" distB="0" distL="114300" distR="114300">
              <wp:extent cx="5274310" cy="36830"/>
              <wp:effectExtent l="0" t="0" r="2540" b="1270"/>
              <wp:docPr id="27" name="任意多边形 27"/>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vl&#10;o4TTAAAAAwEAAA8AAAAAAAAAAQAgAAAAIgAAAGRycy9kb3ducmV2LnhtbFBLAQIUABQAAAAIAIdO&#10;4kBbHZjrKAIAAKUEAAAOAAAAAAAAAAEAIAAAACIBAABkcnMvZTJvRG9jLnhtbFBLBQYAAAAABgAG&#10;AFkBAAC8BQ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9"/>
        <w:position w:val="1"/>
        <w:sz w:val="17"/>
        <w:szCs w:val="17"/>
      </w:rPr>
      <w:t>7</w:t>
    </w:r>
    <w:r>
      <w:rPr>
        <w:rFonts w:eastAsia="Times New Roman"/>
        <w:spacing w:val="-5"/>
        <w:position w:val="1"/>
        <w:sz w:val="17"/>
        <w:szCs w:val="17"/>
      </w:rPr>
      <w:t>/ 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CV0Q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F3zVT6Pjpx/fT&#10;z4fTr28EdxCotX6GuHuLyNC9Mx3GZrj3uIy8u8qp+AtGBH7Ie7zIK7pAeHw0nUynOVwcvuEA/Ozx&#10;uXU+vBdGkWgU1KF/SVZ22PjQhw4hMZs260bK1EOpSVvQq9dv8v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iCV0Q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65</w:t>
                    </w:r>
                    <w:r>
                      <w:fldChar w:fldCharType="end"/>
                    </w:r>
                  </w:p>
                </w:txbxContent>
              </v:textbox>
            </v:shape>
          </w:pict>
        </mc:Fallback>
      </mc:AlternateContent>
    </w:r>
    <w:r>
      <mc:AlternateContent>
        <mc:Choice Requires="wps">
          <w:drawing>
            <wp:inline distT="0" distB="0" distL="114300" distR="114300">
              <wp:extent cx="5274310" cy="36830"/>
              <wp:effectExtent l="0" t="0" r="2540" b="1270"/>
              <wp:docPr id="30" name="任意多边形 30"/>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ijluby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07"/>
      <w:jc w:val="right"/>
      <w:rPr>
        <w:rFonts w:eastAsia="Times New Roman"/>
        <w:sz w:val="17"/>
        <w:szCs w:val="17"/>
      </w:rPr>
    </w:pPr>
    <w:r>
      <w:rPr>
        <w:rFonts w:eastAsia="Times New Roman"/>
        <w:spacing w:val="-9"/>
        <w:position w:val="1"/>
        <w:sz w:val="17"/>
        <w:szCs w:val="17"/>
      </w:rPr>
      <w:t>8</w:t>
    </w:r>
    <w:r>
      <w:rPr>
        <w:rFonts w:eastAsia="Times New Roman"/>
        <w:spacing w:val="-6"/>
        <w:position w:val="1"/>
        <w:sz w:val="17"/>
        <w:szCs w:val="17"/>
      </w:rPr>
      <w:t>/ 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wHQE5AgAAcQQAAA4AAABkcnMvZTJvRG9jLnhtbK1UzY7TMBC+I/EO&#10;lu80aRFL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Os3lGim0PHT92+n&#10;H79OP78S3EGg1voZ4jYWkaF7azqMzXDvcRl5d5VT8ReMCPyQ93iRV3SB8PhoOplOc7g4fMMB+NnD&#10;c+t8eCeMItEoqEP/kqzscOtDHzqExGzarBspUw+lJm1Br16+y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kwHQE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66</w:t>
                    </w:r>
                    <w:r>
                      <w:fldChar w:fldCharType="end"/>
                    </w:r>
                  </w:p>
                </w:txbxContent>
              </v:textbox>
            </v:shape>
          </w:pict>
        </mc:Fallback>
      </mc:AlternateContent>
    </w:r>
    <w:r>
      <mc:AlternateContent>
        <mc:Choice Requires="wps">
          <w:drawing>
            <wp:inline distT="0" distB="0" distL="114300" distR="114300">
              <wp:extent cx="5274310" cy="36830"/>
              <wp:effectExtent l="0" t="0" r="2540" b="1270"/>
              <wp:docPr id="36" name="任意多边形 36"/>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Wj&#10;hNMAAAADAQAADwAAAAAAAAABACAAAAAiAAAAZHJzL2Rvd25yZXYueG1sUEsBAhQAFAAAAAgAh07i&#10;QL/1GEonAgAApQQAAA4AAAAAAAAAAQAgAAAAIgEAAGRycy9lMm9Eb2MueG1sUEsFBgAAAAAGAAYA&#10;WQEAALsFA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6"/>
        <w:position w:val="1"/>
        <w:sz w:val="17"/>
        <w:szCs w:val="17"/>
      </w:rPr>
      <w:t>9/ 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G1DA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FUbUMDgCAABxBAAADgAAAAAAAAABACAAAAAfAQAAZHJzL2Uyb0RvYy54&#10;bWxQSwUGAAAAAAYABgBZAQAAyQ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67</w:t>
                    </w:r>
                    <w:r>
                      <w:fldChar w:fldCharType="end"/>
                    </w:r>
                  </w:p>
                </w:txbxContent>
              </v:textbox>
            </v:shape>
          </w:pict>
        </mc:Fallback>
      </mc:AlternateContent>
    </w:r>
    <w:r>
      <mc:AlternateContent>
        <mc:Choice Requires="wps">
          <w:drawing>
            <wp:inline distT="0" distB="0" distL="114300" distR="114300">
              <wp:extent cx="5274310" cy="36830"/>
              <wp:effectExtent l="0" t="0" r="2540" b="1270"/>
              <wp:docPr id="35" name="任意多边形 35"/>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hRAbtS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10"/>
        <w:position w:val="1"/>
        <w:sz w:val="17"/>
        <w:szCs w:val="17"/>
      </w:rPr>
      <w:t>1</w:t>
    </w:r>
    <w:r>
      <w:rPr>
        <w:rFonts w:eastAsia="Times New Roman"/>
        <w:spacing w:val="-6"/>
        <w:position w:val="1"/>
        <w:sz w:val="17"/>
        <w:szCs w:val="17"/>
      </w:rPr>
      <w:t>0/ 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T0nnU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Wx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NPSedTgCAABxBAAADgAAAAAAAAABACAAAAAfAQAAZHJzL2Uyb0RvYy54&#10;bWxQSwUGAAAAAAYABgBZAQAAyQ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69</w:t>
                    </w:r>
                    <w:r>
                      <w:fldChar w:fldCharType="end"/>
                    </w:r>
                  </w:p>
                </w:txbxContent>
              </v:textbox>
            </v:shape>
          </w:pict>
        </mc:Fallback>
      </mc:AlternateContent>
    </w:r>
    <w:r>
      <mc:AlternateContent>
        <mc:Choice Requires="wps">
          <w:drawing>
            <wp:inline distT="0" distB="0" distL="114300" distR="114300">
              <wp:extent cx="5274310" cy="36830"/>
              <wp:effectExtent l="0" t="0" r="2540" b="1270"/>
              <wp:docPr id="34" name="任意多边形 34"/>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rLHKVi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12"/>
        <w:position w:val="1"/>
        <w:sz w:val="17"/>
        <w:szCs w:val="17"/>
      </w:rPr>
      <w:t>1</w:t>
    </w:r>
    <w:r>
      <w:rPr>
        <w:rFonts w:eastAsia="Times New Roman"/>
        <w:spacing w:val="-7"/>
        <w:position w:val="1"/>
        <w:sz w:val="17"/>
        <w:szCs w:val="17"/>
      </w:rPr>
      <w:t>1/ 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iQbo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ciQbo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70</w:t>
                    </w:r>
                    <w:r>
                      <w:fldChar w:fldCharType="end"/>
                    </w:r>
                  </w:p>
                </w:txbxContent>
              </v:textbox>
            </v:shape>
          </w:pict>
        </mc:Fallback>
      </mc:AlternateContent>
    </w:r>
    <w:r>
      <mc:AlternateContent>
        <mc:Choice Requires="wps">
          <w:drawing>
            <wp:inline distT="0" distB="0" distL="114300" distR="114300">
              <wp:extent cx="5274310" cy="36830"/>
              <wp:effectExtent l="0" t="0" r="2540" b="1270"/>
              <wp:docPr id="37" name="任意多边形 37"/>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vl&#10;o4TTAAAAAwEAAA8AAAAAAAAAAQAgAAAAIgAAAGRycy9kb3ducmV2LnhtbFBLAQIUABQAAAAIAIdO&#10;4kCWVMmpKAIAAKUEAAAOAAAAAAAAAAEAIAAAACIBAABkcnMvZTJvRG9jLnhtbFBLBQYAAAAABgAG&#10;AFkBAAC8BQ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10"/>
        <w:position w:val="1"/>
        <w:sz w:val="17"/>
        <w:szCs w:val="17"/>
      </w:rPr>
      <w:t>1</w:t>
    </w:r>
    <w:r>
      <w:rPr>
        <w:rFonts w:eastAsia="Times New Roman"/>
        <w:spacing w:val="-6"/>
        <w:position w:val="1"/>
        <w:sz w:val="17"/>
        <w:szCs w:val="17"/>
      </w:rPr>
      <w:t>2/ 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Style w:val="43"/>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 </w:t>
                          </w:r>
                          <w:r>
                            <w:fldChar w:fldCharType="begin"/>
                          </w:r>
                          <w:r>
                            <w:instrText xml:space="preserve"> PAGE  \* MERGEFORMAT </w:instrText>
                          </w:r>
                          <w:r>
                            <w:fldChar w:fldCharType="separate"/>
                          </w:r>
                          <w:r>
                            <w:t>53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53</w:t>
                    </w:r>
                    <w:r>
                      <w:fldChar w:fldCharType="end"/>
                    </w:r>
                    <w:r>
                      <w:t xml:space="preserve"> —</w:t>
                    </w:r>
                  </w:p>
                </w:txbxContent>
              </v:textbox>
            </v:shape>
          </w:pict>
        </mc:Fallback>
      </mc:AlternateContent>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-172720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6pt;height:144pt;width:144pt;mso-position-horizontal:center;mso-position-horizontal-relative:margin;mso-wrap-style:none;z-index:251676672;mso-width-relative:page;mso-height-relative:page;" filled="f" stroked="f" coordsize="21600,21600" o:gfxdata="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DzfZ1QAAAAgBAAAPAAAAAAAAAAEAIAAAACIAAABkcnMvZG93bnJldi54bWxQ&#10;SwECFAAUAAAACACHTuJALsn3ADMCAABjBAAADgAAAAAAAAABACAAAAAkAQAAZHJzL2Uyb0RvYy54&#10;bWxQSwUGAAAAAAYABgBZAQAAyQUAAAAA&#10;">
              <v:fill on="f" focussize="0,0"/>
              <v:stroke on="f" weight="0.5pt"/>
              <v:imagedata o:title=""/>
              <o:lock v:ext="edit" aspectratio="f"/>
              <v:textbox inset="0mm,0mm,0mm,0mm" style="mso-fit-shape-to-text:t;">
                <w:txbxContent>
                  <w:p>
                    <w:pPr>
                      <w:pStyle w:val="2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31</w:t>
                    </w:r>
                    <w:r>
                      <w:rPr>
                        <w:sz w:val="24"/>
                        <w:szCs w:val="24"/>
                      </w:rPr>
                      <w:fldChar w:fldCharType="end"/>
                    </w:r>
                    <w:r>
                      <w:rPr>
                        <w:sz w:val="24"/>
                        <w:szCs w:val="24"/>
                      </w:rPr>
                      <w:t xml:space="preserve"> —</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6ak9tIBAACoAwAADgAAAGRycy9lMm9Eb2MueG1srVNLbtswEN0XyB0I&#10;7mPJRlO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OKbHM4MRPP3+cfv05/f5O&#10;5uXiKknUeaiw8t5jbew/uh4XZ4oDBhPzXgaT/siJYB4FPp4FFn0kPB1aLpbLElMcc5OD+MXjcR8g&#10;3gpnSDJqGnCCWVh2+ARxKJ1K0m3W3Sit8xS1JV1N319hy08yCK5tioi8DyNMojS0nqzYb/uR59Y1&#10;R6TZ4U7U1OIToETfWZQ8rc9khMnYjkbCB/9hH7Gf3GZCHaCQXnJwgJnouGxpQ/71c9XjA1v/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vpqT20gEAAKgDAAAOAAAAAAAAAAEAIAAAAB4BAABk&#10;cnMvZTJvRG9jLnhtbFBLBQYAAAAABgAGAFkBAABi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2256"/>
        <w:tab w:val="clear" w:pos="4153"/>
      </w:tabs>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-142240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pt;height:144pt;width:144pt;mso-position-horizontal:center;mso-position-horizontal-relative:margin;mso-wrap-style:none;z-index:251677696;mso-width-relative:page;mso-height-relative:page;" filled="f" stroked="f" coordsize="21600,21600" o:gfxdata="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M2EEsM0&#10;Kn768f308+H06xvBGQRqXJgh7t4hMrbvbIu2Gc4DDhPvtvI6fcGIwA95jxd5RRsJT5emk+k0h4vD&#10;N2yAnz1edz7E98JqkoyCetSvk5UdNiH2oUNIymbsWirV1VAZ0hT06vX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Lc6BNYAAAAIAQAADwAAAAAAAAABACAAAAAiAAAAZHJzL2Rvd25yZXYueG1s&#10;UEsBAhQAFAAAAAgAh07iQOufqQQzAgAAYwQAAA4AAAAAAAAAAQAgAAAAJQEAAGRycy9lMm9Eb2Mu&#10;eG1sUEsFBgAAAAAGAAYAWQEAAMoFAAAAAA==&#10;">
              <v:fill on="f" focussize="0,0"/>
              <v:stroke on="f" weight="0.5pt"/>
              <v:imagedata o:title=""/>
              <o:lock v:ext="edit" aspectratio="f"/>
              <v:textbox inset="0mm,0mm,0mm,0mm" style="mso-fit-shape-to-text:t;">
                <w:txbxContent>
                  <w:p>
                    <w:pPr>
                      <w:pStyle w:val="2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r20Y5AgAAcQ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Kr20Y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58</w:t>
                    </w:r>
                    <w:r>
                      <w:fldChar w:fldCharType="end"/>
                    </w:r>
                  </w:p>
                </w:txbxContent>
              </v:textbox>
            </v:shape>
          </w:pict>
        </mc:Fallback>
      </mc:AlternateContent>
    </w:r>
    <w:r>
      <mc:AlternateContent>
        <mc:Choice Requires="wps">
          <w:drawing>
            <wp:inline distT="0" distB="0" distL="114300" distR="114300">
              <wp:extent cx="5274310" cy="36830"/>
              <wp:effectExtent l="0" t="0" r="2540" b="1270"/>
              <wp:docPr id="39" name="任意多边形 39"/>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Wj&#10;hNMAAAADAQAADwAAAAAAAAABACAAAAAiAAAAZHJzL2Rvd25yZXYueG1sUEsBAhQAFAAAAAgAh07i&#10;QO+I9v8nAgAApQQAAA4AAAAAAAAAAQAgAAAAIgEAAGRycy9lMm9Eb2MueG1sUEsFBgAAAAAGAAYA&#10;WQEAALsFA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12"/>
        <w:position w:val="1"/>
        <w:sz w:val="17"/>
        <w:szCs w:val="17"/>
      </w:rPr>
      <w:t>1</w:t>
    </w:r>
    <w:r>
      <w:rPr>
        <w:rFonts w:eastAsia="Times New Roman"/>
        <w:spacing w:val="-8"/>
        <w:position w:val="1"/>
        <w:sz w:val="17"/>
        <w:szCs w:val="17"/>
      </w:rPr>
      <w:t>/ 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9BIk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F9BIk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59</w:t>
                    </w:r>
                    <w:r>
                      <w:fldChar w:fldCharType="end"/>
                    </w:r>
                  </w:p>
                </w:txbxContent>
              </v:textbox>
            </v:shape>
          </w:pict>
        </mc:Fallback>
      </mc:AlternateContent>
    </w:r>
    <w:r>
      <mc:AlternateContent>
        <mc:Choice Requires="wps">
          <w:drawing>
            <wp:inline distT="0" distB="0" distL="114300" distR="114300">
              <wp:extent cx="5274310" cy="36830"/>
              <wp:effectExtent l="0" t="0" r="2540" b="1270"/>
              <wp:docPr id="28" name="任意多边形 28"/>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C2B2Xi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96"/>
      <w:jc w:val="right"/>
      <w:rPr>
        <w:rFonts w:eastAsia="Times New Roman"/>
        <w:sz w:val="17"/>
        <w:szCs w:val="17"/>
      </w:rPr>
    </w:pPr>
    <w:r>
      <w:rPr>
        <w:rFonts w:eastAsia="Times New Roman"/>
        <w:spacing w:val="-6"/>
        <w:position w:val="1"/>
        <w:sz w:val="17"/>
        <w:szCs w:val="17"/>
      </w:rPr>
      <w:t>2</w:t>
    </w:r>
    <w:r>
      <w:rPr>
        <w:rFonts w:eastAsia="Times New Roman"/>
        <w:spacing w:val="-5"/>
        <w:position w:val="1"/>
        <w:sz w:val="17"/>
        <w:szCs w:val="17"/>
      </w:rPr>
      <w:t>/ 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PTsw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Qz07MOgIAAHEEAAAOAAAAAAAAAAEAIAAAAB8BAABkcnMvZTJvRG9j&#10;LnhtbFBLBQYAAAAABgAGAFkBAADL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60</w:t>
                    </w:r>
                    <w:r>
                      <w:fldChar w:fldCharType="end"/>
                    </w:r>
                  </w:p>
                </w:txbxContent>
              </v:textbox>
            </v:shape>
          </w:pict>
        </mc:Fallback>
      </mc:AlternateContent>
    </w:r>
    <w:r>
      <mc:AlternateContent>
        <mc:Choice Requires="wps">
          <w:drawing>
            <wp:inline distT="0" distB="0" distL="114300" distR="114300">
              <wp:extent cx="5274310" cy="36830"/>
              <wp:effectExtent l="0" t="0" r="2540" b="1270"/>
              <wp:docPr id="29" name="任意多边形 29"/>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Wj&#10;hNMAAAADAQAADwAAAAAAAAABACAAAAAiAAAAZHJzL2Rvd25yZXYueG1sUEsBAhQAFAAAAAgAh07i&#10;QCLBp70nAgAApQQAAA4AAAAAAAAAAQAgAAAAIgEAAGRycy9lMm9Eb2MueG1sUEsFBgAAAAAGAAYA&#10;WQEAALsFAAAAAA==&#10;" path="m0,0l8305,0,8305,57,0,57,0,0xe">
              <v:fill on="t" focussize="0,0"/>
              <v:stroke on="f"/>
              <v:imagedata o:title=""/>
              <o:lock v:ext="edit" aspectratio="f"/>
              <w10:wrap type="none"/>
              <w10:anchorlock/>
            </v:shape>
          </w:pict>
        </mc:Fallback>
      </mc:AlternateContent>
    </w:r>
  </w:p>
  <w:p>
    <w:pPr>
      <w:spacing w:line="242" w:lineRule="exact"/>
      <w:ind w:right="71"/>
      <w:jc w:val="right"/>
      <w:rPr>
        <w:rFonts w:eastAsia="Times New Roman"/>
        <w:sz w:val="17"/>
        <w:szCs w:val="17"/>
      </w:rPr>
    </w:pPr>
    <w:r>
      <w:rPr>
        <w:rFonts w:eastAsia="Times New Roman"/>
        <w:spacing w:val="-6"/>
        <w:position w:val="1"/>
        <w:sz w:val="17"/>
        <w:szCs w:val="17"/>
      </w:rPr>
      <w:t>3/ 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Xys05AgAAc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JtX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bXys0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61</w:t>
                    </w:r>
                    <w:r>
                      <w:fldChar w:fldCharType="end"/>
                    </w:r>
                  </w:p>
                </w:txbxContent>
              </v:textbox>
            </v:shape>
          </w:pict>
        </mc:Fallback>
      </mc:AlternateContent>
    </w:r>
    <w:r>
      <mc:AlternateContent>
        <mc:Choice Requires="wps">
          <w:drawing>
            <wp:inline distT="0" distB="0" distL="114300" distR="114300">
              <wp:extent cx="5274310" cy="36830"/>
              <wp:effectExtent l="0" t="0" r="2540" b="1270"/>
              <wp:docPr id="31" name="任意多边形 31"/>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o5i/jC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5"/>
        <w:position w:val="1"/>
        <w:sz w:val="17"/>
        <w:szCs w:val="17"/>
      </w:rPr>
      <w:t>4/ 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lgIg6AgAAcQ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XZYCIOgIAAHEEAAAOAAAAAAAAAAEAIAAAAB8BAABkcnMvZTJvRG9j&#10;LnhtbFBLBQYAAAAABgAGAFkBAADL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62</w:t>
                    </w:r>
                    <w:r>
                      <w:fldChar w:fldCharType="end"/>
                    </w:r>
                  </w:p>
                </w:txbxContent>
              </v:textbox>
            </v:shape>
          </w:pict>
        </mc:Fallback>
      </mc:AlternateContent>
    </w:r>
    <w:r>
      <mc:AlternateContent>
        <mc:Choice Requires="wps">
          <w:drawing>
            <wp:inline distT="0" distB="0" distL="114300" distR="114300">
              <wp:extent cx="5274310" cy="36830"/>
              <wp:effectExtent l="0" t="0" r="2540" b="1270"/>
              <wp:docPr id="32" name="任意多边形 32"/>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mX28cy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42"/>
      <w:jc w:val="right"/>
      <w:rPr>
        <w:rFonts w:eastAsia="Times New Roman"/>
        <w:sz w:val="17"/>
        <w:szCs w:val="17"/>
      </w:rPr>
    </w:pPr>
    <w:r>
      <w:rPr>
        <w:rFonts w:eastAsia="Times New Roman"/>
        <w:spacing w:val="-7"/>
        <w:position w:val="1"/>
        <w:sz w:val="17"/>
        <w:szCs w:val="17"/>
      </w:rPr>
      <w:t>5</w:t>
    </w:r>
    <w:r>
      <w:rPr>
        <w:rFonts w:eastAsia="Times New Roman"/>
        <w:spacing w:val="-6"/>
        <w:position w:val="1"/>
        <w:sz w:val="17"/>
        <w:szCs w:val="17"/>
      </w:rPr>
      <w:t>/ 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SzX0c5AgAAcQ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dUKKZQsfPP76f&#10;fz6cf30juINAjfUzxG0tIkP7zrQYm/7e4zLybkun4i8YEfgh7+kqr2gD4fHRdDydDuHi8PUH4GeP&#10;z63z4b0wikQjpw79S7Ky48aHLrQPidm0WddSph5KTZqcTl6/GaYHVw/ApY6xIk3DBSZS6kqPVmh3&#10;7YXnzhQn0HSmmxRv+bpGKRvmwz1zGA2Uj+UJd/iU0iCluViUVMZ9/dd9jEfH4KWkwajlVGOzKJEf&#10;NDoJwNAbrjd2vaEP6tZgdkdYSsuTiQcuyN4snVFfsFHLmAMupjky5TT05m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SzX0c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63</w:t>
                    </w:r>
                    <w:r>
                      <w:fldChar w:fldCharType="end"/>
                    </w:r>
                  </w:p>
                </w:txbxContent>
              </v:textbox>
            </v:shape>
          </w:pict>
        </mc:Fallback>
      </mc:AlternateContent>
    </w:r>
    <w:r>
      <mc:AlternateContent>
        <mc:Choice Requires="wps">
          <w:drawing>
            <wp:inline distT="0" distB="0" distL="114300" distR="114300">
              <wp:extent cx="5274310" cy="36830"/>
              <wp:effectExtent l="0" t="0" r="2540" b="1270"/>
              <wp:docPr id="33" name="任意多边形 33"/>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sNxtkC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6"/>
        <w:position w:val="1"/>
        <w:sz w:val="17"/>
        <w:szCs w:val="17"/>
      </w:rPr>
      <w:t>6/ 16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r>
      <mc:AlternateContent>
        <mc:Choice Requires="wps">
          <w:drawing>
            <wp:anchor distT="0" distB="0" distL="114300" distR="114300" simplePos="0" relativeHeight="251661312" behindDoc="0" locked="0" layoutInCell="0" allowOverlap="1">
              <wp:simplePos x="0" y="0"/>
              <wp:positionH relativeFrom="page">
                <wp:posOffset>1143000</wp:posOffset>
              </wp:positionH>
              <wp:positionV relativeFrom="page">
                <wp:posOffset>620395</wp:posOffset>
              </wp:positionV>
              <wp:extent cx="5274310" cy="9525"/>
              <wp:effectExtent l="0" t="0" r="0" b="0"/>
              <wp:wrapNone/>
              <wp:docPr id="38" name="任意多边形 38"/>
              <wp:cNvGraphicFramePr/>
              <a:graphic xmlns:a="http://schemas.openxmlformats.org/drawingml/2006/main">
                <a:graphicData uri="http://schemas.microsoft.com/office/word/2010/wordprocessingShape">
                  <wps:wsp>
                    <wps:cNvSpPr/>
                    <wps:spPr>
                      <a:xfrm>
                        <a:off x="0" y="0"/>
                        <a:ext cx="5274310" cy="9525"/>
                      </a:xfrm>
                      <a:custGeom>
                        <a:avLst/>
                        <a:gdLst>
                          <a:gd name="A1" fmla="val 0"/>
                        </a:gdLst>
                        <a:ahLst/>
                        <a:cxnLst/>
                        <a:pathLst>
                          <a:path w="8305" h="15">
                            <a:moveTo>
                              <a:pt x="0" y="0"/>
                            </a:moveTo>
                            <a:lnTo>
                              <a:pt x="8305" y="0"/>
                            </a:lnTo>
                            <a:lnTo>
                              <a:pt x="8305" y="14"/>
                            </a:lnTo>
                            <a:lnTo>
                              <a:pt x="0" y="14"/>
                            </a:lnTo>
                            <a:lnTo>
                              <a:pt x="0" y="0"/>
                            </a:lnTo>
                            <a:close/>
                          </a:path>
                        </a:pathLst>
                      </a:custGeom>
                      <a:solidFill>
                        <a:srgbClr val="FFFFFF"/>
                      </a:solidFill>
                      <a:ln>
                        <a:noFill/>
                      </a:ln>
                    </wps:spPr>
                    <wps:bodyPr upright="1"/>
                  </wps:wsp>
                </a:graphicData>
              </a:graphic>
            </wp:anchor>
          </w:drawing>
        </mc:Choice>
        <mc:Fallback>
          <w:pict>
            <v:shape id="_x0000_s1026" o:spid="_x0000_s1026" o:spt="100" style="position:absolute;left:0pt;margin-left:90pt;margin-top:48.85pt;height:0.75pt;width:415.3pt;mso-position-horizontal-relative:page;mso-position-vertical-relative:page;z-index:251661312;mso-width-relative:page;mso-height-relative:page;" fillcolor="#FFFFFF" filled="t" stroked="f" coordsize="8305,15" o:allowincell="f" o:gfxdata="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N9WZNgAAAAKAQAADwAAAAAAAAABACAAAAAiAAAAZHJzL2Rvd25yZXYueG1sUEsBAhQAFAAA&#10;AAgAh07iQGTho2goAgAApAQAAA4AAAAAAAAAAQAgAAAAJwEAAGRycy9lMm9Eb2MueG1sUEsFBgAA&#10;AAAGAAYAWQEAAMEFAAAAAA==&#10;" path="m0,0l8305,0,8305,14,0,14,0,0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D28B8"/>
    <w:multiLevelType w:val="singleLevel"/>
    <w:tmpl w:val="FFED28B8"/>
    <w:lvl w:ilvl="0" w:tentative="0">
      <w:start w:val="2"/>
      <w:numFmt w:val="chineseCounting"/>
      <w:suff w:val="space"/>
      <w:lvlText w:val="第%1部分"/>
      <w:lvlJc w:val="left"/>
      <w:rPr>
        <w:rFonts w:hint="eastAsia"/>
      </w:rPr>
    </w:lvl>
  </w:abstractNum>
  <w:abstractNum w:abstractNumId="1">
    <w:nsid w:val="1D5755D3"/>
    <w:multiLevelType w:val="multilevel"/>
    <w:tmpl w:val="1D5755D3"/>
    <w:lvl w:ilvl="0" w:tentative="0">
      <w:start w:val="1"/>
      <w:numFmt w:val="bullet"/>
      <w:pStyle w:val="163"/>
      <w:lvlText w:val=""/>
      <w:lvlJc w:val="left"/>
      <w:pPr>
        <w:tabs>
          <w:tab w:val="left" w:pos="2126"/>
        </w:tabs>
        <w:ind w:left="2126" w:hanging="425"/>
      </w:pPr>
      <w:rPr>
        <w:rFonts w:hint="default" w:ascii="Wingdings" w:hAnsi="Wingdings" w:cs="Wingdings"/>
        <w:b w:val="0"/>
        <w:bCs w:val="0"/>
        <w:i w:val="0"/>
        <w:iCs w:val="0"/>
        <w:caps w:val="0"/>
        <w:strike w:val="0"/>
        <w:dstrike w:val="0"/>
        <w:vanish w:val="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04C57B5"/>
    <w:multiLevelType w:val="singleLevel"/>
    <w:tmpl w:val="204C57B5"/>
    <w:lvl w:ilvl="0" w:tentative="0">
      <w:start w:val="3"/>
      <w:numFmt w:val="chineseCounting"/>
      <w:suff w:val="nothing"/>
      <w:lvlText w:val="%1、"/>
      <w:lvlJc w:val="left"/>
      <w:pPr>
        <w:ind w:left="480" w:leftChars="0" w:firstLine="0" w:firstLineChars="0"/>
      </w:pPr>
      <w:rPr>
        <w:rFonts w:hint="eastAsia"/>
      </w:rPr>
    </w:lvl>
  </w:abstractNum>
  <w:abstractNum w:abstractNumId="3">
    <w:nsid w:val="219148B2"/>
    <w:multiLevelType w:val="singleLevel"/>
    <w:tmpl w:val="219148B2"/>
    <w:lvl w:ilvl="0" w:tentative="0">
      <w:start w:val="13"/>
      <w:numFmt w:val="chineseCounting"/>
      <w:suff w:val="nothing"/>
      <w:lvlText w:val="%1、"/>
      <w:lvlJc w:val="left"/>
      <w:rPr>
        <w:rFonts w:hint="eastAsia"/>
      </w:rPr>
    </w:lvl>
  </w:abstractNum>
  <w:abstractNum w:abstractNumId="4">
    <w:nsid w:val="36745E1C"/>
    <w:multiLevelType w:val="singleLevel"/>
    <w:tmpl w:val="36745E1C"/>
    <w:lvl w:ilvl="0" w:tentative="0">
      <w:start w:val="1"/>
      <w:numFmt w:val="decimal"/>
      <w:lvlText w:val="%1."/>
      <w:lvlJc w:val="left"/>
      <w:pPr>
        <w:tabs>
          <w:tab w:val="left" w:pos="312"/>
        </w:tabs>
      </w:pPr>
    </w:lvl>
  </w:abstractNum>
  <w:abstractNum w:abstractNumId="5">
    <w:nsid w:val="5281F09C"/>
    <w:multiLevelType w:val="singleLevel"/>
    <w:tmpl w:val="5281F09C"/>
    <w:lvl w:ilvl="0" w:tentative="0">
      <w:start w:val="1"/>
      <w:numFmt w:val="decimal"/>
      <w:pStyle w:val="175"/>
      <w:suff w:val="nothing"/>
      <w:lvlText w:val="%1、"/>
      <w:lvlJc w:val="left"/>
    </w:lvl>
  </w:abstractNum>
  <w:abstractNum w:abstractNumId="6">
    <w:nsid w:val="535778F6"/>
    <w:multiLevelType w:val="multilevel"/>
    <w:tmpl w:val="535778F6"/>
    <w:lvl w:ilvl="0" w:tentative="0">
      <w:start w:val="1"/>
      <w:numFmt w:val="chineseCountingThousand"/>
      <w:suff w:val="nothing"/>
      <w:lvlText w:val="%1、"/>
      <w:lvlJc w:val="left"/>
      <w:rPr>
        <w:rFonts w:hint="eastAsia" w:cs="Times New Roman"/>
        <w:b/>
        <w:i w:val="0"/>
        <w:sz w:val="24"/>
      </w:rPr>
    </w:lvl>
    <w:lvl w:ilvl="1" w:tentative="0">
      <w:start w:val="1"/>
      <w:numFmt w:val="decimal"/>
      <w:pStyle w:val="5"/>
      <w:suff w:val="nothing"/>
      <w:lvlText w:val="%2. "/>
      <w:lvlJc w:val="left"/>
      <w:rPr>
        <w:rFonts w:hint="eastAsia" w:cs="Times New Roman"/>
        <w:b w:val="0"/>
        <w:i w:val="0"/>
        <w:sz w:val="24"/>
      </w:rPr>
    </w:lvl>
    <w:lvl w:ilvl="2" w:tentative="0">
      <w:start w:val="1"/>
      <w:numFmt w:val="none"/>
      <w:pStyle w:val="6"/>
      <w:suff w:val="nothing"/>
      <w:lvlText w:val=""/>
      <w:lvlJc w:val="left"/>
      <w:rPr>
        <w:rFonts w:hint="eastAsia" w:cs="Times New Roman"/>
      </w:rPr>
    </w:lvl>
    <w:lvl w:ilvl="3" w:tentative="0">
      <w:start w:val="1"/>
      <w:numFmt w:val="none"/>
      <w:pStyle w:val="7"/>
      <w:suff w:val="nothing"/>
      <w:lvlText w:val=""/>
      <w:lvlJc w:val="left"/>
      <w:rPr>
        <w:rFonts w:hint="eastAsia" w:cs="Times New Roman"/>
      </w:rPr>
    </w:lvl>
    <w:lvl w:ilvl="4" w:tentative="0">
      <w:start w:val="1"/>
      <w:numFmt w:val="none"/>
      <w:pStyle w:val="8"/>
      <w:suff w:val="nothing"/>
      <w:lvlText w:val=""/>
      <w:lvlJc w:val="left"/>
      <w:rPr>
        <w:rFonts w:hint="eastAsia" w:cs="Times New Roman"/>
      </w:rPr>
    </w:lvl>
    <w:lvl w:ilvl="5" w:tentative="0">
      <w:start w:val="1"/>
      <w:numFmt w:val="none"/>
      <w:pStyle w:val="10"/>
      <w:suff w:val="nothing"/>
      <w:lvlText w:val=""/>
      <w:lvlJc w:val="left"/>
      <w:rPr>
        <w:rFonts w:hint="eastAsia" w:cs="Times New Roman"/>
      </w:rPr>
    </w:lvl>
    <w:lvl w:ilvl="6" w:tentative="0">
      <w:start w:val="1"/>
      <w:numFmt w:val="none"/>
      <w:pStyle w:val="11"/>
      <w:suff w:val="nothing"/>
      <w:lvlText w:val=""/>
      <w:lvlJc w:val="left"/>
      <w:rPr>
        <w:rFonts w:hint="eastAsia" w:cs="Times New Roman"/>
      </w:rPr>
    </w:lvl>
    <w:lvl w:ilvl="7" w:tentative="0">
      <w:start w:val="1"/>
      <w:numFmt w:val="none"/>
      <w:pStyle w:val="12"/>
      <w:suff w:val="nothing"/>
      <w:lvlText w:val=""/>
      <w:lvlJc w:val="left"/>
      <w:rPr>
        <w:rFonts w:hint="eastAsia" w:cs="Times New Roman"/>
      </w:rPr>
    </w:lvl>
    <w:lvl w:ilvl="8" w:tentative="0">
      <w:start w:val="1"/>
      <w:numFmt w:val="none"/>
      <w:pStyle w:val="13"/>
      <w:suff w:val="nothing"/>
      <w:lvlText w:val=""/>
      <w:lvlJc w:val="left"/>
      <w:rPr>
        <w:rFonts w:hint="eastAsia" w:cs="Times New Roman"/>
      </w:rPr>
    </w:lvl>
  </w:abstractNum>
  <w:abstractNum w:abstractNumId="7">
    <w:nsid w:val="5698B22F"/>
    <w:multiLevelType w:val="singleLevel"/>
    <w:tmpl w:val="5698B22F"/>
    <w:lvl w:ilvl="0" w:tentative="0">
      <w:start w:val="2"/>
      <w:numFmt w:val="decimal"/>
      <w:suff w:val="nothing"/>
      <w:lvlText w:val="%1、"/>
      <w:lvlJc w:val="left"/>
    </w:lvl>
  </w:abstractNum>
  <w:abstractNum w:abstractNumId="8">
    <w:nsid w:val="597144BB"/>
    <w:multiLevelType w:val="singleLevel"/>
    <w:tmpl w:val="597144BB"/>
    <w:lvl w:ilvl="0" w:tentative="0">
      <w:start w:val="1"/>
      <w:numFmt w:val="chineseCounting"/>
      <w:suff w:val="nothing"/>
      <w:lvlText w:val="（%1）"/>
      <w:lvlJc w:val="left"/>
      <w:rPr>
        <w:rFonts w:cs="Times New Roman"/>
      </w:rPr>
    </w:lvl>
  </w:abstractNum>
  <w:abstractNum w:abstractNumId="9">
    <w:nsid w:val="597153DF"/>
    <w:multiLevelType w:val="singleLevel"/>
    <w:tmpl w:val="597153DF"/>
    <w:lvl w:ilvl="0" w:tentative="0">
      <w:start w:val="1"/>
      <w:numFmt w:val="decimal"/>
      <w:suff w:val="nothing"/>
      <w:lvlText w:val="%1."/>
      <w:lvlJc w:val="left"/>
      <w:rPr>
        <w:rFonts w:cs="Times New Roman"/>
      </w:rPr>
    </w:lvl>
  </w:abstractNum>
  <w:abstractNum w:abstractNumId="10">
    <w:nsid w:val="5D37B0EE"/>
    <w:multiLevelType w:val="singleLevel"/>
    <w:tmpl w:val="5D37B0EE"/>
    <w:lvl w:ilvl="0" w:tentative="0">
      <w:start w:val="2"/>
      <w:numFmt w:val="decimal"/>
      <w:suff w:val="nothing"/>
      <w:lvlText w:val="（%1）"/>
      <w:lvlJc w:val="left"/>
    </w:lvl>
  </w:abstractNum>
  <w:abstractNum w:abstractNumId="11">
    <w:nsid w:val="5D37B11A"/>
    <w:multiLevelType w:val="singleLevel"/>
    <w:tmpl w:val="5D37B11A"/>
    <w:lvl w:ilvl="0" w:tentative="0">
      <w:start w:val="1"/>
      <w:numFmt w:val="decimal"/>
      <w:suff w:val="nothing"/>
      <w:lvlText w:val="（%1）"/>
      <w:lvlJc w:val="left"/>
    </w:lvl>
  </w:abstractNum>
  <w:abstractNum w:abstractNumId="12">
    <w:nsid w:val="5D396A3E"/>
    <w:multiLevelType w:val="singleLevel"/>
    <w:tmpl w:val="5D396A3E"/>
    <w:lvl w:ilvl="0" w:tentative="0">
      <w:start w:val="2"/>
      <w:numFmt w:val="decimal"/>
      <w:suff w:val="nothing"/>
      <w:lvlText w:val="%1."/>
      <w:lvlJc w:val="left"/>
    </w:lvl>
  </w:abstractNum>
  <w:abstractNum w:abstractNumId="13">
    <w:nsid w:val="5DF67CAA"/>
    <w:multiLevelType w:val="multilevel"/>
    <w:tmpl w:val="5DF67CAA"/>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宋体" w:hAnsi="宋体" w:eastAsia="宋体"/>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46260FA"/>
    <w:multiLevelType w:val="multilevel"/>
    <w:tmpl w:val="646260FA"/>
    <w:lvl w:ilvl="0" w:tentative="0">
      <w:start w:val="1"/>
      <w:numFmt w:val="decimal"/>
      <w:pStyle w:val="116"/>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6"/>
  </w:num>
  <w:num w:numId="2">
    <w:abstractNumId w:val="14"/>
  </w:num>
  <w:num w:numId="3">
    <w:abstractNumId w:val="1"/>
  </w:num>
  <w:num w:numId="4">
    <w:abstractNumId w:val="5"/>
  </w:num>
  <w:num w:numId="5">
    <w:abstractNumId w:val="2"/>
  </w:num>
  <w:num w:numId="6">
    <w:abstractNumId w:val="0"/>
  </w:num>
  <w:num w:numId="7">
    <w:abstractNumId w:val="4"/>
  </w:num>
  <w:num w:numId="8">
    <w:abstractNumId w:val="3"/>
  </w:num>
  <w:num w:numId="9">
    <w:abstractNumId w:val="10"/>
  </w:num>
  <w:num w:numId="10">
    <w:abstractNumId w:val="11"/>
  </w:num>
  <w:num w:numId="11">
    <w:abstractNumId w:val="8"/>
  </w:num>
  <w:num w:numId="12">
    <w:abstractNumId w:val="9"/>
  </w:num>
  <w:num w:numId="13">
    <w:abstractNumId w:val="7"/>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ZTdkNmQzN2FhNDA0NWRiZWNkOTc4MGQ3NjViYzgifQ=="/>
  </w:docVars>
  <w:rsids>
    <w:rsidRoot w:val="004C0046"/>
    <w:rsid w:val="0000110E"/>
    <w:rsid w:val="0000174F"/>
    <w:rsid w:val="00003AFC"/>
    <w:rsid w:val="00006524"/>
    <w:rsid w:val="000070C7"/>
    <w:rsid w:val="00010EFF"/>
    <w:rsid w:val="00012CF8"/>
    <w:rsid w:val="0001301C"/>
    <w:rsid w:val="0001314C"/>
    <w:rsid w:val="000146F4"/>
    <w:rsid w:val="00017164"/>
    <w:rsid w:val="000171B4"/>
    <w:rsid w:val="00020834"/>
    <w:rsid w:val="000212C2"/>
    <w:rsid w:val="000229D6"/>
    <w:rsid w:val="000232E2"/>
    <w:rsid w:val="0002333F"/>
    <w:rsid w:val="000251B4"/>
    <w:rsid w:val="0002541A"/>
    <w:rsid w:val="00025557"/>
    <w:rsid w:val="00025D88"/>
    <w:rsid w:val="00030748"/>
    <w:rsid w:val="00031DC1"/>
    <w:rsid w:val="00033B66"/>
    <w:rsid w:val="00035173"/>
    <w:rsid w:val="00040C7D"/>
    <w:rsid w:val="00045932"/>
    <w:rsid w:val="00045F2A"/>
    <w:rsid w:val="0005273C"/>
    <w:rsid w:val="00056B02"/>
    <w:rsid w:val="00063F17"/>
    <w:rsid w:val="00064B14"/>
    <w:rsid w:val="00066649"/>
    <w:rsid w:val="000666B6"/>
    <w:rsid w:val="0006742D"/>
    <w:rsid w:val="0007048B"/>
    <w:rsid w:val="000724C4"/>
    <w:rsid w:val="00073414"/>
    <w:rsid w:val="00074E04"/>
    <w:rsid w:val="00077D72"/>
    <w:rsid w:val="00081334"/>
    <w:rsid w:val="00084C63"/>
    <w:rsid w:val="0008588A"/>
    <w:rsid w:val="00086F98"/>
    <w:rsid w:val="000918C2"/>
    <w:rsid w:val="00091904"/>
    <w:rsid w:val="00092E89"/>
    <w:rsid w:val="00093BE3"/>
    <w:rsid w:val="0009510C"/>
    <w:rsid w:val="00097B4F"/>
    <w:rsid w:val="000A0F1D"/>
    <w:rsid w:val="000A6285"/>
    <w:rsid w:val="000B091D"/>
    <w:rsid w:val="000B281A"/>
    <w:rsid w:val="000B5BC1"/>
    <w:rsid w:val="000C6572"/>
    <w:rsid w:val="000C6B2C"/>
    <w:rsid w:val="000D0462"/>
    <w:rsid w:val="000D17F8"/>
    <w:rsid w:val="000D20A6"/>
    <w:rsid w:val="000D3E5A"/>
    <w:rsid w:val="000D4E5A"/>
    <w:rsid w:val="000E007A"/>
    <w:rsid w:val="000E6E52"/>
    <w:rsid w:val="000F31A1"/>
    <w:rsid w:val="000F38B4"/>
    <w:rsid w:val="000F594D"/>
    <w:rsid w:val="001038EB"/>
    <w:rsid w:val="001066A5"/>
    <w:rsid w:val="001121E8"/>
    <w:rsid w:val="00116F3B"/>
    <w:rsid w:val="00117365"/>
    <w:rsid w:val="00120541"/>
    <w:rsid w:val="00121012"/>
    <w:rsid w:val="0012362E"/>
    <w:rsid w:val="00124C31"/>
    <w:rsid w:val="00124C7F"/>
    <w:rsid w:val="0012540A"/>
    <w:rsid w:val="001254AD"/>
    <w:rsid w:val="001264D7"/>
    <w:rsid w:val="001275E0"/>
    <w:rsid w:val="00134BCE"/>
    <w:rsid w:val="0013553F"/>
    <w:rsid w:val="001370AA"/>
    <w:rsid w:val="00144504"/>
    <w:rsid w:val="00147E27"/>
    <w:rsid w:val="00151DD5"/>
    <w:rsid w:val="00153AD7"/>
    <w:rsid w:val="001546C3"/>
    <w:rsid w:val="00154C10"/>
    <w:rsid w:val="001556FF"/>
    <w:rsid w:val="001657B6"/>
    <w:rsid w:val="001704D9"/>
    <w:rsid w:val="00175865"/>
    <w:rsid w:val="00175BEE"/>
    <w:rsid w:val="00177B7B"/>
    <w:rsid w:val="0018213E"/>
    <w:rsid w:val="00182B6A"/>
    <w:rsid w:val="00182BAD"/>
    <w:rsid w:val="00186C95"/>
    <w:rsid w:val="00191A00"/>
    <w:rsid w:val="00195512"/>
    <w:rsid w:val="001A0040"/>
    <w:rsid w:val="001A291D"/>
    <w:rsid w:val="001A71D1"/>
    <w:rsid w:val="001B6428"/>
    <w:rsid w:val="001C2651"/>
    <w:rsid w:val="001C3201"/>
    <w:rsid w:val="001C433F"/>
    <w:rsid w:val="001C6C51"/>
    <w:rsid w:val="001C786F"/>
    <w:rsid w:val="001C7CF4"/>
    <w:rsid w:val="001D1090"/>
    <w:rsid w:val="001D2048"/>
    <w:rsid w:val="001D209F"/>
    <w:rsid w:val="001D20C2"/>
    <w:rsid w:val="001D247A"/>
    <w:rsid w:val="001D4393"/>
    <w:rsid w:val="001D5247"/>
    <w:rsid w:val="001D66BE"/>
    <w:rsid w:val="001E061B"/>
    <w:rsid w:val="001E16DE"/>
    <w:rsid w:val="001E1823"/>
    <w:rsid w:val="001E2C98"/>
    <w:rsid w:val="001E2FF3"/>
    <w:rsid w:val="001E6E65"/>
    <w:rsid w:val="001F240F"/>
    <w:rsid w:val="001F6184"/>
    <w:rsid w:val="001F6730"/>
    <w:rsid w:val="0020088F"/>
    <w:rsid w:val="00207C94"/>
    <w:rsid w:val="00211CA4"/>
    <w:rsid w:val="00211CEF"/>
    <w:rsid w:val="00212DF5"/>
    <w:rsid w:val="00223F67"/>
    <w:rsid w:val="00224603"/>
    <w:rsid w:val="00227769"/>
    <w:rsid w:val="00227D2C"/>
    <w:rsid w:val="002348BF"/>
    <w:rsid w:val="002349C0"/>
    <w:rsid w:val="002429FE"/>
    <w:rsid w:val="002460BB"/>
    <w:rsid w:val="00247F97"/>
    <w:rsid w:val="00250E8B"/>
    <w:rsid w:val="002517D7"/>
    <w:rsid w:val="00252021"/>
    <w:rsid w:val="00253550"/>
    <w:rsid w:val="00261241"/>
    <w:rsid w:val="00261525"/>
    <w:rsid w:val="002618F7"/>
    <w:rsid w:val="00262186"/>
    <w:rsid w:val="00263B27"/>
    <w:rsid w:val="002656FD"/>
    <w:rsid w:val="002708FF"/>
    <w:rsid w:val="00270E38"/>
    <w:rsid w:val="00271936"/>
    <w:rsid w:val="00276058"/>
    <w:rsid w:val="00285EA7"/>
    <w:rsid w:val="002877D8"/>
    <w:rsid w:val="00290BA4"/>
    <w:rsid w:val="00291DCD"/>
    <w:rsid w:val="00292C90"/>
    <w:rsid w:val="00293327"/>
    <w:rsid w:val="00293534"/>
    <w:rsid w:val="00294447"/>
    <w:rsid w:val="00295B97"/>
    <w:rsid w:val="002970F7"/>
    <w:rsid w:val="002A0D97"/>
    <w:rsid w:val="002A2450"/>
    <w:rsid w:val="002B06DA"/>
    <w:rsid w:val="002B1D60"/>
    <w:rsid w:val="002B3178"/>
    <w:rsid w:val="002B4FB8"/>
    <w:rsid w:val="002B63E0"/>
    <w:rsid w:val="002B70F5"/>
    <w:rsid w:val="002B7B62"/>
    <w:rsid w:val="002C3856"/>
    <w:rsid w:val="002C49F2"/>
    <w:rsid w:val="002C5506"/>
    <w:rsid w:val="002C6F51"/>
    <w:rsid w:val="002C7243"/>
    <w:rsid w:val="002C747D"/>
    <w:rsid w:val="002D05BB"/>
    <w:rsid w:val="002D0890"/>
    <w:rsid w:val="002D2870"/>
    <w:rsid w:val="002D3E50"/>
    <w:rsid w:val="002D4BD9"/>
    <w:rsid w:val="002D4C76"/>
    <w:rsid w:val="002D7055"/>
    <w:rsid w:val="002D7D6C"/>
    <w:rsid w:val="002E11B0"/>
    <w:rsid w:val="002E270F"/>
    <w:rsid w:val="002F0211"/>
    <w:rsid w:val="002F16E7"/>
    <w:rsid w:val="002F265A"/>
    <w:rsid w:val="002F4F17"/>
    <w:rsid w:val="002F54BD"/>
    <w:rsid w:val="003038A6"/>
    <w:rsid w:val="00304B2F"/>
    <w:rsid w:val="00310164"/>
    <w:rsid w:val="00313BD9"/>
    <w:rsid w:val="00313DA4"/>
    <w:rsid w:val="00314941"/>
    <w:rsid w:val="00315B7A"/>
    <w:rsid w:val="00316C93"/>
    <w:rsid w:val="00322352"/>
    <w:rsid w:val="00323E66"/>
    <w:rsid w:val="00325AA9"/>
    <w:rsid w:val="00327338"/>
    <w:rsid w:val="00330DEB"/>
    <w:rsid w:val="0033177E"/>
    <w:rsid w:val="00332AB4"/>
    <w:rsid w:val="003339CF"/>
    <w:rsid w:val="00340758"/>
    <w:rsid w:val="003420FB"/>
    <w:rsid w:val="00342616"/>
    <w:rsid w:val="00342645"/>
    <w:rsid w:val="00343253"/>
    <w:rsid w:val="00344913"/>
    <w:rsid w:val="003450F7"/>
    <w:rsid w:val="003468EF"/>
    <w:rsid w:val="00350196"/>
    <w:rsid w:val="00351109"/>
    <w:rsid w:val="003516F4"/>
    <w:rsid w:val="00352081"/>
    <w:rsid w:val="00352663"/>
    <w:rsid w:val="0035297E"/>
    <w:rsid w:val="0035687F"/>
    <w:rsid w:val="00356DCF"/>
    <w:rsid w:val="00364E3A"/>
    <w:rsid w:val="00367050"/>
    <w:rsid w:val="00367E94"/>
    <w:rsid w:val="0037139C"/>
    <w:rsid w:val="00382D02"/>
    <w:rsid w:val="00385674"/>
    <w:rsid w:val="00385F16"/>
    <w:rsid w:val="00386729"/>
    <w:rsid w:val="003A011B"/>
    <w:rsid w:val="003A2E73"/>
    <w:rsid w:val="003A3F15"/>
    <w:rsid w:val="003A51F2"/>
    <w:rsid w:val="003B0400"/>
    <w:rsid w:val="003B1226"/>
    <w:rsid w:val="003B1BB3"/>
    <w:rsid w:val="003B24CC"/>
    <w:rsid w:val="003B2D4B"/>
    <w:rsid w:val="003B3B6D"/>
    <w:rsid w:val="003B7A6C"/>
    <w:rsid w:val="003C170C"/>
    <w:rsid w:val="003C1871"/>
    <w:rsid w:val="003C59DC"/>
    <w:rsid w:val="003C7185"/>
    <w:rsid w:val="003D2FE2"/>
    <w:rsid w:val="003D454B"/>
    <w:rsid w:val="003D63F6"/>
    <w:rsid w:val="003E1606"/>
    <w:rsid w:val="003E2317"/>
    <w:rsid w:val="003E2676"/>
    <w:rsid w:val="003E4BFD"/>
    <w:rsid w:val="003E5CF9"/>
    <w:rsid w:val="003E5E1E"/>
    <w:rsid w:val="003E6C49"/>
    <w:rsid w:val="003F0D7F"/>
    <w:rsid w:val="003F14EB"/>
    <w:rsid w:val="003F16B1"/>
    <w:rsid w:val="003F449F"/>
    <w:rsid w:val="003F7264"/>
    <w:rsid w:val="004011FF"/>
    <w:rsid w:val="00401770"/>
    <w:rsid w:val="00404FA5"/>
    <w:rsid w:val="0040612E"/>
    <w:rsid w:val="00407A90"/>
    <w:rsid w:val="004149C8"/>
    <w:rsid w:val="0042008F"/>
    <w:rsid w:val="00422660"/>
    <w:rsid w:val="004234D8"/>
    <w:rsid w:val="00423957"/>
    <w:rsid w:val="004256A3"/>
    <w:rsid w:val="00425813"/>
    <w:rsid w:val="0042676A"/>
    <w:rsid w:val="0043294B"/>
    <w:rsid w:val="004348E6"/>
    <w:rsid w:val="004350C7"/>
    <w:rsid w:val="004363D7"/>
    <w:rsid w:val="00437ABB"/>
    <w:rsid w:val="00437BFD"/>
    <w:rsid w:val="004428F7"/>
    <w:rsid w:val="00444BAC"/>
    <w:rsid w:val="00450F9E"/>
    <w:rsid w:val="00452142"/>
    <w:rsid w:val="0045396C"/>
    <w:rsid w:val="00453DA2"/>
    <w:rsid w:val="00453FFC"/>
    <w:rsid w:val="00454F38"/>
    <w:rsid w:val="00455DD4"/>
    <w:rsid w:val="00461E18"/>
    <w:rsid w:val="00462379"/>
    <w:rsid w:val="00463432"/>
    <w:rsid w:val="00463EC6"/>
    <w:rsid w:val="00465642"/>
    <w:rsid w:val="00470906"/>
    <w:rsid w:val="00473D57"/>
    <w:rsid w:val="00474871"/>
    <w:rsid w:val="00482CF5"/>
    <w:rsid w:val="0048311C"/>
    <w:rsid w:val="00483D87"/>
    <w:rsid w:val="00484C01"/>
    <w:rsid w:val="004902BF"/>
    <w:rsid w:val="00490F9E"/>
    <w:rsid w:val="0049197C"/>
    <w:rsid w:val="00492519"/>
    <w:rsid w:val="00494FDF"/>
    <w:rsid w:val="004952C4"/>
    <w:rsid w:val="00497A64"/>
    <w:rsid w:val="004A2820"/>
    <w:rsid w:val="004A2ACF"/>
    <w:rsid w:val="004A2B5B"/>
    <w:rsid w:val="004B3111"/>
    <w:rsid w:val="004B427C"/>
    <w:rsid w:val="004C0046"/>
    <w:rsid w:val="004C3A73"/>
    <w:rsid w:val="004C55B1"/>
    <w:rsid w:val="004C61AD"/>
    <w:rsid w:val="004C64EB"/>
    <w:rsid w:val="004D01CE"/>
    <w:rsid w:val="004D543B"/>
    <w:rsid w:val="004D6D04"/>
    <w:rsid w:val="004E0863"/>
    <w:rsid w:val="004E2649"/>
    <w:rsid w:val="004E436C"/>
    <w:rsid w:val="0050032A"/>
    <w:rsid w:val="0050087B"/>
    <w:rsid w:val="00501E61"/>
    <w:rsid w:val="005032DC"/>
    <w:rsid w:val="00505228"/>
    <w:rsid w:val="00506511"/>
    <w:rsid w:val="00507745"/>
    <w:rsid w:val="005132DD"/>
    <w:rsid w:val="005137AC"/>
    <w:rsid w:val="005159E1"/>
    <w:rsid w:val="00516186"/>
    <w:rsid w:val="0051696B"/>
    <w:rsid w:val="00516B05"/>
    <w:rsid w:val="00517375"/>
    <w:rsid w:val="00520944"/>
    <w:rsid w:val="00520E14"/>
    <w:rsid w:val="00526368"/>
    <w:rsid w:val="00531BEC"/>
    <w:rsid w:val="005343E0"/>
    <w:rsid w:val="0053610D"/>
    <w:rsid w:val="005376DA"/>
    <w:rsid w:val="0054189A"/>
    <w:rsid w:val="00545C82"/>
    <w:rsid w:val="00545EAE"/>
    <w:rsid w:val="005479E4"/>
    <w:rsid w:val="00547EA8"/>
    <w:rsid w:val="005504DE"/>
    <w:rsid w:val="005511F6"/>
    <w:rsid w:val="00554A2A"/>
    <w:rsid w:val="00554E52"/>
    <w:rsid w:val="0055570F"/>
    <w:rsid w:val="00555C08"/>
    <w:rsid w:val="005619CC"/>
    <w:rsid w:val="00564D52"/>
    <w:rsid w:val="005664F5"/>
    <w:rsid w:val="0056738C"/>
    <w:rsid w:val="005754C6"/>
    <w:rsid w:val="00575C18"/>
    <w:rsid w:val="00575E89"/>
    <w:rsid w:val="00576334"/>
    <w:rsid w:val="005764A7"/>
    <w:rsid w:val="00576A7A"/>
    <w:rsid w:val="00577F27"/>
    <w:rsid w:val="005817A5"/>
    <w:rsid w:val="0058209A"/>
    <w:rsid w:val="005838A9"/>
    <w:rsid w:val="005839D6"/>
    <w:rsid w:val="00583E31"/>
    <w:rsid w:val="0058593A"/>
    <w:rsid w:val="005873D3"/>
    <w:rsid w:val="005875DF"/>
    <w:rsid w:val="005879FA"/>
    <w:rsid w:val="005915FD"/>
    <w:rsid w:val="00592BCA"/>
    <w:rsid w:val="00593752"/>
    <w:rsid w:val="00593BC1"/>
    <w:rsid w:val="005A0321"/>
    <w:rsid w:val="005A3D7D"/>
    <w:rsid w:val="005B3CB2"/>
    <w:rsid w:val="005B4449"/>
    <w:rsid w:val="005C0207"/>
    <w:rsid w:val="005C2D33"/>
    <w:rsid w:val="005C4089"/>
    <w:rsid w:val="005C4841"/>
    <w:rsid w:val="005C55E3"/>
    <w:rsid w:val="005C661D"/>
    <w:rsid w:val="005D24C9"/>
    <w:rsid w:val="005D6856"/>
    <w:rsid w:val="005E35CD"/>
    <w:rsid w:val="005E5952"/>
    <w:rsid w:val="005E7E6F"/>
    <w:rsid w:val="005F1F91"/>
    <w:rsid w:val="005F206F"/>
    <w:rsid w:val="005F58D3"/>
    <w:rsid w:val="00601937"/>
    <w:rsid w:val="00604376"/>
    <w:rsid w:val="00606140"/>
    <w:rsid w:val="00622A2B"/>
    <w:rsid w:val="0062333E"/>
    <w:rsid w:val="006268A7"/>
    <w:rsid w:val="00626D7E"/>
    <w:rsid w:val="0062722B"/>
    <w:rsid w:val="00627C25"/>
    <w:rsid w:val="006306B1"/>
    <w:rsid w:val="00631DE7"/>
    <w:rsid w:val="00633B72"/>
    <w:rsid w:val="006371DA"/>
    <w:rsid w:val="006408C9"/>
    <w:rsid w:val="006440EC"/>
    <w:rsid w:val="00657A61"/>
    <w:rsid w:val="0066046F"/>
    <w:rsid w:val="00660E81"/>
    <w:rsid w:val="00661104"/>
    <w:rsid w:val="00662A85"/>
    <w:rsid w:val="00664693"/>
    <w:rsid w:val="006675DF"/>
    <w:rsid w:val="0067022B"/>
    <w:rsid w:val="00673403"/>
    <w:rsid w:val="00677B84"/>
    <w:rsid w:val="006801D8"/>
    <w:rsid w:val="00681C3A"/>
    <w:rsid w:val="00685EA9"/>
    <w:rsid w:val="00690B38"/>
    <w:rsid w:val="00693038"/>
    <w:rsid w:val="00695177"/>
    <w:rsid w:val="006953DF"/>
    <w:rsid w:val="00696C69"/>
    <w:rsid w:val="006A0904"/>
    <w:rsid w:val="006A2A27"/>
    <w:rsid w:val="006A5A7A"/>
    <w:rsid w:val="006A6873"/>
    <w:rsid w:val="006A6F8E"/>
    <w:rsid w:val="006B1464"/>
    <w:rsid w:val="006B2806"/>
    <w:rsid w:val="006B45BE"/>
    <w:rsid w:val="006B79C0"/>
    <w:rsid w:val="006C1E5B"/>
    <w:rsid w:val="006C5788"/>
    <w:rsid w:val="006C6E54"/>
    <w:rsid w:val="006C78B5"/>
    <w:rsid w:val="006D1ECA"/>
    <w:rsid w:val="006E0B6D"/>
    <w:rsid w:val="006E23E2"/>
    <w:rsid w:val="006E275C"/>
    <w:rsid w:val="006E3506"/>
    <w:rsid w:val="006F016D"/>
    <w:rsid w:val="006F1C9E"/>
    <w:rsid w:val="006F1EC7"/>
    <w:rsid w:val="006F2667"/>
    <w:rsid w:val="006F4681"/>
    <w:rsid w:val="006F6F52"/>
    <w:rsid w:val="006F7BFF"/>
    <w:rsid w:val="00703145"/>
    <w:rsid w:val="00703D8F"/>
    <w:rsid w:val="00703DCD"/>
    <w:rsid w:val="00706DD4"/>
    <w:rsid w:val="0070786D"/>
    <w:rsid w:val="00710B5D"/>
    <w:rsid w:val="00710F0A"/>
    <w:rsid w:val="007116B1"/>
    <w:rsid w:val="00713D7B"/>
    <w:rsid w:val="007154FB"/>
    <w:rsid w:val="00716022"/>
    <w:rsid w:val="00716C5F"/>
    <w:rsid w:val="00717C41"/>
    <w:rsid w:val="00731898"/>
    <w:rsid w:val="00732FBF"/>
    <w:rsid w:val="00734FC1"/>
    <w:rsid w:val="00735BAE"/>
    <w:rsid w:val="007365DA"/>
    <w:rsid w:val="00737B73"/>
    <w:rsid w:val="00746582"/>
    <w:rsid w:val="00747BBD"/>
    <w:rsid w:val="0075017C"/>
    <w:rsid w:val="0075307A"/>
    <w:rsid w:val="007546DF"/>
    <w:rsid w:val="007560F9"/>
    <w:rsid w:val="0075673C"/>
    <w:rsid w:val="007609DB"/>
    <w:rsid w:val="00761E0C"/>
    <w:rsid w:val="0076200E"/>
    <w:rsid w:val="007635E0"/>
    <w:rsid w:val="00763AE7"/>
    <w:rsid w:val="00764CBD"/>
    <w:rsid w:val="00765350"/>
    <w:rsid w:val="00766DC3"/>
    <w:rsid w:val="007671AE"/>
    <w:rsid w:val="00770503"/>
    <w:rsid w:val="00774AEE"/>
    <w:rsid w:val="00776641"/>
    <w:rsid w:val="00783A91"/>
    <w:rsid w:val="0078463B"/>
    <w:rsid w:val="00786287"/>
    <w:rsid w:val="007875EC"/>
    <w:rsid w:val="00787B81"/>
    <w:rsid w:val="00787FE2"/>
    <w:rsid w:val="007903B9"/>
    <w:rsid w:val="00793841"/>
    <w:rsid w:val="00793931"/>
    <w:rsid w:val="007A05A4"/>
    <w:rsid w:val="007A068B"/>
    <w:rsid w:val="007A07F9"/>
    <w:rsid w:val="007A1F85"/>
    <w:rsid w:val="007B2BB3"/>
    <w:rsid w:val="007B3BFD"/>
    <w:rsid w:val="007B595C"/>
    <w:rsid w:val="007B65FB"/>
    <w:rsid w:val="007B6B89"/>
    <w:rsid w:val="007B76A8"/>
    <w:rsid w:val="007C17AC"/>
    <w:rsid w:val="007C5783"/>
    <w:rsid w:val="007C744B"/>
    <w:rsid w:val="007D58A5"/>
    <w:rsid w:val="007E003A"/>
    <w:rsid w:val="007E1C7A"/>
    <w:rsid w:val="007E3CF7"/>
    <w:rsid w:val="007F0D42"/>
    <w:rsid w:val="007F13A4"/>
    <w:rsid w:val="007F1C1B"/>
    <w:rsid w:val="007F2561"/>
    <w:rsid w:val="007F5E06"/>
    <w:rsid w:val="007F6492"/>
    <w:rsid w:val="007F693B"/>
    <w:rsid w:val="007F6CF5"/>
    <w:rsid w:val="007F7223"/>
    <w:rsid w:val="008012E7"/>
    <w:rsid w:val="0080215C"/>
    <w:rsid w:val="008065F1"/>
    <w:rsid w:val="00807123"/>
    <w:rsid w:val="008108A3"/>
    <w:rsid w:val="00812EFD"/>
    <w:rsid w:val="00814DC1"/>
    <w:rsid w:val="00815190"/>
    <w:rsid w:val="0082137C"/>
    <w:rsid w:val="0083289B"/>
    <w:rsid w:val="008348FF"/>
    <w:rsid w:val="008373CB"/>
    <w:rsid w:val="00837787"/>
    <w:rsid w:val="008410E2"/>
    <w:rsid w:val="00843793"/>
    <w:rsid w:val="008474B4"/>
    <w:rsid w:val="008502E0"/>
    <w:rsid w:val="00851A01"/>
    <w:rsid w:val="00851CBB"/>
    <w:rsid w:val="00852069"/>
    <w:rsid w:val="008554FE"/>
    <w:rsid w:val="0086319F"/>
    <w:rsid w:val="00864386"/>
    <w:rsid w:val="00870339"/>
    <w:rsid w:val="00875A50"/>
    <w:rsid w:val="00883963"/>
    <w:rsid w:val="00886E50"/>
    <w:rsid w:val="008912D8"/>
    <w:rsid w:val="00892853"/>
    <w:rsid w:val="0089674A"/>
    <w:rsid w:val="008A0DA4"/>
    <w:rsid w:val="008A1B2B"/>
    <w:rsid w:val="008A3B4E"/>
    <w:rsid w:val="008A424A"/>
    <w:rsid w:val="008A78CE"/>
    <w:rsid w:val="008B2DE7"/>
    <w:rsid w:val="008B588C"/>
    <w:rsid w:val="008B74AC"/>
    <w:rsid w:val="008C0059"/>
    <w:rsid w:val="008C02EE"/>
    <w:rsid w:val="008C0815"/>
    <w:rsid w:val="008C5D7C"/>
    <w:rsid w:val="008C7F36"/>
    <w:rsid w:val="008D34E7"/>
    <w:rsid w:val="008D6EBF"/>
    <w:rsid w:val="008D7825"/>
    <w:rsid w:val="008E1739"/>
    <w:rsid w:val="008E190C"/>
    <w:rsid w:val="008E706F"/>
    <w:rsid w:val="008F10A8"/>
    <w:rsid w:val="008F1604"/>
    <w:rsid w:val="008F3628"/>
    <w:rsid w:val="008F4352"/>
    <w:rsid w:val="008F46B5"/>
    <w:rsid w:val="008F5227"/>
    <w:rsid w:val="009004EF"/>
    <w:rsid w:val="0090060E"/>
    <w:rsid w:val="00900CBF"/>
    <w:rsid w:val="00902D0E"/>
    <w:rsid w:val="00903AE6"/>
    <w:rsid w:val="00904D2D"/>
    <w:rsid w:val="0090771D"/>
    <w:rsid w:val="009111BF"/>
    <w:rsid w:val="009112E8"/>
    <w:rsid w:val="00913F1A"/>
    <w:rsid w:val="00915FD8"/>
    <w:rsid w:val="0092353B"/>
    <w:rsid w:val="009304A2"/>
    <w:rsid w:val="00931368"/>
    <w:rsid w:val="0093394A"/>
    <w:rsid w:val="0093394F"/>
    <w:rsid w:val="00935237"/>
    <w:rsid w:val="00937926"/>
    <w:rsid w:val="00940D13"/>
    <w:rsid w:val="009416C4"/>
    <w:rsid w:val="00942178"/>
    <w:rsid w:val="009421F3"/>
    <w:rsid w:val="00944AED"/>
    <w:rsid w:val="00944E64"/>
    <w:rsid w:val="00945692"/>
    <w:rsid w:val="00951BBF"/>
    <w:rsid w:val="0095237F"/>
    <w:rsid w:val="0095563C"/>
    <w:rsid w:val="009651CA"/>
    <w:rsid w:val="00966B3E"/>
    <w:rsid w:val="00966C67"/>
    <w:rsid w:val="0097004F"/>
    <w:rsid w:val="009729A3"/>
    <w:rsid w:val="00977155"/>
    <w:rsid w:val="00977C49"/>
    <w:rsid w:val="0098099C"/>
    <w:rsid w:val="009810B7"/>
    <w:rsid w:val="00981D38"/>
    <w:rsid w:val="009847DE"/>
    <w:rsid w:val="00986CF0"/>
    <w:rsid w:val="00987A74"/>
    <w:rsid w:val="00993018"/>
    <w:rsid w:val="009935FD"/>
    <w:rsid w:val="00996606"/>
    <w:rsid w:val="009A443B"/>
    <w:rsid w:val="009A4DF6"/>
    <w:rsid w:val="009A5E89"/>
    <w:rsid w:val="009B1AD8"/>
    <w:rsid w:val="009B33C9"/>
    <w:rsid w:val="009B575F"/>
    <w:rsid w:val="009B6A62"/>
    <w:rsid w:val="009B6FCD"/>
    <w:rsid w:val="009C0C0E"/>
    <w:rsid w:val="009C16C2"/>
    <w:rsid w:val="009C21C2"/>
    <w:rsid w:val="009C2BDC"/>
    <w:rsid w:val="009C471A"/>
    <w:rsid w:val="009C5058"/>
    <w:rsid w:val="009C5F96"/>
    <w:rsid w:val="009C682B"/>
    <w:rsid w:val="009C6F1A"/>
    <w:rsid w:val="009C7185"/>
    <w:rsid w:val="009C7480"/>
    <w:rsid w:val="009D03BD"/>
    <w:rsid w:val="009D1D2A"/>
    <w:rsid w:val="009D2516"/>
    <w:rsid w:val="009D398A"/>
    <w:rsid w:val="009D7296"/>
    <w:rsid w:val="009E68B8"/>
    <w:rsid w:val="009F2544"/>
    <w:rsid w:val="009F274D"/>
    <w:rsid w:val="009F668C"/>
    <w:rsid w:val="00A006E0"/>
    <w:rsid w:val="00A03FE6"/>
    <w:rsid w:val="00A05ED9"/>
    <w:rsid w:val="00A063E1"/>
    <w:rsid w:val="00A11414"/>
    <w:rsid w:val="00A132BD"/>
    <w:rsid w:val="00A15C59"/>
    <w:rsid w:val="00A165FB"/>
    <w:rsid w:val="00A2070C"/>
    <w:rsid w:val="00A24CEE"/>
    <w:rsid w:val="00A25781"/>
    <w:rsid w:val="00A26CD2"/>
    <w:rsid w:val="00A2737C"/>
    <w:rsid w:val="00A3024D"/>
    <w:rsid w:val="00A31C17"/>
    <w:rsid w:val="00A33AB2"/>
    <w:rsid w:val="00A354D2"/>
    <w:rsid w:val="00A4373C"/>
    <w:rsid w:val="00A51E32"/>
    <w:rsid w:val="00A52E03"/>
    <w:rsid w:val="00A53939"/>
    <w:rsid w:val="00A568EA"/>
    <w:rsid w:val="00A5726D"/>
    <w:rsid w:val="00A60A9E"/>
    <w:rsid w:val="00A612F1"/>
    <w:rsid w:val="00A62862"/>
    <w:rsid w:val="00A63D16"/>
    <w:rsid w:val="00A6487A"/>
    <w:rsid w:val="00A65392"/>
    <w:rsid w:val="00A67F97"/>
    <w:rsid w:val="00A718BA"/>
    <w:rsid w:val="00A72992"/>
    <w:rsid w:val="00A72A30"/>
    <w:rsid w:val="00A73409"/>
    <w:rsid w:val="00A7432F"/>
    <w:rsid w:val="00A75E82"/>
    <w:rsid w:val="00A8160E"/>
    <w:rsid w:val="00A83A43"/>
    <w:rsid w:val="00A84D23"/>
    <w:rsid w:val="00A85B21"/>
    <w:rsid w:val="00A87234"/>
    <w:rsid w:val="00A930D8"/>
    <w:rsid w:val="00A933B1"/>
    <w:rsid w:val="00A96DFF"/>
    <w:rsid w:val="00A979ED"/>
    <w:rsid w:val="00AA0067"/>
    <w:rsid w:val="00AA0399"/>
    <w:rsid w:val="00AA10C0"/>
    <w:rsid w:val="00AA476B"/>
    <w:rsid w:val="00AA6709"/>
    <w:rsid w:val="00AA7610"/>
    <w:rsid w:val="00AC07AE"/>
    <w:rsid w:val="00AC131E"/>
    <w:rsid w:val="00AC13F0"/>
    <w:rsid w:val="00AC2CC0"/>
    <w:rsid w:val="00AC521F"/>
    <w:rsid w:val="00AC5D4E"/>
    <w:rsid w:val="00AD1771"/>
    <w:rsid w:val="00AD36D7"/>
    <w:rsid w:val="00AE0345"/>
    <w:rsid w:val="00AE11C2"/>
    <w:rsid w:val="00AE3FCA"/>
    <w:rsid w:val="00AE4FC6"/>
    <w:rsid w:val="00AF1C35"/>
    <w:rsid w:val="00AF1FE1"/>
    <w:rsid w:val="00AF4E22"/>
    <w:rsid w:val="00B02AA3"/>
    <w:rsid w:val="00B03940"/>
    <w:rsid w:val="00B05BFB"/>
    <w:rsid w:val="00B05C51"/>
    <w:rsid w:val="00B06AFA"/>
    <w:rsid w:val="00B07090"/>
    <w:rsid w:val="00B07BBF"/>
    <w:rsid w:val="00B11CCF"/>
    <w:rsid w:val="00B20095"/>
    <w:rsid w:val="00B24425"/>
    <w:rsid w:val="00B253EE"/>
    <w:rsid w:val="00B30140"/>
    <w:rsid w:val="00B3033B"/>
    <w:rsid w:val="00B314ED"/>
    <w:rsid w:val="00B31A8E"/>
    <w:rsid w:val="00B34D77"/>
    <w:rsid w:val="00B40410"/>
    <w:rsid w:val="00B40740"/>
    <w:rsid w:val="00B40EBC"/>
    <w:rsid w:val="00B50E3C"/>
    <w:rsid w:val="00B53C6E"/>
    <w:rsid w:val="00B54057"/>
    <w:rsid w:val="00B54D64"/>
    <w:rsid w:val="00B54FA9"/>
    <w:rsid w:val="00B57ABE"/>
    <w:rsid w:val="00B621D8"/>
    <w:rsid w:val="00B62D33"/>
    <w:rsid w:val="00B63337"/>
    <w:rsid w:val="00B65390"/>
    <w:rsid w:val="00B71104"/>
    <w:rsid w:val="00B71CF4"/>
    <w:rsid w:val="00B7367F"/>
    <w:rsid w:val="00B74626"/>
    <w:rsid w:val="00B75462"/>
    <w:rsid w:val="00B75693"/>
    <w:rsid w:val="00B763ED"/>
    <w:rsid w:val="00B77828"/>
    <w:rsid w:val="00B80148"/>
    <w:rsid w:val="00B840AD"/>
    <w:rsid w:val="00B85F6D"/>
    <w:rsid w:val="00B86071"/>
    <w:rsid w:val="00B90275"/>
    <w:rsid w:val="00B908BA"/>
    <w:rsid w:val="00B91B1C"/>
    <w:rsid w:val="00B938CA"/>
    <w:rsid w:val="00BA5BC0"/>
    <w:rsid w:val="00BA79B3"/>
    <w:rsid w:val="00BB230D"/>
    <w:rsid w:val="00BB27AD"/>
    <w:rsid w:val="00BB3596"/>
    <w:rsid w:val="00BB7182"/>
    <w:rsid w:val="00BB786F"/>
    <w:rsid w:val="00BC0AEC"/>
    <w:rsid w:val="00BC1B3A"/>
    <w:rsid w:val="00BD18C7"/>
    <w:rsid w:val="00BD1CC1"/>
    <w:rsid w:val="00BD33D9"/>
    <w:rsid w:val="00BD3425"/>
    <w:rsid w:val="00BD49E1"/>
    <w:rsid w:val="00BD4E2A"/>
    <w:rsid w:val="00BD6912"/>
    <w:rsid w:val="00BE28A2"/>
    <w:rsid w:val="00BF2547"/>
    <w:rsid w:val="00BF44E0"/>
    <w:rsid w:val="00BF6787"/>
    <w:rsid w:val="00BF6D6C"/>
    <w:rsid w:val="00BF76AF"/>
    <w:rsid w:val="00C0027E"/>
    <w:rsid w:val="00C037EC"/>
    <w:rsid w:val="00C04F9C"/>
    <w:rsid w:val="00C10591"/>
    <w:rsid w:val="00C119D0"/>
    <w:rsid w:val="00C122B1"/>
    <w:rsid w:val="00C124D7"/>
    <w:rsid w:val="00C12FE4"/>
    <w:rsid w:val="00C141E5"/>
    <w:rsid w:val="00C14E93"/>
    <w:rsid w:val="00C20C8B"/>
    <w:rsid w:val="00C215E4"/>
    <w:rsid w:val="00C22C7D"/>
    <w:rsid w:val="00C23482"/>
    <w:rsid w:val="00C26227"/>
    <w:rsid w:val="00C27B1F"/>
    <w:rsid w:val="00C27C1C"/>
    <w:rsid w:val="00C326B1"/>
    <w:rsid w:val="00C32A28"/>
    <w:rsid w:val="00C3388B"/>
    <w:rsid w:val="00C341FA"/>
    <w:rsid w:val="00C35A11"/>
    <w:rsid w:val="00C3779F"/>
    <w:rsid w:val="00C42BA1"/>
    <w:rsid w:val="00C42C0A"/>
    <w:rsid w:val="00C47A91"/>
    <w:rsid w:val="00C5060F"/>
    <w:rsid w:val="00C5218E"/>
    <w:rsid w:val="00C5264A"/>
    <w:rsid w:val="00C54159"/>
    <w:rsid w:val="00C56B5A"/>
    <w:rsid w:val="00C57F01"/>
    <w:rsid w:val="00C63EDE"/>
    <w:rsid w:val="00C70629"/>
    <w:rsid w:val="00C72349"/>
    <w:rsid w:val="00C75189"/>
    <w:rsid w:val="00C75A99"/>
    <w:rsid w:val="00C7685E"/>
    <w:rsid w:val="00C77A01"/>
    <w:rsid w:val="00C77FDB"/>
    <w:rsid w:val="00C808C5"/>
    <w:rsid w:val="00C85874"/>
    <w:rsid w:val="00C86293"/>
    <w:rsid w:val="00C86E8A"/>
    <w:rsid w:val="00C9030B"/>
    <w:rsid w:val="00C90DCE"/>
    <w:rsid w:val="00CA13EF"/>
    <w:rsid w:val="00CA2DDE"/>
    <w:rsid w:val="00CB0F8D"/>
    <w:rsid w:val="00CB1034"/>
    <w:rsid w:val="00CB50CC"/>
    <w:rsid w:val="00CB619B"/>
    <w:rsid w:val="00CC19E2"/>
    <w:rsid w:val="00CC2AF9"/>
    <w:rsid w:val="00CC5E37"/>
    <w:rsid w:val="00CC65A2"/>
    <w:rsid w:val="00CC7716"/>
    <w:rsid w:val="00CD22FD"/>
    <w:rsid w:val="00CD43ED"/>
    <w:rsid w:val="00CD51B2"/>
    <w:rsid w:val="00CD7FC0"/>
    <w:rsid w:val="00CE1900"/>
    <w:rsid w:val="00CE1A3D"/>
    <w:rsid w:val="00CE29ED"/>
    <w:rsid w:val="00CE333E"/>
    <w:rsid w:val="00CE4CA8"/>
    <w:rsid w:val="00CE5167"/>
    <w:rsid w:val="00CE6262"/>
    <w:rsid w:val="00CF7AD6"/>
    <w:rsid w:val="00CF7BD4"/>
    <w:rsid w:val="00D005A8"/>
    <w:rsid w:val="00D027D0"/>
    <w:rsid w:val="00D0328C"/>
    <w:rsid w:val="00D03544"/>
    <w:rsid w:val="00D03BA7"/>
    <w:rsid w:val="00D05E21"/>
    <w:rsid w:val="00D10319"/>
    <w:rsid w:val="00D1090D"/>
    <w:rsid w:val="00D14732"/>
    <w:rsid w:val="00D23E49"/>
    <w:rsid w:val="00D261BA"/>
    <w:rsid w:val="00D26C11"/>
    <w:rsid w:val="00D2728F"/>
    <w:rsid w:val="00D27B0C"/>
    <w:rsid w:val="00D31426"/>
    <w:rsid w:val="00D31E13"/>
    <w:rsid w:val="00D34F28"/>
    <w:rsid w:val="00D3664F"/>
    <w:rsid w:val="00D36F04"/>
    <w:rsid w:val="00D41EEA"/>
    <w:rsid w:val="00D44155"/>
    <w:rsid w:val="00D452C3"/>
    <w:rsid w:val="00D45F6B"/>
    <w:rsid w:val="00D47BAD"/>
    <w:rsid w:val="00D50539"/>
    <w:rsid w:val="00D50DFF"/>
    <w:rsid w:val="00D50F81"/>
    <w:rsid w:val="00D515FE"/>
    <w:rsid w:val="00D5270A"/>
    <w:rsid w:val="00D55C40"/>
    <w:rsid w:val="00D56EBD"/>
    <w:rsid w:val="00D57999"/>
    <w:rsid w:val="00D60A52"/>
    <w:rsid w:val="00D62203"/>
    <w:rsid w:val="00D6317C"/>
    <w:rsid w:val="00D655D6"/>
    <w:rsid w:val="00D70A0F"/>
    <w:rsid w:val="00D74D30"/>
    <w:rsid w:val="00D761D9"/>
    <w:rsid w:val="00D76455"/>
    <w:rsid w:val="00D77925"/>
    <w:rsid w:val="00D77D89"/>
    <w:rsid w:val="00D81529"/>
    <w:rsid w:val="00D8200E"/>
    <w:rsid w:val="00D84166"/>
    <w:rsid w:val="00D91780"/>
    <w:rsid w:val="00D92C88"/>
    <w:rsid w:val="00D93420"/>
    <w:rsid w:val="00D95027"/>
    <w:rsid w:val="00D97F27"/>
    <w:rsid w:val="00DA0EAF"/>
    <w:rsid w:val="00DA232E"/>
    <w:rsid w:val="00DA25EE"/>
    <w:rsid w:val="00DA3533"/>
    <w:rsid w:val="00DA3976"/>
    <w:rsid w:val="00DA4715"/>
    <w:rsid w:val="00DB266F"/>
    <w:rsid w:val="00DB4213"/>
    <w:rsid w:val="00DB777A"/>
    <w:rsid w:val="00DC065C"/>
    <w:rsid w:val="00DC504F"/>
    <w:rsid w:val="00DC51CF"/>
    <w:rsid w:val="00DC5263"/>
    <w:rsid w:val="00DC527B"/>
    <w:rsid w:val="00DC5E8C"/>
    <w:rsid w:val="00DC69AB"/>
    <w:rsid w:val="00DD1798"/>
    <w:rsid w:val="00DD314F"/>
    <w:rsid w:val="00DD5E65"/>
    <w:rsid w:val="00DD7F21"/>
    <w:rsid w:val="00DE1226"/>
    <w:rsid w:val="00DE13A1"/>
    <w:rsid w:val="00DE1FEF"/>
    <w:rsid w:val="00DE3E00"/>
    <w:rsid w:val="00DE573C"/>
    <w:rsid w:val="00DF0222"/>
    <w:rsid w:val="00DF17BA"/>
    <w:rsid w:val="00DF3209"/>
    <w:rsid w:val="00DF5E6A"/>
    <w:rsid w:val="00E000DE"/>
    <w:rsid w:val="00E01012"/>
    <w:rsid w:val="00E027CB"/>
    <w:rsid w:val="00E02FCC"/>
    <w:rsid w:val="00E04898"/>
    <w:rsid w:val="00E10095"/>
    <w:rsid w:val="00E113C5"/>
    <w:rsid w:val="00E125BB"/>
    <w:rsid w:val="00E13918"/>
    <w:rsid w:val="00E1529B"/>
    <w:rsid w:val="00E21C60"/>
    <w:rsid w:val="00E23A74"/>
    <w:rsid w:val="00E24240"/>
    <w:rsid w:val="00E277FF"/>
    <w:rsid w:val="00E31D4F"/>
    <w:rsid w:val="00E322EF"/>
    <w:rsid w:val="00E32DD8"/>
    <w:rsid w:val="00E366AE"/>
    <w:rsid w:val="00E370DA"/>
    <w:rsid w:val="00E418FC"/>
    <w:rsid w:val="00E45812"/>
    <w:rsid w:val="00E50BCC"/>
    <w:rsid w:val="00E5141F"/>
    <w:rsid w:val="00E53EAB"/>
    <w:rsid w:val="00E56218"/>
    <w:rsid w:val="00E565FB"/>
    <w:rsid w:val="00E614BE"/>
    <w:rsid w:val="00E663D8"/>
    <w:rsid w:val="00E66A5B"/>
    <w:rsid w:val="00E7002F"/>
    <w:rsid w:val="00E7075B"/>
    <w:rsid w:val="00E72482"/>
    <w:rsid w:val="00E764DE"/>
    <w:rsid w:val="00E77937"/>
    <w:rsid w:val="00E81825"/>
    <w:rsid w:val="00E8280C"/>
    <w:rsid w:val="00E82880"/>
    <w:rsid w:val="00E82B91"/>
    <w:rsid w:val="00E83E1E"/>
    <w:rsid w:val="00E86A68"/>
    <w:rsid w:val="00E87B48"/>
    <w:rsid w:val="00E9261E"/>
    <w:rsid w:val="00EA0995"/>
    <w:rsid w:val="00EA2C1F"/>
    <w:rsid w:val="00EA324D"/>
    <w:rsid w:val="00EA36DB"/>
    <w:rsid w:val="00EA5542"/>
    <w:rsid w:val="00EA5AA6"/>
    <w:rsid w:val="00EA6073"/>
    <w:rsid w:val="00EB1CA6"/>
    <w:rsid w:val="00EC30A0"/>
    <w:rsid w:val="00EC3631"/>
    <w:rsid w:val="00EC5EE2"/>
    <w:rsid w:val="00EC7BAF"/>
    <w:rsid w:val="00ED0E46"/>
    <w:rsid w:val="00ED2522"/>
    <w:rsid w:val="00ED2D16"/>
    <w:rsid w:val="00ED39F5"/>
    <w:rsid w:val="00ED3C46"/>
    <w:rsid w:val="00EE0FAD"/>
    <w:rsid w:val="00EE1533"/>
    <w:rsid w:val="00EE2196"/>
    <w:rsid w:val="00EE223B"/>
    <w:rsid w:val="00EE2468"/>
    <w:rsid w:val="00EF006C"/>
    <w:rsid w:val="00EF1DD3"/>
    <w:rsid w:val="00EF3220"/>
    <w:rsid w:val="00EF4148"/>
    <w:rsid w:val="00EF42C4"/>
    <w:rsid w:val="00EF4EEA"/>
    <w:rsid w:val="00EF79FA"/>
    <w:rsid w:val="00F00402"/>
    <w:rsid w:val="00F022FB"/>
    <w:rsid w:val="00F029B6"/>
    <w:rsid w:val="00F02C74"/>
    <w:rsid w:val="00F0436E"/>
    <w:rsid w:val="00F0507C"/>
    <w:rsid w:val="00F06E9C"/>
    <w:rsid w:val="00F15E88"/>
    <w:rsid w:val="00F168F7"/>
    <w:rsid w:val="00F1699C"/>
    <w:rsid w:val="00F175F2"/>
    <w:rsid w:val="00F2097D"/>
    <w:rsid w:val="00F2176C"/>
    <w:rsid w:val="00F254FA"/>
    <w:rsid w:val="00F25910"/>
    <w:rsid w:val="00F31DA9"/>
    <w:rsid w:val="00F32828"/>
    <w:rsid w:val="00F331DE"/>
    <w:rsid w:val="00F33A2C"/>
    <w:rsid w:val="00F44AED"/>
    <w:rsid w:val="00F47005"/>
    <w:rsid w:val="00F56E4F"/>
    <w:rsid w:val="00F57C39"/>
    <w:rsid w:val="00F606EB"/>
    <w:rsid w:val="00F61B64"/>
    <w:rsid w:val="00F64F91"/>
    <w:rsid w:val="00F65059"/>
    <w:rsid w:val="00F702B9"/>
    <w:rsid w:val="00F709B2"/>
    <w:rsid w:val="00F72FFA"/>
    <w:rsid w:val="00F755AE"/>
    <w:rsid w:val="00F81CCE"/>
    <w:rsid w:val="00F8720A"/>
    <w:rsid w:val="00F917C6"/>
    <w:rsid w:val="00F947EC"/>
    <w:rsid w:val="00F97BB6"/>
    <w:rsid w:val="00FA2315"/>
    <w:rsid w:val="00FA408F"/>
    <w:rsid w:val="00FA485D"/>
    <w:rsid w:val="00FA691C"/>
    <w:rsid w:val="00FB6960"/>
    <w:rsid w:val="00FB6CAA"/>
    <w:rsid w:val="00FC1855"/>
    <w:rsid w:val="00FD0EB9"/>
    <w:rsid w:val="00FD1986"/>
    <w:rsid w:val="00FD4178"/>
    <w:rsid w:val="00FD68F0"/>
    <w:rsid w:val="00FE11CB"/>
    <w:rsid w:val="00FE1E79"/>
    <w:rsid w:val="00FE28C1"/>
    <w:rsid w:val="00FE3816"/>
    <w:rsid w:val="00FE3B9F"/>
    <w:rsid w:val="00FE4935"/>
    <w:rsid w:val="00FE5BFC"/>
    <w:rsid w:val="00FE7B94"/>
    <w:rsid w:val="00FF052C"/>
    <w:rsid w:val="00FF0999"/>
    <w:rsid w:val="00FF0BEA"/>
    <w:rsid w:val="00FF22C7"/>
    <w:rsid w:val="00FF70DA"/>
    <w:rsid w:val="010569BB"/>
    <w:rsid w:val="010A1F4C"/>
    <w:rsid w:val="010B0C4B"/>
    <w:rsid w:val="013E6315"/>
    <w:rsid w:val="015023F9"/>
    <w:rsid w:val="015C173E"/>
    <w:rsid w:val="016C5E04"/>
    <w:rsid w:val="017E17F0"/>
    <w:rsid w:val="01B736C8"/>
    <w:rsid w:val="0229463B"/>
    <w:rsid w:val="02630CDE"/>
    <w:rsid w:val="02822343"/>
    <w:rsid w:val="02B3341F"/>
    <w:rsid w:val="02E23BC8"/>
    <w:rsid w:val="03000EC5"/>
    <w:rsid w:val="030C4F43"/>
    <w:rsid w:val="0354262D"/>
    <w:rsid w:val="03E87BFE"/>
    <w:rsid w:val="03FA3940"/>
    <w:rsid w:val="04090FF7"/>
    <w:rsid w:val="040B7F2A"/>
    <w:rsid w:val="041C38FE"/>
    <w:rsid w:val="04210E57"/>
    <w:rsid w:val="0432155D"/>
    <w:rsid w:val="043F1E29"/>
    <w:rsid w:val="0455634E"/>
    <w:rsid w:val="046A156F"/>
    <w:rsid w:val="04734710"/>
    <w:rsid w:val="048969AC"/>
    <w:rsid w:val="048D02DF"/>
    <w:rsid w:val="04955C99"/>
    <w:rsid w:val="04C61A87"/>
    <w:rsid w:val="04E328A4"/>
    <w:rsid w:val="04F433AE"/>
    <w:rsid w:val="050C6C6D"/>
    <w:rsid w:val="0529077D"/>
    <w:rsid w:val="05421F8F"/>
    <w:rsid w:val="05502003"/>
    <w:rsid w:val="05531171"/>
    <w:rsid w:val="057A1048"/>
    <w:rsid w:val="057D3D9F"/>
    <w:rsid w:val="05CA2F54"/>
    <w:rsid w:val="05D03011"/>
    <w:rsid w:val="05E169BB"/>
    <w:rsid w:val="05E73156"/>
    <w:rsid w:val="05EE73FC"/>
    <w:rsid w:val="06030253"/>
    <w:rsid w:val="061A2EB2"/>
    <w:rsid w:val="06207230"/>
    <w:rsid w:val="06387ED0"/>
    <w:rsid w:val="06443FD4"/>
    <w:rsid w:val="069B55F0"/>
    <w:rsid w:val="06EA12FE"/>
    <w:rsid w:val="06EE40E1"/>
    <w:rsid w:val="06FE004D"/>
    <w:rsid w:val="072E4FD5"/>
    <w:rsid w:val="073C561A"/>
    <w:rsid w:val="07A0708E"/>
    <w:rsid w:val="07A61D38"/>
    <w:rsid w:val="07B513B4"/>
    <w:rsid w:val="07DF75F9"/>
    <w:rsid w:val="08423EEC"/>
    <w:rsid w:val="08861DD4"/>
    <w:rsid w:val="089A4126"/>
    <w:rsid w:val="08CA4A8D"/>
    <w:rsid w:val="08D7162B"/>
    <w:rsid w:val="08E5237C"/>
    <w:rsid w:val="0918467C"/>
    <w:rsid w:val="0939037F"/>
    <w:rsid w:val="094C249F"/>
    <w:rsid w:val="099846A1"/>
    <w:rsid w:val="09C23CC8"/>
    <w:rsid w:val="0A5851F5"/>
    <w:rsid w:val="0A6F4B9C"/>
    <w:rsid w:val="0A8345E2"/>
    <w:rsid w:val="0ABA510B"/>
    <w:rsid w:val="0B131391"/>
    <w:rsid w:val="0B21230C"/>
    <w:rsid w:val="0B6B0A3F"/>
    <w:rsid w:val="0B9F112D"/>
    <w:rsid w:val="0C8F2066"/>
    <w:rsid w:val="0C9B47C1"/>
    <w:rsid w:val="0C9D43F5"/>
    <w:rsid w:val="0CCC3724"/>
    <w:rsid w:val="0CD26C5C"/>
    <w:rsid w:val="0CF660EB"/>
    <w:rsid w:val="0D4F1804"/>
    <w:rsid w:val="0D94138E"/>
    <w:rsid w:val="0E1C7CB7"/>
    <w:rsid w:val="0E7D062A"/>
    <w:rsid w:val="0EB60F21"/>
    <w:rsid w:val="0EC57CAB"/>
    <w:rsid w:val="0ED655DA"/>
    <w:rsid w:val="0EF06BD4"/>
    <w:rsid w:val="0F1B00A9"/>
    <w:rsid w:val="0F8D158D"/>
    <w:rsid w:val="0FAE1272"/>
    <w:rsid w:val="102514EA"/>
    <w:rsid w:val="10406DB9"/>
    <w:rsid w:val="105D3F4F"/>
    <w:rsid w:val="106812D6"/>
    <w:rsid w:val="107F2ACF"/>
    <w:rsid w:val="10967970"/>
    <w:rsid w:val="10A00E68"/>
    <w:rsid w:val="10C77BF9"/>
    <w:rsid w:val="10E910FF"/>
    <w:rsid w:val="10E92C5D"/>
    <w:rsid w:val="11152B7A"/>
    <w:rsid w:val="113A4388"/>
    <w:rsid w:val="11742E88"/>
    <w:rsid w:val="117909A7"/>
    <w:rsid w:val="11A6155A"/>
    <w:rsid w:val="11B063D2"/>
    <w:rsid w:val="11E13E3B"/>
    <w:rsid w:val="11EA508F"/>
    <w:rsid w:val="11F77BC3"/>
    <w:rsid w:val="120159AB"/>
    <w:rsid w:val="12160F3D"/>
    <w:rsid w:val="1262647E"/>
    <w:rsid w:val="12FE19BD"/>
    <w:rsid w:val="13361806"/>
    <w:rsid w:val="13824BF1"/>
    <w:rsid w:val="139847F7"/>
    <w:rsid w:val="13B643E7"/>
    <w:rsid w:val="13E61E6D"/>
    <w:rsid w:val="141A13C8"/>
    <w:rsid w:val="146106E4"/>
    <w:rsid w:val="14620C24"/>
    <w:rsid w:val="149437A1"/>
    <w:rsid w:val="14B42BAB"/>
    <w:rsid w:val="15123795"/>
    <w:rsid w:val="15307D39"/>
    <w:rsid w:val="154B2FF0"/>
    <w:rsid w:val="15592DBC"/>
    <w:rsid w:val="15874A29"/>
    <w:rsid w:val="158C4B73"/>
    <w:rsid w:val="15CE09DA"/>
    <w:rsid w:val="15DE208F"/>
    <w:rsid w:val="15EC7F71"/>
    <w:rsid w:val="16203BE1"/>
    <w:rsid w:val="165669B3"/>
    <w:rsid w:val="166204CB"/>
    <w:rsid w:val="16A03AB8"/>
    <w:rsid w:val="171D77FD"/>
    <w:rsid w:val="1740046A"/>
    <w:rsid w:val="17531424"/>
    <w:rsid w:val="1774363E"/>
    <w:rsid w:val="17774C92"/>
    <w:rsid w:val="178E2A40"/>
    <w:rsid w:val="181C2546"/>
    <w:rsid w:val="185F2583"/>
    <w:rsid w:val="186D509E"/>
    <w:rsid w:val="18882964"/>
    <w:rsid w:val="190F47FA"/>
    <w:rsid w:val="190F735C"/>
    <w:rsid w:val="19263F6D"/>
    <w:rsid w:val="192C6416"/>
    <w:rsid w:val="193109EF"/>
    <w:rsid w:val="194C13CB"/>
    <w:rsid w:val="1953335C"/>
    <w:rsid w:val="19657B9D"/>
    <w:rsid w:val="197D4F41"/>
    <w:rsid w:val="197F5415"/>
    <w:rsid w:val="19A927B2"/>
    <w:rsid w:val="19DC5426"/>
    <w:rsid w:val="1A0673EB"/>
    <w:rsid w:val="1A127E72"/>
    <w:rsid w:val="1A1E0A47"/>
    <w:rsid w:val="1A5D3FE9"/>
    <w:rsid w:val="1A7D39F8"/>
    <w:rsid w:val="1AAA30D3"/>
    <w:rsid w:val="1AE11AE9"/>
    <w:rsid w:val="1AFA1BD0"/>
    <w:rsid w:val="1B2F2270"/>
    <w:rsid w:val="1B47424D"/>
    <w:rsid w:val="1B7D054C"/>
    <w:rsid w:val="1BC35C92"/>
    <w:rsid w:val="1BC6422D"/>
    <w:rsid w:val="1BD403F9"/>
    <w:rsid w:val="1C021363"/>
    <w:rsid w:val="1C09223B"/>
    <w:rsid w:val="1C1A5A7F"/>
    <w:rsid w:val="1C335AE4"/>
    <w:rsid w:val="1C572C61"/>
    <w:rsid w:val="1C795524"/>
    <w:rsid w:val="1C7B2FFA"/>
    <w:rsid w:val="1CE930AB"/>
    <w:rsid w:val="1D0A50D2"/>
    <w:rsid w:val="1D1E7FF4"/>
    <w:rsid w:val="1D492719"/>
    <w:rsid w:val="1DD138F7"/>
    <w:rsid w:val="1DF83A9E"/>
    <w:rsid w:val="1DFC29CA"/>
    <w:rsid w:val="1DFD72AD"/>
    <w:rsid w:val="1E117898"/>
    <w:rsid w:val="1E242306"/>
    <w:rsid w:val="1E3D2B1B"/>
    <w:rsid w:val="1E464AE3"/>
    <w:rsid w:val="1E4D3157"/>
    <w:rsid w:val="1E555935"/>
    <w:rsid w:val="1E9736C0"/>
    <w:rsid w:val="1EA31643"/>
    <w:rsid w:val="1EAA2032"/>
    <w:rsid w:val="1EBE4A62"/>
    <w:rsid w:val="1ECB51D1"/>
    <w:rsid w:val="1EFA743D"/>
    <w:rsid w:val="1F3600A9"/>
    <w:rsid w:val="1F3F03F8"/>
    <w:rsid w:val="1F7F7C9A"/>
    <w:rsid w:val="1F90634B"/>
    <w:rsid w:val="1FA0500F"/>
    <w:rsid w:val="1FC64262"/>
    <w:rsid w:val="1FE3205D"/>
    <w:rsid w:val="20157048"/>
    <w:rsid w:val="202C6988"/>
    <w:rsid w:val="202F15DE"/>
    <w:rsid w:val="20476946"/>
    <w:rsid w:val="204847A4"/>
    <w:rsid w:val="20732A73"/>
    <w:rsid w:val="20845364"/>
    <w:rsid w:val="20D37767"/>
    <w:rsid w:val="20DB2D12"/>
    <w:rsid w:val="20EB6858"/>
    <w:rsid w:val="20F23998"/>
    <w:rsid w:val="20F81F21"/>
    <w:rsid w:val="20F879A7"/>
    <w:rsid w:val="20FD470C"/>
    <w:rsid w:val="2105070B"/>
    <w:rsid w:val="215879B2"/>
    <w:rsid w:val="215B013B"/>
    <w:rsid w:val="216045F1"/>
    <w:rsid w:val="21711EAF"/>
    <w:rsid w:val="219452AD"/>
    <w:rsid w:val="21CE6705"/>
    <w:rsid w:val="21DE311D"/>
    <w:rsid w:val="224317C8"/>
    <w:rsid w:val="22456F79"/>
    <w:rsid w:val="226520FC"/>
    <w:rsid w:val="22AB5E57"/>
    <w:rsid w:val="22BA607D"/>
    <w:rsid w:val="22C30A9A"/>
    <w:rsid w:val="22CC3B32"/>
    <w:rsid w:val="22F918A6"/>
    <w:rsid w:val="22F94B6E"/>
    <w:rsid w:val="22FF72E7"/>
    <w:rsid w:val="23041584"/>
    <w:rsid w:val="23225D32"/>
    <w:rsid w:val="23734ACB"/>
    <w:rsid w:val="238779E9"/>
    <w:rsid w:val="238D709D"/>
    <w:rsid w:val="23A55120"/>
    <w:rsid w:val="23A741BC"/>
    <w:rsid w:val="23CC6720"/>
    <w:rsid w:val="23E34BAD"/>
    <w:rsid w:val="2406098A"/>
    <w:rsid w:val="2446522A"/>
    <w:rsid w:val="244A3266"/>
    <w:rsid w:val="24601069"/>
    <w:rsid w:val="255D4593"/>
    <w:rsid w:val="257D077E"/>
    <w:rsid w:val="2580479F"/>
    <w:rsid w:val="259D55BE"/>
    <w:rsid w:val="259D7CFF"/>
    <w:rsid w:val="25A81F25"/>
    <w:rsid w:val="25E04867"/>
    <w:rsid w:val="25F566D8"/>
    <w:rsid w:val="261B2964"/>
    <w:rsid w:val="264205A5"/>
    <w:rsid w:val="26467B59"/>
    <w:rsid w:val="264C0523"/>
    <w:rsid w:val="264D7CB1"/>
    <w:rsid w:val="26622CC9"/>
    <w:rsid w:val="26844DC1"/>
    <w:rsid w:val="268E4067"/>
    <w:rsid w:val="26BC4D93"/>
    <w:rsid w:val="271C3F2B"/>
    <w:rsid w:val="27570432"/>
    <w:rsid w:val="275F6D92"/>
    <w:rsid w:val="27835DE9"/>
    <w:rsid w:val="27B60CB4"/>
    <w:rsid w:val="27CB58D2"/>
    <w:rsid w:val="2806644D"/>
    <w:rsid w:val="2814283A"/>
    <w:rsid w:val="28430B3A"/>
    <w:rsid w:val="28584E15"/>
    <w:rsid w:val="285A3D21"/>
    <w:rsid w:val="286D14F1"/>
    <w:rsid w:val="289578ED"/>
    <w:rsid w:val="28B908FA"/>
    <w:rsid w:val="28CC1256"/>
    <w:rsid w:val="28D76911"/>
    <w:rsid w:val="29082BE0"/>
    <w:rsid w:val="29103263"/>
    <w:rsid w:val="293A669F"/>
    <w:rsid w:val="293B749C"/>
    <w:rsid w:val="294F73CB"/>
    <w:rsid w:val="29542427"/>
    <w:rsid w:val="29577B9A"/>
    <w:rsid w:val="29AE6167"/>
    <w:rsid w:val="29E07474"/>
    <w:rsid w:val="2A1A37BC"/>
    <w:rsid w:val="2A1A7927"/>
    <w:rsid w:val="2A503CAA"/>
    <w:rsid w:val="2A704106"/>
    <w:rsid w:val="2A910554"/>
    <w:rsid w:val="2A9960EE"/>
    <w:rsid w:val="2AAA6CF5"/>
    <w:rsid w:val="2ABC77C7"/>
    <w:rsid w:val="2AF433CE"/>
    <w:rsid w:val="2B07640C"/>
    <w:rsid w:val="2B3448FE"/>
    <w:rsid w:val="2B447133"/>
    <w:rsid w:val="2B6A6B46"/>
    <w:rsid w:val="2B92772B"/>
    <w:rsid w:val="2B986AD3"/>
    <w:rsid w:val="2BAE1BD6"/>
    <w:rsid w:val="2BD829A2"/>
    <w:rsid w:val="2BF46AAA"/>
    <w:rsid w:val="2BFC6581"/>
    <w:rsid w:val="2C02750D"/>
    <w:rsid w:val="2C03216A"/>
    <w:rsid w:val="2C1231CE"/>
    <w:rsid w:val="2C3E6AD7"/>
    <w:rsid w:val="2C646989"/>
    <w:rsid w:val="2CA91A51"/>
    <w:rsid w:val="2D33458D"/>
    <w:rsid w:val="2D565DD4"/>
    <w:rsid w:val="2D7B562D"/>
    <w:rsid w:val="2D7E7417"/>
    <w:rsid w:val="2D901E6E"/>
    <w:rsid w:val="2D921931"/>
    <w:rsid w:val="2DBD5435"/>
    <w:rsid w:val="2E037200"/>
    <w:rsid w:val="2E5E6C91"/>
    <w:rsid w:val="2E70178A"/>
    <w:rsid w:val="2E946E12"/>
    <w:rsid w:val="2EC62067"/>
    <w:rsid w:val="2EDE6C1C"/>
    <w:rsid w:val="2EE759DE"/>
    <w:rsid w:val="2EFC15F4"/>
    <w:rsid w:val="2F2510C1"/>
    <w:rsid w:val="2F763F0B"/>
    <w:rsid w:val="2F834A59"/>
    <w:rsid w:val="2FB732A9"/>
    <w:rsid w:val="2FD96D0A"/>
    <w:rsid w:val="2FFE75B0"/>
    <w:rsid w:val="3010255D"/>
    <w:rsid w:val="3030118C"/>
    <w:rsid w:val="303B2A7C"/>
    <w:rsid w:val="304629C1"/>
    <w:rsid w:val="305F1531"/>
    <w:rsid w:val="309349BA"/>
    <w:rsid w:val="30BB5E87"/>
    <w:rsid w:val="30BD45A0"/>
    <w:rsid w:val="30EB20A0"/>
    <w:rsid w:val="313308E4"/>
    <w:rsid w:val="31877B20"/>
    <w:rsid w:val="31934A64"/>
    <w:rsid w:val="31A60996"/>
    <w:rsid w:val="31D03AFA"/>
    <w:rsid w:val="31DE6C81"/>
    <w:rsid w:val="31E72A81"/>
    <w:rsid w:val="32573BF4"/>
    <w:rsid w:val="32602AE7"/>
    <w:rsid w:val="326817B1"/>
    <w:rsid w:val="32794C7B"/>
    <w:rsid w:val="328D59C7"/>
    <w:rsid w:val="328F5F13"/>
    <w:rsid w:val="32BE45C6"/>
    <w:rsid w:val="32ED1E5B"/>
    <w:rsid w:val="33237A4A"/>
    <w:rsid w:val="335D2DC8"/>
    <w:rsid w:val="33704543"/>
    <w:rsid w:val="339C1B36"/>
    <w:rsid w:val="33A54FE3"/>
    <w:rsid w:val="33AD5473"/>
    <w:rsid w:val="33B20535"/>
    <w:rsid w:val="33E06F2D"/>
    <w:rsid w:val="33E573CD"/>
    <w:rsid w:val="34603532"/>
    <w:rsid w:val="348960F1"/>
    <w:rsid w:val="34A44514"/>
    <w:rsid w:val="34D46C0B"/>
    <w:rsid w:val="350568F8"/>
    <w:rsid w:val="35141EC3"/>
    <w:rsid w:val="353912F7"/>
    <w:rsid w:val="353F1074"/>
    <w:rsid w:val="35674024"/>
    <w:rsid w:val="356E52E6"/>
    <w:rsid w:val="35846AFD"/>
    <w:rsid w:val="35A97418"/>
    <w:rsid w:val="35BC71D1"/>
    <w:rsid w:val="35BD45AD"/>
    <w:rsid w:val="35D801B5"/>
    <w:rsid w:val="35E749AF"/>
    <w:rsid w:val="35FA23B8"/>
    <w:rsid w:val="36006827"/>
    <w:rsid w:val="3605505A"/>
    <w:rsid w:val="3622132B"/>
    <w:rsid w:val="36734500"/>
    <w:rsid w:val="36816EC0"/>
    <w:rsid w:val="36C233F3"/>
    <w:rsid w:val="36CF347B"/>
    <w:rsid w:val="36DA3B00"/>
    <w:rsid w:val="37381826"/>
    <w:rsid w:val="373D2069"/>
    <w:rsid w:val="3741425D"/>
    <w:rsid w:val="37496807"/>
    <w:rsid w:val="3751506D"/>
    <w:rsid w:val="37586FFB"/>
    <w:rsid w:val="37753D3E"/>
    <w:rsid w:val="37C94A95"/>
    <w:rsid w:val="37F04BAD"/>
    <w:rsid w:val="3864096E"/>
    <w:rsid w:val="3884360E"/>
    <w:rsid w:val="38B7551A"/>
    <w:rsid w:val="38DE34AE"/>
    <w:rsid w:val="39123DC4"/>
    <w:rsid w:val="39204943"/>
    <w:rsid w:val="394805AA"/>
    <w:rsid w:val="395B4168"/>
    <w:rsid w:val="395E064D"/>
    <w:rsid w:val="396A3878"/>
    <w:rsid w:val="39730340"/>
    <w:rsid w:val="39FE2EB9"/>
    <w:rsid w:val="3A1A496A"/>
    <w:rsid w:val="3A265E2B"/>
    <w:rsid w:val="3A5A173C"/>
    <w:rsid w:val="3A616B00"/>
    <w:rsid w:val="3A79619C"/>
    <w:rsid w:val="3A854797"/>
    <w:rsid w:val="3A89704B"/>
    <w:rsid w:val="3AA339E4"/>
    <w:rsid w:val="3ABA78E3"/>
    <w:rsid w:val="3ACE50DE"/>
    <w:rsid w:val="3AEA7227"/>
    <w:rsid w:val="3AF960D0"/>
    <w:rsid w:val="3B124BE4"/>
    <w:rsid w:val="3B290F75"/>
    <w:rsid w:val="3B436ABE"/>
    <w:rsid w:val="3B500081"/>
    <w:rsid w:val="3B6F120F"/>
    <w:rsid w:val="3BB11E05"/>
    <w:rsid w:val="3BB617AD"/>
    <w:rsid w:val="3BE77818"/>
    <w:rsid w:val="3BF81CCC"/>
    <w:rsid w:val="3C5A46FB"/>
    <w:rsid w:val="3C8511FB"/>
    <w:rsid w:val="3C877A45"/>
    <w:rsid w:val="3C95497F"/>
    <w:rsid w:val="3CA74D8E"/>
    <w:rsid w:val="3CD131B4"/>
    <w:rsid w:val="3D093727"/>
    <w:rsid w:val="3D110C01"/>
    <w:rsid w:val="3D17581D"/>
    <w:rsid w:val="3D1E7CFD"/>
    <w:rsid w:val="3D6B3307"/>
    <w:rsid w:val="3D994080"/>
    <w:rsid w:val="3DAF5E45"/>
    <w:rsid w:val="3DC87766"/>
    <w:rsid w:val="3DFD2599"/>
    <w:rsid w:val="3E164BB3"/>
    <w:rsid w:val="3E5619B1"/>
    <w:rsid w:val="3E7F3BF5"/>
    <w:rsid w:val="3E93358C"/>
    <w:rsid w:val="3E9363BD"/>
    <w:rsid w:val="3EA365C7"/>
    <w:rsid w:val="3EB93C8F"/>
    <w:rsid w:val="3EF8614A"/>
    <w:rsid w:val="3F0A07EF"/>
    <w:rsid w:val="3F2A3D37"/>
    <w:rsid w:val="3F327AAA"/>
    <w:rsid w:val="3F786C1A"/>
    <w:rsid w:val="3FC47576"/>
    <w:rsid w:val="40647516"/>
    <w:rsid w:val="40711049"/>
    <w:rsid w:val="40907A7F"/>
    <w:rsid w:val="40B165B8"/>
    <w:rsid w:val="40CA5983"/>
    <w:rsid w:val="40F458B2"/>
    <w:rsid w:val="4187365B"/>
    <w:rsid w:val="41B525D9"/>
    <w:rsid w:val="41E14722"/>
    <w:rsid w:val="41ED2267"/>
    <w:rsid w:val="422745CD"/>
    <w:rsid w:val="42335A4D"/>
    <w:rsid w:val="42343098"/>
    <w:rsid w:val="423642F8"/>
    <w:rsid w:val="4243633A"/>
    <w:rsid w:val="42AF6075"/>
    <w:rsid w:val="42EE2468"/>
    <w:rsid w:val="439F3C0F"/>
    <w:rsid w:val="43AD411F"/>
    <w:rsid w:val="43B6738B"/>
    <w:rsid w:val="43C82E95"/>
    <w:rsid w:val="43DE3A1B"/>
    <w:rsid w:val="43F57FBC"/>
    <w:rsid w:val="440169C5"/>
    <w:rsid w:val="44112439"/>
    <w:rsid w:val="44150A88"/>
    <w:rsid w:val="444014B0"/>
    <w:rsid w:val="444E5DF2"/>
    <w:rsid w:val="4454372A"/>
    <w:rsid w:val="445A11E0"/>
    <w:rsid w:val="447C19F6"/>
    <w:rsid w:val="44821C14"/>
    <w:rsid w:val="449A71BD"/>
    <w:rsid w:val="44B7644A"/>
    <w:rsid w:val="44BA5A93"/>
    <w:rsid w:val="44E34449"/>
    <w:rsid w:val="44EF5BD8"/>
    <w:rsid w:val="458812F0"/>
    <w:rsid w:val="45BF2468"/>
    <w:rsid w:val="45D05E56"/>
    <w:rsid w:val="45F32A21"/>
    <w:rsid w:val="45FA1ADD"/>
    <w:rsid w:val="45FB623D"/>
    <w:rsid w:val="45FD48E8"/>
    <w:rsid w:val="460D4F2F"/>
    <w:rsid w:val="463F1984"/>
    <w:rsid w:val="46497064"/>
    <w:rsid w:val="464D3D1D"/>
    <w:rsid w:val="465367C1"/>
    <w:rsid w:val="46A3243A"/>
    <w:rsid w:val="46B4673D"/>
    <w:rsid w:val="47175A15"/>
    <w:rsid w:val="47243FC5"/>
    <w:rsid w:val="47253149"/>
    <w:rsid w:val="4730365B"/>
    <w:rsid w:val="474D71AF"/>
    <w:rsid w:val="476D4C31"/>
    <w:rsid w:val="47AE4F54"/>
    <w:rsid w:val="47B26ED6"/>
    <w:rsid w:val="47BB60B6"/>
    <w:rsid w:val="47BC2642"/>
    <w:rsid w:val="47BC742D"/>
    <w:rsid w:val="47C62C08"/>
    <w:rsid w:val="48036276"/>
    <w:rsid w:val="480456A3"/>
    <w:rsid w:val="48172FD6"/>
    <w:rsid w:val="483D0196"/>
    <w:rsid w:val="48683357"/>
    <w:rsid w:val="48A40B02"/>
    <w:rsid w:val="48C84676"/>
    <w:rsid w:val="48E7297F"/>
    <w:rsid w:val="497E03C5"/>
    <w:rsid w:val="498A0626"/>
    <w:rsid w:val="49B31F01"/>
    <w:rsid w:val="49E31E44"/>
    <w:rsid w:val="4A0F0210"/>
    <w:rsid w:val="4A397245"/>
    <w:rsid w:val="4A486590"/>
    <w:rsid w:val="4A4878B8"/>
    <w:rsid w:val="4ADB40F6"/>
    <w:rsid w:val="4AF4620A"/>
    <w:rsid w:val="4B5762F9"/>
    <w:rsid w:val="4B9D30D2"/>
    <w:rsid w:val="4BD269E1"/>
    <w:rsid w:val="4BDE621A"/>
    <w:rsid w:val="4C2D3B2D"/>
    <w:rsid w:val="4C364127"/>
    <w:rsid w:val="4C3659AB"/>
    <w:rsid w:val="4C424147"/>
    <w:rsid w:val="4C5503AE"/>
    <w:rsid w:val="4C7A100E"/>
    <w:rsid w:val="4CCC607D"/>
    <w:rsid w:val="4CDA4FAD"/>
    <w:rsid w:val="4D553FEE"/>
    <w:rsid w:val="4D6A2D6C"/>
    <w:rsid w:val="4D6A5E00"/>
    <w:rsid w:val="4D89219C"/>
    <w:rsid w:val="4DB72D50"/>
    <w:rsid w:val="4DCC6E16"/>
    <w:rsid w:val="4DD74B10"/>
    <w:rsid w:val="4E165AE9"/>
    <w:rsid w:val="4E2E30F5"/>
    <w:rsid w:val="4E3D19A5"/>
    <w:rsid w:val="4E5A55CF"/>
    <w:rsid w:val="4EAB29AA"/>
    <w:rsid w:val="4EB52644"/>
    <w:rsid w:val="4ECA3258"/>
    <w:rsid w:val="4EDC375D"/>
    <w:rsid w:val="4EFE7148"/>
    <w:rsid w:val="4EFF2D4F"/>
    <w:rsid w:val="4F2F1E5B"/>
    <w:rsid w:val="4F3E1F4F"/>
    <w:rsid w:val="4F5C2495"/>
    <w:rsid w:val="4F7D3E51"/>
    <w:rsid w:val="4F9F1839"/>
    <w:rsid w:val="4FB27E15"/>
    <w:rsid w:val="4FD652CE"/>
    <w:rsid w:val="4FF43893"/>
    <w:rsid w:val="500B732D"/>
    <w:rsid w:val="502129E2"/>
    <w:rsid w:val="50223154"/>
    <w:rsid w:val="504F196C"/>
    <w:rsid w:val="50596376"/>
    <w:rsid w:val="507B246E"/>
    <w:rsid w:val="509348E1"/>
    <w:rsid w:val="50A40F99"/>
    <w:rsid w:val="50A803F8"/>
    <w:rsid w:val="50A82C45"/>
    <w:rsid w:val="50DD6C8F"/>
    <w:rsid w:val="50E96CBA"/>
    <w:rsid w:val="50FB1F4F"/>
    <w:rsid w:val="51344B61"/>
    <w:rsid w:val="517F7EE5"/>
    <w:rsid w:val="51A61200"/>
    <w:rsid w:val="51EC597F"/>
    <w:rsid w:val="521C1CC0"/>
    <w:rsid w:val="52D6501B"/>
    <w:rsid w:val="52E0487E"/>
    <w:rsid w:val="531063B5"/>
    <w:rsid w:val="532C07E1"/>
    <w:rsid w:val="53302AF6"/>
    <w:rsid w:val="535D572A"/>
    <w:rsid w:val="53745C19"/>
    <w:rsid w:val="539E755C"/>
    <w:rsid w:val="53BA2E6A"/>
    <w:rsid w:val="53D02E0F"/>
    <w:rsid w:val="53DA347D"/>
    <w:rsid w:val="546C1BFB"/>
    <w:rsid w:val="54C700CA"/>
    <w:rsid w:val="54D04E35"/>
    <w:rsid w:val="54FD3D83"/>
    <w:rsid w:val="552365FF"/>
    <w:rsid w:val="5534209F"/>
    <w:rsid w:val="55E31F00"/>
    <w:rsid w:val="55F62113"/>
    <w:rsid w:val="560631C4"/>
    <w:rsid w:val="568A7075"/>
    <w:rsid w:val="56C65CB6"/>
    <w:rsid w:val="57225D4B"/>
    <w:rsid w:val="573452B1"/>
    <w:rsid w:val="574958D0"/>
    <w:rsid w:val="57922F81"/>
    <w:rsid w:val="57995E54"/>
    <w:rsid w:val="579B4280"/>
    <w:rsid w:val="57B72B55"/>
    <w:rsid w:val="57D24655"/>
    <w:rsid w:val="57F411BD"/>
    <w:rsid w:val="57FC62E0"/>
    <w:rsid w:val="581C7EED"/>
    <w:rsid w:val="583958F2"/>
    <w:rsid w:val="586E091C"/>
    <w:rsid w:val="59114FB0"/>
    <w:rsid w:val="591C7057"/>
    <w:rsid w:val="59360236"/>
    <w:rsid w:val="595A2FC0"/>
    <w:rsid w:val="596F208A"/>
    <w:rsid w:val="598B5285"/>
    <w:rsid w:val="598E154A"/>
    <w:rsid w:val="59943D33"/>
    <w:rsid w:val="59C854EC"/>
    <w:rsid w:val="59D7C726"/>
    <w:rsid w:val="5A8D4E35"/>
    <w:rsid w:val="5A956261"/>
    <w:rsid w:val="5AA61FA3"/>
    <w:rsid w:val="5AD05E8B"/>
    <w:rsid w:val="5AF735BF"/>
    <w:rsid w:val="5B0A6F22"/>
    <w:rsid w:val="5B415905"/>
    <w:rsid w:val="5B4F1D6A"/>
    <w:rsid w:val="5B7538FB"/>
    <w:rsid w:val="5BB26D42"/>
    <w:rsid w:val="5BC87481"/>
    <w:rsid w:val="5BEC1896"/>
    <w:rsid w:val="5BF66A44"/>
    <w:rsid w:val="5BFD22F8"/>
    <w:rsid w:val="5C294FCF"/>
    <w:rsid w:val="5C395B2C"/>
    <w:rsid w:val="5C402BE9"/>
    <w:rsid w:val="5C4A7423"/>
    <w:rsid w:val="5C634D28"/>
    <w:rsid w:val="5CAF701E"/>
    <w:rsid w:val="5CCA7DBE"/>
    <w:rsid w:val="5CCF4EF4"/>
    <w:rsid w:val="5CE1461C"/>
    <w:rsid w:val="5CF3129B"/>
    <w:rsid w:val="5D3C5AFE"/>
    <w:rsid w:val="5D557FDC"/>
    <w:rsid w:val="5D5977A1"/>
    <w:rsid w:val="5D6529E0"/>
    <w:rsid w:val="5D683DFA"/>
    <w:rsid w:val="5D730D16"/>
    <w:rsid w:val="5D813956"/>
    <w:rsid w:val="5DE96DC5"/>
    <w:rsid w:val="5E621116"/>
    <w:rsid w:val="5F007AE8"/>
    <w:rsid w:val="5F173BBA"/>
    <w:rsid w:val="5F1773E2"/>
    <w:rsid w:val="5F3920C4"/>
    <w:rsid w:val="5F653C76"/>
    <w:rsid w:val="5F6851C9"/>
    <w:rsid w:val="5F9456CE"/>
    <w:rsid w:val="5FC3C743"/>
    <w:rsid w:val="5FCF0F2C"/>
    <w:rsid w:val="60007A33"/>
    <w:rsid w:val="604F1F4F"/>
    <w:rsid w:val="60891FB8"/>
    <w:rsid w:val="615312BD"/>
    <w:rsid w:val="61B52ACC"/>
    <w:rsid w:val="61B76481"/>
    <w:rsid w:val="61BE4CA2"/>
    <w:rsid w:val="61C144EF"/>
    <w:rsid w:val="61EF5CA7"/>
    <w:rsid w:val="62653DEC"/>
    <w:rsid w:val="62825E67"/>
    <w:rsid w:val="62B0066E"/>
    <w:rsid w:val="62D306D8"/>
    <w:rsid w:val="62D56227"/>
    <w:rsid w:val="62FE61CF"/>
    <w:rsid w:val="63130619"/>
    <w:rsid w:val="631702EA"/>
    <w:rsid w:val="6335263F"/>
    <w:rsid w:val="63444C19"/>
    <w:rsid w:val="637B556B"/>
    <w:rsid w:val="638062A7"/>
    <w:rsid w:val="638918DC"/>
    <w:rsid w:val="63E044E9"/>
    <w:rsid w:val="63F60F04"/>
    <w:rsid w:val="64010CCA"/>
    <w:rsid w:val="64221BDE"/>
    <w:rsid w:val="644C4E9D"/>
    <w:rsid w:val="6462226B"/>
    <w:rsid w:val="646A06AA"/>
    <w:rsid w:val="64CD3904"/>
    <w:rsid w:val="64F24E7B"/>
    <w:rsid w:val="64FB0BC1"/>
    <w:rsid w:val="6518294D"/>
    <w:rsid w:val="65523E64"/>
    <w:rsid w:val="655F2037"/>
    <w:rsid w:val="65B44CBB"/>
    <w:rsid w:val="65F47E30"/>
    <w:rsid w:val="65F64077"/>
    <w:rsid w:val="66737E1F"/>
    <w:rsid w:val="667F6BCD"/>
    <w:rsid w:val="66B3365D"/>
    <w:rsid w:val="66BC3533"/>
    <w:rsid w:val="66F00BB6"/>
    <w:rsid w:val="67325EBC"/>
    <w:rsid w:val="67C049A5"/>
    <w:rsid w:val="67D17024"/>
    <w:rsid w:val="67D43165"/>
    <w:rsid w:val="68496F76"/>
    <w:rsid w:val="685A0A24"/>
    <w:rsid w:val="687B19CC"/>
    <w:rsid w:val="687D28DF"/>
    <w:rsid w:val="68BB7BDF"/>
    <w:rsid w:val="68F26131"/>
    <w:rsid w:val="68F5471F"/>
    <w:rsid w:val="68FD6A66"/>
    <w:rsid w:val="691A577F"/>
    <w:rsid w:val="691D1340"/>
    <w:rsid w:val="69411461"/>
    <w:rsid w:val="69BE1314"/>
    <w:rsid w:val="69DC1DC9"/>
    <w:rsid w:val="6A9702D7"/>
    <w:rsid w:val="6A9B7548"/>
    <w:rsid w:val="6AB14A9B"/>
    <w:rsid w:val="6AB51ACE"/>
    <w:rsid w:val="6AD30431"/>
    <w:rsid w:val="6B6A40C3"/>
    <w:rsid w:val="6BCB4D1F"/>
    <w:rsid w:val="6BD66471"/>
    <w:rsid w:val="6C0A4FCF"/>
    <w:rsid w:val="6C5D4B33"/>
    <w:rsid w:val="6C6C7812"/>
    <w:rsid w:val="6C7F71A8"/>
    <w:rsid w:val="6C877103"/>
    <w:rsid w:val="6C8B2535"/>
    <w:rsid w:val="6CDA3E13"/>
    <w:rsid w:val="6CDF0B8D"/>
    <w:rsid w:val="6CED5998"/>
    <w:rsid w:val="6D36017B"/>
    <w:rsid w:val="6D41185B"/>
    <w:rsid w:val="6D68189B"/>
    <w:rsid w:val="6D8E3583"/>
    <w:rsid w:val="6DA13354"/>
    <w:rsid w:val="6DA51A62"/>
    <w:rsid w:val="6DEA61DD"/>
    <w:rsid w:val="6E162A0B"/>
    <w:rsid w:val="6E4303E2"/>
    <w:rsid w:val="6E736C5C"/>
    <w:rsid w:val="6E881964"/>
    <w:rsid w:val="6EAE534A"/>
    <w:rsid w:val="6EB62E3F"/>
    <w:rsid w:val="6EC96633"/>
    <w:rsid w:val="6ED56BB3"/>
    <w:rsid w:val="6EE21B09"/>
    <w:rsid w:val="6EFD27BB"/>
    <w:rsid w:val="6F195A84"/>
    <w:rsid w:val="6F394FE0"/>
    <w:rsid w:val="6F3C490B"/>
    <w:rsid w:val="6F7525DE"/>
    <w:rsid w:val="6F870C7F"/>
    <w:rsid w:val="6F896B35"/>
    <w:rsid w:val="6FB3662F"/>
    <w:rsid w:val="6FB76DCC"/>
    <w:rsid w:val="6FB87C60"/>
    <w:rsid w:val="6FEF1E82"/>
    <w:rsid w:val="703363CD"/>
    <w:rsid w:val="70403614"/>
    <w:rsid w:val="704D7B07"/>
    <w:rsid w:val="70526707"/>
    <w:rsid w:val="705951D4"/>
    <w:rsid w:val="70776132"/>
    <w:rsid w:val="70A42B50"/>
    <w:rsid w:val="70F459E5"/>
    <w:rsid w:val="70FBBB05"/>
    <w:rsid w:val="714C2760"/>
    <w:rsid w:val="715958C0"/>
    <w:rsid w:val="71724850"/>
    <w:rsid w:val="71BB5C01"/>
    <w:rsid w:val="726A4157"/>
    <w:rsid w:val="729C536F"/>
    <w:rsid w:val="72C866AD"/>
    <w:rsid w:val="72EB360C"/>
    <w:rsid w:val="72F91E5A"/>
    <w:rsid w:val="73595CC9"/>
    <w:rsid w:val="7363013D"/>
    <w:rsid w:val="73B20F58"/>
    <w:rsid w:val="73DE5ABA"/>
    <w:rsid w:val="74106464"/>
    <w:rsid w:val="74192080"/>
    <w:rsid w:val="74406A5A"/>
    <w:rsid w:val="74714932"/>
    <w:rsid w:val="74A40EEA"/>
    <w:rsid w:val="74F14D0B"/>
    <w:rsid w:val="75011284"/>
    <w:rsid w:val="75290D35"/>
    <w:rsid w:val="75494AA0"/>
    <w:rsid w:val="756D0357"/>
    <w:rsid w:val="7599654B"/>
    <w:rsid w:val="75FB31DA"/>
    <w:rsid w:val="75FE6CDF"/>
    <w:rsid w:val="761D03F8"/>
    <w:rsid w:val="7634639E"/>
    <w:rsid w:val="76473B19"/>
    <w:rsid w:val="764876C0"/>
    <w:rsid w:val="765416D8"/>
    <w:rsid w:val="76AA575B"/>
    <w:rsid w:val="76D11D7C"/>
    <w:rsid w:val="76D64744"/>
    <w:rsid w:val="76D9747D"/>
    <w:rsid w:val="76EA0DDC"/>
    <w:rsid w:val="77217962"/>
    <w:rsid w:val="77584D6C"/>
    <w:rsid w:val="77AB7836"/>
    <w:rsid w:val="77D634A0"/>
    <w:rsid w:val="77E16D9D"/>
    <w:rsid w:val="77E92A1D"/>
    <w:rsid w:val="77FC1EE6"/>
    <w:rsid w:val="780E0F3C"/>
    <w:rsid w:val="782C2983"/>
    <w:rsid w:val="78586D3E"/>
    <w:rsid w:val="78AF6E5B"/>
    <w:rsid w:val="78DC0B38"/>
    <w:rsid w:val="78FD74A2"/>
    <w:rsid w:val="790204EF"/>
    <w:rsid w:val="792E313C"/>
    <w:rsid w:val="794E17C5"/>
    <w:rsid w:val="7957435D"/>
    <w:rsid w:val="796D1D4C"/>
    <w:rsid w:val="79835D9E"/>
    <w:rsid w:val="798B7D1C"/>
    <w:rsid w:val="79E71455"/>
    <w:rsid w:val="79FC4D4A"/>
    <w:rsid w:val="7A1F47E9"/>
    <w:rsid w:val="7A3E1C4A"/>
    <w:rsid w:val="7A77700D"/>
    <w:rsid w:val="7A9A6CED"/>
    <w:rsid w:val="7ABB17FC"/>
    <w:rsid w:val="7AD01CCF"/>
    <w:rsid w:val="7AD524BF"/>
    <w:rsid w:val="7AD87CFE"/>
    <w:rsid w:val="7AEA3D5B"/>
    <w:rsid w:val="7B0963C4"/>
    <w:rsid w:val="7B113552"/>
    <w:rsid w:val="7B1C6F24"/>
    <w:rsid w:val="7B251147"/>
    <w:rsid w:val="7B7037E0"/>
    <w:rsid w:val="7B851048"/>
    <w:rsid w:val="7B8F51A7"/>
    <w:rsid w:val="7BA57AFA"/>
    <w:rsid w:val="7BBB514D"/>
    <w:rsid w:val="7BC93B70"/>
    <w:rsid w:val="7BCA50EF"/>
    <w:rsid w:val="7BE6146F"/>
    <w:rsid w:val="7C446C14"/>
    <w:rsid w:val="7C8B686F"/>
    <w:rsid w:val="7CBE453C"/>
    <w:rsid w:val="7D16790E"/>
    <w:rsid w:val="7D556F17"/>
    <w:rsid w:val="7D6D3F6C"/>
    <w:rsid w:val="7D72325C"/>
    <w:rsid w:val="7D747504"/>
    <w:rsid w:val="7D7E4268"/>
    <w:rsid w:val="7D855D15"/>
    <w:rsid w:val="7D902533"/>
    <w:rsid w:val="7DA911B8"/>
    <w:rsid w:val="7DC15A9A"/>
    <w:rsid w:val="7DC918E1"/>
    <w:rsid w:val="7E1562E9"/>
    <w:rsid w:val="7E1D5ED5"/>
    <w:rsid w:val="7E4F4AE8"/>
    <w:rsid w:val="7E630D65"/>
    <w:rsid w:val="7E6B3C71"/>
    <w:rsid w:val="7E6C0EF6"/>
    <w:rsid w:val="7E7FD518"/>
    <w:rsid w:val="7E994945"/>
    <w:rsid w:val="7ED56104"/>
    <w:rsid w:val="7EDA1BAE"/>
    <w:rsid w:val="7F545965"/>
    <w:rsid w:val="7F9271A9"/>
    <w:rsid w:val="7FAB7FC1"/>
    <w:rsid w:val="7FEB592A"/>
    <w:rsid w:val="BEE6DE1F"/>
    <w:rsid w:val="D6BF0D8D"/>
    <w:rsid w:val="DABD1741"/>
    <w:rsid w:val="DB2B8EE7"/>
    <w:rsid w:val="E87FAF80"/>
    <w:rsid w:val="F9C83F38"/>
    <w:rsid w:val="FB7F37D4"/>
    <w:rsid w:val="FEDF175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nhideWhenUsed="0" w:uiPriority="0" w:semiHidden="0" w:name="index 9" w:locked="1"/>
    <w:lsdException w:qFormat="1" w:unhideWhenUsed="0" w:uiPriority="99" w:semiHidden="0" w:name="toc 1"/>
    <w:lsdException w:qFormat="1" w:unhideWhenUsed="0" w:uiPriority="99"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iPriority="99" w:semiHidden="0"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qFormat="1" w:uiPriority="99" w:semiHidden="0" w:name="Block Text" w:locked="1"/>
    <w:lsdException w:qFormat="1" w:unhideWhenUsed="0" w:uiPriority="99" w:semiHidden="0" w:name="Hyperlink"/>
    <w:lsdException w:qFormat="1" w:unhideWhenUsed="0" w:uiPriority="99" w:semiHidden="0"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99"/>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58"/>
    <w:qFormat/>
    <w:uiPriority w:val="99"/>
    <w:pPr>
      <w:keepNext/>
      <w:keepLines/>
      <w:numPr>
        <w:ilvl w:val="1"/>
        <w:numId w:val="1"/>
      </w:numPr>
      <w:adjustRightInd w:val="0"/>
      <w:spacing w:before="240" w:line="360" w:lineRule="auto"/>
      <w:jc w:val="center"/>
      <w:textAlignment w:val="baseline"/>
      <w:outlineLvl w:val="1"/>
    </w:pPr>
    <w:rPr>
      <w:rFonts w:ascii="Arial" w:hAnsi="Arial" w:eastAsia="黑体"/>
      <w:b/>
      <w:kern w:val="0"/>
      <w:sz w:val="30"/>
      <w:szCs w:val="20"/>
    </w:rPr>
  </w:style>
  <w:style w:type="paragraph" w:styleId="6">
    <w:name w:val="heading 3"/>
    <w:basedOn w:val="1"/>
    <w:next w:val="1"/>
    <w:link w:val="59"/>
    <w:qFormat/>
    <w:uiPriority w:val="99"/>
    <w:pPr>
      <w:keepNext/>
      <w:keepLines/>
      <w:numPr>
        <w:ilvl w:val="2"/>
        <w:numId w:val="1"/>
      </w:numPr>
      <w:adjustRightInd w:val="0"/>
      <w:spacing w:before="240" w:after="120" w:line="300" w:lineRule="auto"/>
      <w:jc w:val="left"/>
      <w:textAlignment w:val="baseline"/>
      <w:outlineLvl w:val="2"/>
    </w:pPr>
    <w:rPr>
      <w:b/>
      <w:kern w:val="0"/>
      <w:szCs w:val="20"/>
    </w:rPr>
  </w:style>
  <w:style w:type="paragraph" w:styleId="7">
    <w:name w:val="heading 4"/>
    <w:basedOn w:val="1"/>
    <w:next w:val="1"/>
    <w:link w:val="60"/>
    <w:qFormat/>
    <w:uiPriority w:val="99"/>
    <w:pPr>
      <w:keepNext/>
      <w:keepLines/>
      <w:numPr>
        <w:ilvl w:val="3"/>
        <w:numId w:val="1"/>
      </w:numPr>
      <w:spacing w:before="280" w:after="290" w:line="376" w:lineRule="auto"/>
      <w:outlineLvl w:val="3"/>
    </w:pPr>
    <w:rPr>
      <w:rFonts w:ascii="Cambria" w:hAnsi="Cambria"/>
      <w:b/>
      <w:bCs/>
      <w:sz w:val="28"/>
      <w:szCs w:val="28"/>
    </w:rPr>
  </w:style>
  <w:style w:type="paragraph" w:styleId="8">
    <w:name w:val="heading 5"/>
    <w:basedOn w:val="1"/>
    <w:next w:val="9"/>
    <w:link w:val="61"/>
    <w:qFormat/>
    <w:uiPriority w:val="99"/>
    <w:pPr>
      <w:keepNext/>
      <w:keepLines/>
      <w:numPr>
        <w:ilvl w:val="4"/>
        <w:numId w:val="1"/>
      </w:numPr>
      <w:spacing w:before="280" w:after="290" w:line="376" w:lineRule="auto"/>
      <w:outlineLvl w:val="4"/>
    </w:pPr>
    <w:rPr>
      <w:b/>
      <w:bCs/>
      <w:sz w:val="28"/>
      <w:szCs w:val="28"/>
    </w:rPr>
  </w:style>
  <w:style w:type="paragraph" w:styleId="10">
    <w:name w:val="heading 6"/>
    <w:basedOn w:val="1"/>
    <w:next w:val="9"/>
    <w:link w:val="62"/>
    <w:qFormat/>
    <w:uiPriority w:val="99"/>
    <w:pPr>
      <w:keepNext/>
      <w:keepLines/>
      <w:numPr>
        <w:ilvl w:val="5"/>
        <w:numId w:val="1"/>
      </w:numPr>
      <w:spacing w:before="240" w:after="64" w:line="320" w:lineRule="auto"/>
      <w:outlineLvl w:val="5"/>
    </w:pPr>
    <w:rPr>
      <w:rFonts w:ascii="Cambria" w:hAnsi="Cambria"/>
      <w:b/>
      <w:bCs/>
      <w:sz w:val="24"/>
    </w:rPr>
  </w:style>
  <w:style w:type="paragraph" w:styleId="11">
    <w:name w:val="heading 7"/>
    <w:basedOn w:val="1"/>
    <w:next w:val="9"/>
    <w:link w:val="63"/>
    <w:qFormat/>
    <w:uiPriority w:val="99"/>
    <w:pPr>
      <w:keepNext/>
      <w:keepLines/>
      <w:numPr>
        <w:ilvl w:val="6"/>
        <w:numId w:val="1"/>
      </w:numPr>
      <w:spacing w:before="240" w:after="64" w:line="320" w:lineRule="auto"/>
      <w:outlineLvl w:val="6"/>
    </w:pPr>
    <w:rPr>
      <w:b/>
      <w:bCs/>
      <w:sz w:val="24"/>
    </w:rPr>
  </w:style>
  <w:style w:type="paragraph" w:styleId="12">
    <w:name w:val="heading 8"/>
    <w:basedOn w:val="1"/>
    <w:next w:val="9"/>
    <w:link w:val="64"/>
    <w:qFormat/>
    <w:uiPriority w:val="99"/>
    <w:pPr>
      <w:keepNext/>
      <w:keepLines/>
      <w:numPr>
        <w:ilvl w:val="7"/>
        <w:numId w:val="1"/>
      </w:numPr>
      <w:spacing w:before="240" w:after="64" w:line="320" w:lineRule="auto"/>
      <w:outlineLvl w:val="7"/>
    </w:pPr>
    <w:rPr>
      <w:rFonts w:ascii="Cambria" w:hAnsi="Cambria"/>
      <w:sz w:val="24"/>
    </w:rPr>
  </w:style>
  <w:style w:type="paragraph" w:styleId="13">
    <w:name w:val="heading 9"/>
    <w:basedOn w:val="1"/>
    <w:next w:val="9"/>
    <w:link w:val="65"/>
    <w:qFormat/>
    <w:uiPriority w:val="99"/>
    <w:pPr>
      <w:keepNext/>
      <w:keepLines/>
      <w:numPr>
        <w:ilvl w:val="8"/>
        <w:numId w:val="1"/>
      </w:numPr>
      <w:spacing w:before="240" w:after="64" w:line="320" w:lineRule="auto"/>
      <w:outlineLvl w:val="8"/>
    </w:pPr>
    <w:rPr>
      <w:rFonts w:ascii="Cambria" w:hAnsi="Cambria"/>
      <w:szCs w:val="21"/>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13"/>
    <w:qFormat/>
    <w:uiPriority w:val="99"/>
    <w:pPr>
      <w:spacing w:line="480" w:lineRule="auto"/>
    </w:pPr>
    <w:rPr>
      <w:sz w:val="24"/>
      <w:szCs w:val="20"/>
    </w:rPr>
  </w:style>
  <w:style w:type="paragraph" w:styleId="3">
    <w:name w:val="Date"/>
    <w:basedOn w:val="1"/>
    <w:next w:val="1"/>
    <w:link w:val="79"/>
    <w:qFormat/>
    <w:uiPriority w:val="99"/>
    <w:rPr>
      <w:sz w:val="24"/>
      <w:szCs w:val="20"/>
    </w:rPr>
  </w:style>
  <w:style w:type="paragraph" w:styleId="9">
    <w:name w:val="Normal Indent"/>
    <w:basedOn w:val="1"/>
    <w:next w:val="1"/>
    <w:link w:val="97"/>
    <w:qFormat/>
    <w:uiPriority w:val="99"/>
    <w:pPr>
      <w:ind w:firstLine="420" w:firstLineChars="200"/>
    </w:pPr>
    <w:rPr>
      <w:sz w:val="24"/>
      <w:szCs w:val="20"/>
    </w:rPr>
  </w:style>
  <w:style w:type="paragraph" w:styleId="14">
    <w:name w:val="toc 7"/>
    <w:basedOn w:val="1"/>
    <w:next w:val="1"/>
    <w:unhideWhenUsed/>
    <w:qFormat/>
    <w:locked/>
    <w:uiPriority w:val="39"/>
    <w:pPr>
      <w:ind w:left="2520" w:leftChars="1200"/>
    </w:pPr>
  </w:style>
  <w:style w:type="paragraph" w:styleId="15">
    <w:name w:val="annotation text"/>
    <w:basedOn w:val="1"/>
    <w:link w:val="101"/>
    <w:qFormat/>
    <w:uiPriority w:val="99"/>
    <w:pPr>
      <w:jc w:val="left"/>
    </w:pPr>
    <w:rPr>
      <w:sz w:val="24"/>
      <w:szCs w:val="20"/>
    </w:rPr>
  </w:style>
  <w:style w:type="paragraph" w:styleId="16">
    <w:name w:val="Body Text Indent"/>
    <w:basedOn w:val="1"/>
    <w:link w:val="109"/>
    <w:qFormat/>
    <w:uiPriority w:val="99"/>
    <w:pPr>
      <w:spacing w:line="400" w:lineRule="exact"/>
      <w:ind w:left="360"/>
    </w:pPr>
    <w:rPr>
      <w:rFonts w:ascii="华文中宋" w:hAnsi="华文中宋" w:eastAsia="华文中宋"/>
      <w:color w:val="FF6600"/>
      <w:sz w:val="24"/>
      <w:szCs w:val="20"/>
    </w:rPr>
  </w:style>
  <w:style w:type="paragraph" w:styleId="17">
    <w:name w:val="Block Text"/>
    <w:basedOn w:val="1"/>
    <w:unhideWhenUsed/>
    <w:qFormat/>
    <w:locked/>
    <w:uiPriority w:val="99"/>
    <w:pPr>
      <w:spacing w:after="120"/>
      <w:ind w:left="1440" w:leftChars="700" w:right="700" w:rightChars="700"/>
    </w:pPr>
  </w:style>
  <w:style w:type="paragraph" w:styleId="18">
    <w:name w:val="toc 5"/>
    <w:basedOn w:val="1"/>
    <w:next w:val="1"/>
    <w:unhideWhenUsed/>
    <w:qFormat/>
    <w:locked/>
    <w:uiPriority w:val="39"/>
    <w:pPr>
      <w:ind w:left="1680" w:leftChars="800"/>
    </w:pPr>
  </w:style>
  <w:style w:type="paragraph" w:styleId="19">
    <w:name w:val="toc 3"/>
    <w:basedOn w:val="1"/>
    <w:next w:val="1"/>
    <w:unhideWhenUsed/>
    <w:qFormat/>
    <w:locked/>
    <w:uiPriority w:val="39"/>
    <w:pPr>
      <w:ind w:left="840" w:leftChars="400"/>
    </w:pPr>
  </w:style>
  <w:style w:type="paragraph" w:styleId="20">
    <w:name w:val="Plain Text"/>
    <w:basedOn w:val="1"/>
    <w:next w:val="1"/>
    <w:link w:val="80"/>
    <w:qFormat/>
    <w:uiPriority w:val="99"/>
    <w:rPr>
      <w:rFonts w:ascii="宋体" w:hAnsi="Courier New"/>
      <w:szCs w:val="20"/>
    </w:rPr>
  </w:style>
  <w:style w:type="paragraph" w:styleId="21">
    <w:name w:val="toc 8"/>
    <w:basedOn w:val="1"/>
    <w:next w:val="1"/>
    <w:unhideWhenUsed/>
    <w:qFormat/>
    <w:locked/>
    <w:uiPriority w:val="39"/>
    <w:pPr>
      <w:ind w:left="2940" w:leftChars="1400"/>
    </w:pPr>
  </w:style>
  <w:style w:type="paragraph" w:styleId="22">
    <w:name w:val="Body Text Indent 2"/>
    <w:basedOn w:val="1"/>
    <w:link w:val="91"/>
    <w:qFormat/>
    <w:uiPriority w:val="99"/>
    <w:pPr>
      <w:spacing w:before="240" w:line="560" w:lineRule="exact"/>
      <w:ind w:firstLine="480" w:firstLineChars="200"/>
    </w:pPr>
    <w:rPr>
      <w:sz w:val="24"/>
      <w:szCs w:val="20"/>
    </w:rPr>
  </w:style>
  <w:style w:type="paragraph" w:styleId="23">
    <w:name w:val="Balloon Text"/>
    <w:basedOn w:val="1"/>
    <w:link w:val="93"/>
    <w:semiHidden/>
    <w:qFormat/>
    <w:uiPriority w:val="99"/>
    <w:rPr>
      <w:sz w:val="2"/>
      <w:szCs w:val="20"/>
    </w:rPr>
  </w:style>
  <w:style w:type="paragraph" w:styleId="24">
    <w:name w:val="footer"/>
    <w:basedOn w:val="1"/>
    <w:next w:val="25"/>
    <w:link w:val="108"/>
    <w:qFormat/>
    <w:uiPriority w:val="99"/>
    <w:pPr>
      <w:tabs>
        <w:tab w:val="center" w:pos="4153"/>
        <w:tab w:val="right" w:pos="8306"/>
      </w:tabs>
      <w:snapToGrid w:val="0"/>
      <w:jc w:val="left"/>
    </w:pPr>
    <w:rPr>
      <w:sz w:val="18"/>
      <w:szCs w:val="20"/>
    </w:rPr>
  </w:style>
  <w:style w:type="paragraph" w:customStyle="1" w:styleId="25">
    <w:name w:val="样式 宋体 小四1 Char"/>
    <w:basedOn w:val="1"/>
    <w:qFormat/>
    <w:uiPriority w:val="0"/>
    <w:pPr>
      <w:spacing w:beforeAutospacing="1" w:afterAutospacing="1" w:line="300" w:lineRule="auto"/>
    </w:pPr>
    <w:rPr>
      <w:rFonts w:ascii="宋体" w:hAnsi="宋体"/>
      <w:szCs w:val="21"/>
    </w:rPr>
  </w:style>
  <w:style w:type="paragraph" w:styleId="26">
    <w:name w:val="header"/>
    <w:basedOn w:val="1"/>
    <w:link w:val="85"/>
    <w:qFormat/>
    <w:uiPriority w:val="99"/>
    <w:pPr>
      <w:pBdr>
        <w:bottom w:val="single" w:color="auto" w:sz="6" w:space="1"/>
      </w:pBdr>
      <w:tabs>
        <w:tab w:val="center" w:pos="4153"/>
        <w:tab w:val="right" w:pos="8306"/>
      </w:tabs>
      <w:snapToGrid w:val="0"/>
      <w:jc w:val="center"/>
    </w:pPr>
    <w:rPr>
      <w:sz w:val="18"/>
      <w:szCs w:val="20"/>
    </w:rPr>
  </w:style>
  <w:style w:type="paragraph" w:styleId="27">
    <w:name w:val="toc 1"/>
    <w:basedOn w:val="1"/>
    <w:next w:val="1"/>
    <w:qFormat/>
    <w:uiPriority w:val="99"/>
  </w:style>
  <w:style w:type="paragraph" w:styleId="28">
    <w:name w:val="toc 4"/>
    <w:basedOn w:val="1"/>
    <w:next w:val="1"/>
    <w:unhideWhenUsed/>
    <w:qFormat/>
    <w:locked/>
    <w:uiPriority w:val="39"/>
    <w:pPr>
      <w:ind w:left="1260" w:leftChars="600"/>
    </w:pPr>
  </w:style>
  <w:style w:type="paragraph" w:styleId="29">
    <w:name w:val="toc 6"/>
    <w:basedOn w:val="1"/>
    <w:next w:val="1"/>
    <w:unhideWhenUsed/>
    <w:qFormat/>
    <w:locked/>
    <w:uiPriority w:val="39"/>
    <w:pPr>
      <w:ind w:left="2100" w:leftChars="1000"/>
    </w:pPr>
  </w:style>
  <w:style w:type="paragraph" w:styleId="30">
    <w:name w:val="Body Text Indent 3"/>
    <w:basedOn w:val="1"/>
    <w:link w:val="110"/>
    <w:qFormat/>
    <w:uiPriority w:val="99"/>
    <w:pPr>
      <w:spacing w:after="120"/>
      <w:ind w:left="420" w:leftChars="200"/>
    </w:pPr>
    <w:rPr>
      <w:sz w:val="16"/>
      <w:szCs w:val="20"/>
    </w:rPr>
  </w:style>
  <w:style w:type="paragraph" w:styleId="31">
    <w:name w:val="index 9"/>
    <w:basedOn w:val="1"/>
    <w:next w:val="1"/>
    <w:qFormat/>
    <w:locked/>
    <w:uiPriority w:val="0"/>
    <w:pPr>
      <w:widowControl/>
      <w:overflowPunct w:val="0"/>
      <w:autoSpaceDE w:val="0"/>
      <w:autoSpaceDN w:val="0"/>
      <w:adjustRightInd w:val="0"/>
      <w:spacing w:line="0" w:lineRule="atLeast"/>
      <w:ind w:left="1890" w:hanging="210"/>
      <w:jc w:val="left"/>
      <w:textAlignment w:val="baseline"/>
    </w:pPr>
    <w:rPr>
      <w:rFonts w:ascii="宋体"/>
      <w:kern w:val="0"/>
      <w:sz w:val="34"/>
      <w:szCs w:val="20"/>
    </w:rPr>
  </w:style>
  <w:style w:type="paragraph" w:styleId="32">
    <w:name w:val="toc 2"/>
    <w:basedOn w:val="1"/>
    <w:next w:val="1"/>
    <w:semiHidden/>
    <w:qFormat/>
    <w:uiPriority w:val="99"/>
    <w:pPr>
      <w:ind w:left="420" w:leftChars="200"/>
    </w:pPr>
  </w:style>
  <w:style w:type="paragraph" w:styleId="33">
    <w:name w:val="toc 9"/>
    <w:basedOn w:val="1"/>
    <w:next w:val="1"/>
    <w:unhideWhenUsed/>
    <w:qFormat/>
    <w:locked/>
    <w:uiPriority w:val="39"/>
    <w:pPr>
      <w:ind w:left="3360" w:leftChars="1600"/>
    </w:pPr>
  </w:style>
  <w:style w:type="paragraph" w:styleId="34">
    <w:name w:val="Message Header"/>
    <w:basedOn w:val="1"/>
    <w:next w:val="17"/>
    <w:unhideWhenUsed/>
    <w:qFormat/>
    <w:lock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35">
    <w:name w:val="Normal (Web)"/>
    <w:basedOn w:val="1"/>
    <w:qFormat/>
    <w:uiPriority w:val="99"/>
    <w:pPr>
      <w:widowControl/>
      <w:spacing w:before="100" w:beforeAutospacing="1" w:after="100" w:afterAutospacing="1"/>
      <w:jc w:val="left"/>
    </w:pPr>
    <w:rPr>
      <w:rFonts w:ascii="&amp;#23435;&amp;#20307;" w:hAnsi="&amp;#23435;&amp;#20307;"/>
      <w:kern w:val="0"/>
      <w:sz w:val="18"/>
      <w:szCs w:val="18"/>
    </w:rPr>
  </w:style>
  <w:style w:type="paragraph" w:styleId="36">
    <w:name w:val="Title"/>
    <w:basedOn w:val="1"/>
    <w:next w:val="1"/>
    <w:link w:val="84"/>
    <w:qFormat/>
    <w:uiPriority w:val="99"/>
    <w:pPr>
      <w:jc w:val="center"/>
    </w:pPr>
    <w:rPr>
      <w:rFonts w:ascii="Calibri" w:hAnsi="Calibri"/>
      <w:b/>
      <w:sz w:val="32"/>
      <w:szCs w:val="20"/>
    </w:rPr>
  </w:style>
  <w:style w:type="paragraph" w:styleId="37">
    <w:name w:val="annotation subject"/>
    <w:basedOn w:val="15"/>
    <w:next w:val="15"/>
    <w:link w:val="82"/>
    <w:qFormat/>
    <w:uiPriority w:val="99"/>
    <w:rPr>
      <w:b/>
    </w:rPr>
  </w:style>
  <w:style w:type="paragraph" w:styleId="38">
    <w:name w:val="Body Text First Indent 2"/>
    <w:basedOn w:val="16"/>
    <w:link w:val="75"/>
    <w:qFormat/>
    <w:uiPriority w:val="99"/>
    <w:pPr>
      <w:ind w:firstLine="420" w:firstLineChars="200"/>
    </w:pPr>
  </w:style>
  <w:style w:type="table" w:styleId="40">
    <w:name w:val="Table Grid"/>
    <w:basedOn w:val="3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qFormat/>
    <w:uiPriority w:val="99"/>
    <w:rPr>
      <w:rFonts w:cs="Times New Roman"/>
      <w:b/>
    </w:rPr>
  </w:style>
  <w:style w:type="character" w:styleId="43">
    <w:name w:val="page number"/>
    <w:basedOn w:val="41"/>
    <w:qFormat/>
    <w:uiPriority w:val="99"/>
    <w:rPr>
      <w:rFonts w:cs="Times New Roman"/>
    </w:rPr>
  </w:style>
  <w:style w:type="character" w:styleId="44">
    <w:name w:val="FollowedHyperlink"/>
    <w:basedOn w:val="41"/>
    <w:qFormat/>
    <w:locked/>
    <w:uiPriority w:val="99"/>
    <w:rPr>
      <w:rFonts w:cs="Times New Roman"/>
      <w:color w:val="000000"/>
      <w:sz w:val="18"/>
      <w:szCs w:val="18"/>
      <w:u w:val="none"/>
    </w:rPr>
  </w:style>
  <w:style w:type="character" w:styleId="45">
    <w:name w:val="Emphasis"/>
    <w:basedOn w:val="41"/>
    <w:qFormat/>
    <w:uiPriority w:val="99"/>
    <w:rPr>
      <w:rFonts w:cs="Times New Roman"/>
      <w:color w:val="CC0000"/>
    </w:rPr>
  </w:style>
  <w:style w:type="character" w:styleId="46">
    <w:name w:val="HTML Definition"/>
    <w:basedOn w:val="41"/>
    <w:qFormat/>
    <w:uiPriority w:val="99"/>
    <w:rPr>
      <w:rFonts w:cs="Times New Roman"/>
    </w:rPr>
  </w:style>
  <w:style w:type="character" w:styleId="47">
    <w:name w:val="HTML Acronym"/>
    <w:basedOn w:val="41"/>
    <w:qFormat/>
    <w:uiPriority w:val="99"/>
    <w:rPr>
      <w:rFonts w:cs="Times New Roman"/>
    </w:rPr>
  </w:style>
  <w:style w:type="character" w:styleId="48">
    <w:name w:val="HTML Variable"/>
    <w:basedOn w:val="41"/>
    <w:qFormat/>
    <w:uiPriority w:val="99"/>
    <w:rPr>
      <w:rFonts w:cs="Times New Roman"/>
    </w:rPr>
  </w:style>
  <w:style w:type="character" w:styleId="49">
    <w:name w:val="Hyperlink"/>
    <w:basedOn w:val="41"/>
    <w:qFormat/>
    <w:uiPriority w:val="99"/>
    <w:rPr>
      <w:rFonts w:cs="Times New Roman"/>
      <w:color w:val="338DE6"/>
      <w:u w:val="none"/>
    </w:rPr>
  </w:style>
  <w:style w:type="character" w:styleId="50">
    <w:name w:val="HTML Code"/>
    <w:basedOn w:val="41"/>
    <w:qFormat/>
    <w:uiPriority w:val="99"/>
    <w:rPr>
      <w:rFonts w:ascii="monospace" w:hAnsi="monospace" w:cs="Times New Roman"/>
      <w:sz w:val="21"/>
    </w:rPr>
  </w:style>
  <w:style w:type="character" w:styleId="51">
    <w:name w:val="annotation reference"/>
    <w:basedOn w:val="41"/>
    <w:qFormat/>
    <w:uiPriority w:val="99"/>
    <w:rPr>
      <w:rFonts w:cs="Times New Roman"/>
      <w:sz w:val="21"/>
    </w:rPr>
  </w:style>
  <w:style w:type="character" w:styleId="52">
    <w:name w:val="HTML Cite"/>
    <w:basedOn w:val="41"/>
    <w:qFormat/>
    <w:uiPriority w:val="99"/>
    <w:rPr>
      <w:rFonts w:cs="Times New Roman"/>
    </w:rPr>
  </w:style>
  <w:style w:type="character" w:styleId="53">
    <w:name w:val="HTML Keyboard"/>
    <w:basedOn w:val="41"/>
    <w:qFormat/>
    <w:uiPriority w:val="99"/>
    <w:rPr>
      <w:rFonts w:ascii="monospace" w:hAnsi="monospace" w:cs="Times New Roman"/>
      <w:sz w:val="21"/>
    </w:rPr>
  </w:style>
  <w:style w:type="character" w:styleId="54">
    <w:name w:val="HTML Sample"/>
    <w:basedOn w:val="41"/>
    <w:qFormat/>
    <w:uiPriority w:val="99"/>
    <w:rPr>
      <w:rFonts w:ascii="monospace" w:hAnsi="monospace" w:cs="Times New Roman"/>
      <w:sz w:val="21"/>
    </w:rPr>
  </w:style>
  <w:style w:type="paragraph" w:customStyle="1" w:styleId="55">
    <w:name w:val="Default"/>
    <w:basedOn w:val="36"/>
    <w:next w:val="4"/>
    <w:qFormat/>
    <w:uiPriority w:val="99"/>
    <w:pPr>
      <w:widowControl w:val="0"/>
      <w:autoSpaceDE w:val="0"/>
      <w:autoSpaceDN w:val="0"/>
      <w:adjustRightInd w:val="0"/>
      <w:spacing w:line="360" w:lineRule="auto"/>
      <w:jc w:val="both"/>
    </w:pPr>
    <w:rPr>
      <w:rFonts w:ascii="Univers LT Std" w:hAnsi="Times New Roman" w:eastAsia="Univers LT Std" w:cs="Times New Roman"/>
      <w:color w:val="000000"/>
      <w:sz w:val="24"/>
      <w:szCs w:val="24"/>
      <w:lang w:val="en-US" w:eastAsia="zh-CN" w:bidi="ar-SA"/>
    </w:rPr>
  </w:style>
  <w:style w:type="paragraph" w:customStyle="1" w:styleId="56">
    <w:name w:val="TOC 标题1"/>
    <w:basedOn w:val="4"/>
    <w:next w:val="1"/>
    <w:qFormat/>
    <w:uiPriority w:val="99"/>
    <w:pPr>
      <w:widowControl/>
      <w:spacing w:before="240" w:after="0" w:line="259" w:lineRule="auto"/>
      <w:jc w:val="left"/>
      <w:outlineLvl w:val="9"/>
    </w:pPr>
    <w:rPr>
      <w:rFonts w:ascii="Calibri Light" w:hAnsi="Calibri Light"/>
      <w:color w:val="2E74B5"/>
      <w:kern w:val="0"/>
      <w:sz w:val="32"/>
      <w:szCs w:val="32"/>
    </w:rPr>
  </w:style>
  <w:style w:type="character" w:customStyle="1" w:styleId="57">
    <w:name w:val="标题 1 Char"/>
    <w:basedOn w:val="41"/>
    <w:link w:val="4"/>
    <w:qFormat/>
    <w:locked/>
    <w:uiPriority w:val="99"/>
    <w:rPr>
      <w:rFonts w:ascii="Calibri" w:hAnsi="Calibri" w:cs="Times New Roman"/>
      <w:b/>
      <w:kern w:val="44"/>
      <w:sz w:val="44"/>
    </w:rPr>
  </w:style>
  <w:style w:type="character" w:customStyle="1" w:styleId="58">
    <w:name w:val="标题 2 Char"/>
    <w:basedOn w:val="41"/>
    <w:link w:val="5"/>
    <w:qFormat/>
    <w:locked/>
    <w:uiPriority w:val="99"/>
    <w:rPr>
      <w:rFonts w:ascii="Arial" w:hAnsi="Arial" w:eastAsia="黑体" w:cs="Times New Roman"/>
      <w:b/>
      <w:sz w:val="30"/>
    </w:rPr>
  </w:style>
  <w:style w:type="character" w:customStyle="1" w:styleId="59">
    <w:name w:val="标题 3 Char"/>
    <w:basedOn w:val="41"/>
    <w:link w:val="6"/>
    <w:qFormat/>
    <w:locked/>
    <w:uiPriority w:val="99"/>
    <w:rPr>
      <w:rFonts w:cs="Times New Roman"/>
      <w:b/>
      <w:sz w:val="21"/>
    </w:rPr>
  </w:style>
  <w:style w:type="character" w:customStyle="1" w:styleId="60">
    <w:name w:val="标题 4 Char"/>
    <w:basedOn w:val="41"/>
    <w:link w:val="7"/>
    <w:semiHidden/>
    <w:qFormat/>
    <w:locked/>
    <w:uiPriority w:val="99"/>
    <w:rPr>
      <w:rFonts w:ascii="Cambria" w:hAnsi="Cambria" w:eastAsia="宋体" w:cs="Times New Roman"/>
      <w:b/>
      <w:kern w:val="2"/>
      <w:sz w:val="28"/>
    </w:rPr>
  </w:style>
  <w:style w:type="character" w:customStyle="1" w:styleId="61">
    <w:name w:val="标题 5 Char"/>
    <w:basedOn w:val="41"/>
    <w:link w:val="8"/>
    <w:semiHidden/>
    <w:qFormat/>
    <w:locked/>
    <w:uiPriority w:val="99"/>
    <w:rPr>
      <w:rFonts w:cs="Times New Roman"/>
      <w:b/>
      <w:kern w:val="2"/>
      <w:sz w:val="28"/>
    </w:rPr>
  </w:style>
  <w:style w:type="character" w:customStyle="1" w:styleId="62">
    <w:name w:val="标题 6 Char"/>
    <w:basedOn w:val="41"/>
    <w:link w:val="10"/>
    <w:semiHidden/>
    <w:qFormat/>
    <w:locked/>
    <w:uiPriority w:val="99"/>
    <w:rPr>
      <w:rFonts w:ascii="Cambria" w:hAnsi="Cambria" w:eastAsia="宋体" w:cs="Times New Roman"/>
      <w:b/>
      <w:kern w:val="2"/>
      <w:sz w:val="24"/>
    </w:rPr>
  </w:style>
  <w:style w:type="character" w:customStyle="1" w:styleId="63">
    <w:name w:val="标题 7 Char"/>
    <w:basedOn w:val="41"/>
    <w:link w:val="11"/>
    <w:semiHidden/>
    <w:qFormat/>
    <w:locked/>
    <w:uiPriority w:val="99"/>
    <w:rPr>
      <w:rFonts w:cs="Times New Roman"/>
      <w:b/>
      <w:kern w:val="2"/>
      <w:sz w:val="24"/>
    </w:rPr>
  </w:style>
  <w:style w:type="character" w:customStyle="1" w:styleId="64">
    <w:name w:val="标题 8 Char"/>
    <w:basedOn w:val="41"/>
    <w:link w:val="12"/>
    <w:semiHidden/>
    <w:qFormat/>
    <w:locked/>
    <w:uiPriority w:val="99"/>
    <w:rPr>
      <w:rFonts w:ascii="Cambria" w:hAnsi="Cambria" w:eastAsia="宋体" w:cs="Times New Roman"/>
      <w:kern w:val="2"/>
      <w:sz w:val="24"/>
    </w:rPr>
  </w:style>
  <w:style w:type="character" w:customStyle="1" w:styleId="65">
    <w:name w:val="标题 9 Char"/>
    <w:basedOn w:val="41"/>
    <w:link w:val="13"/>
    <w:semiHidden/>
    <w:qFormat/>
    <w:locked/>
    <w:uiPriority w:val="99"/>
    <w:rPr>
      <w:rFonts w:ascii="Cambria" w:hAnsi="Cambria" w:eastAsia="宋体" w:cs="Times New Roman"/>
      <w:kern w:val="2"/>
      <w:sz w:val="21"/>
    </w:rPr>
  </w:style>
  <w:style w:type="character" w:customStyle="1" w:styleId="66">
    <w:name w:val="Comment Text Char"/>
    <w:basedOn w:val="41"/>
    <w:qFormat/>
    <w:locked/>
    <w:uiPriority w:val="99"/>
    <w:rPr>
      <w:kern w:val="2"/>
      <w:sz w:val="24"/>
    </w:rPr>
  </w:style>
  <w:style w:type="character" w:customStyle="1" w:styleId="67">
    <w:name w:val="Comment Subject Char"/>
    <w:basedOn w:val="66"/>
    <w:qFormat/>
    <w:locked/>
    <w:uiPriority w:val="99"/>
    <w:rPr>
      <w:b/>
      <w:kern w:val="2"/>
      <w:sz w:val="24"/>
    </w:rPr>
  </w:style>
  <w:style w:type="character" w:customStyle="1" w:styleId="68">
    <w:name w:val="Body Text Char"/>
    <w:basedOn w:val="41"/>
    <w:qFormat/>
    <w:locked/>
    <w:uiPriority w:val="99"/>
    <w:rPr>
      <w:kern w:val="2"/>
      <w:sz w:val="24"/>
    </w:rPr>
  </w:style>
  <w:style w:type="character" w:customStyle="1" w:styleId="69">
    <w:name w:val="Body Text Indent Char"/>
    <w:basedOn w:val="41"/>
    <w:qFormat/>
    <w:locked/>
    <w:uiPriority w:val="99"/>
    <w:rPr>
      <w:rFonts w:ascii="华文中宋" w:hAnsi="华文中宋" w:eastAsia="华文中宋"/>
      <w:color w:val="FF6600"/>
      <w:kern w:val="2"/>
      <w:sz w:val="24"/>
    </w:rPr>
  </w:style>
  <w:style w:type="character" w:customStyle="1" w:styleId="70">
    <w:name w:val="Plain Text Char"/>
    <w:basedOn w:val="41"/>
    <w:qFormat/>
    <w:locked/>
    <w:uiPriority w:val="99"/>
    <w:rPr>
      <w:rFonts w:ascii="宋体" w:hAnsi="Courier New"/>
      <w:kern w:val="2"/>
      <w:sz w:val="21"/>
    </w:rPr>
  </w:style>
  <w:style w:type="character" w:customStyle="1" w:styleId="71">
    <w:name w:val="Date Char"/>
    <w:basedOn w:val="41"/>
    <w:semiHidden/>
    <w:qFormat/>
    <w:locked/>
    <w:uiPriority w:val="99"/>
    <w:rPr>
      <w:kern w:val="2"/>
      <w:sz w:val="24"/>
    </w:rPr>
  </w:style>
  <w:style w:type="character" w:customStyle="1" w:styleId="72">
    <w:name w:val="Body Text Indent 2 Char"/>
    <w:basedOn w:val="41"/>
    <w:semiHidden/>
    <w:qFormat/>
    <w:locked/>
    <w:uiPriority w:val="99"/>
    <w:rPr>
      <w:kern w:val="2"/>
      <w:sz w:val="24"/>
    </w:rPr>
  </w:style>
  <w:style w:type="character" w:customStyle="1" w:styleId="73">
    <w:name w:val="Balloon Text Char"/>
    <w:basedOn w:val="41"/>
    <w:semiHidden/>
    <w:qFormat/>
    <w:locked/>
    <w:uiPriority w:val="99"/>
    <w:rPr>
      <w:rFonts w:ascii="Calibri" w:hAnsi="Calibri" w:eastAsia="宋体"/>
      <w:kern w:val="2"/>
      <w:sz w:val="18"/>
      <w:lang w:val="en-US" w:eastAsia="zh-CN"/>
    </w:rPr>
  </w:style>
  <w:style w:type="character" w:customStyle="1" w:styleId="74">
    <w:name w:val="Footer Char"/>
    <w:basedOn w:val="41"/>
    <w:semiHidden/>
    <w:qFormat/>
    <w:locked/>
    <w:uiPriority w:val="99"/>
    <w:rPr>
      <w:rFonts w:ascii="Calibri" w:hAnsi="Calibri" w:eastAsia="宋体"/>
      <w:kern w:val="2"/>
      <w:sz w:val="18"/>
      <w:lang w:val="en-US" w:eastAsia="zh-CN"/>
    </w:rPr>
  </w:style>
  <w:style w:type="character" w:customStyle="1" w:styleId="75">
    <w:name w:val="正文首行缩进 2 Char"/>
    <w:basedOn w:val="69"/>
    <w:link w:val="38"/>
    <w:semiHidden/>
    <w:qFormat/>
    <w:uiPriority w:val="99"/>
    <w:rPr>
      <w:rFonts w:ascii="华文中宋" w:hAnsi="华文中宋" w:eastAsia="华文中宋"/>
      <w:color w:val="FF6600"/>
      <w:kern w:val="2"/>
      <w:sz w:val="24"/>
      <w:szCs w:val="24"/>
    </w:rPr>
  </w:style>
  <w:style w:type="character" w:customStyle="1" w:styleId="76">
    <w:name w:val="Header Char"/>
    <w:basedOn w:val="41"/>
    <w:semiHidden/>
    <w:qFormat/>
    <w:locked/>
    <w:uiPriority w:val="99"/>
    <w:rPr>
      <w:rFonts w:ascii="Calibri" w:hAnsi="Calibri" w:eastAsia="宋体"/>
      <w:kern w:val="2"/>
      <w:sz w:val="18"/>
      <w:lang w:val="en-US" w:eastAsia="zh-CN"/>
    </w:rPr>
  </w:style>
  <w:style w:type="character" w:customStyle="1" w:styleId="77">
    <w:name w:val="Body Text Indent 3 Char"/>
    <w:basedOn w:val="41"/>
    <w:semiHidden/>
    <w:qFormat/>
    <w:locked/>
    <w:uiPriority w:val="99"/>
    <w:rPr>
      <w:kern w:val="2"/>
      <w:sz w:val="16"/>
    </w:rPr>
  </w:style>
  <w:style w:type="character" w:customStyle="1" w:styleId="78">
    <w:name w:val="Title Char"/>
    <w:basedOn w:val="41"/>
    <w:qFormat/>
    <w:locked/>
    <w:uiPriority w:val="99"/>
    <w:rPr>
      <w:rFonts w:ascii="Calibri" w:hAnsi="Calibri"/>
      <w:b/>
      <w:kern w:val="2"/>
      <w:sz w:val="32"/>
    </w:rPr>
  </w:style>
  <w:style w:type="character" w:customStyle="1" w:styleId="79">
    <w:name w:val="日期 Char"/>
    <w:basedOn w:val="41"/>
    <w:link w:val="3"/>
    <w:semiHidden/>
    <w:qFormat/>
    <w:locked/>
    <w:uiPriority w:val="99"/>
    <w:rPr>
      <w:rFonts w:cs="Times New Roman"/>
      <w:sz w:val="24"/>
      <w:szCs w:val="24"/>
    </w:rPr>
  </w:style>
  <w:style w:type="character" w:customStyle="1" w:styleId="80">
    <w:name w:val="纯文本 Char"/>
    <w:basedOn w:val="41"/>
    <w:link w:val="20"/>
    <w:semiHidden/>
    <w:qFormat/>
    <w:locked/>
    <w:uiPriority w:val="99"/>
    <w:rPr>
      <w:rFonts w:ascii="宋体" w:hAnsi="Courier New" w:cs="Courier New"/>
      <w:sz w:val="21"/>
      <w:szCs w:val="21"/>
    </w:rPr>
  </w:style>
  <w:style w:type="character" w:customStyle="1" w:styleId="81">
    <w:name w:val="font61"/>
    <w:qFormat/>
    <w:uiPriority w:val="99"/>
    <w:rPr>
      <w:rFonts w:ascii="Symbol" w:hAnsi="Symbol"/>
      <w:color w:val="000000"/>
      <w:sz w:val="20"/>
      <w:u w:val="none"/>
    </w:rPr>
  </w:style>
  <w:style w:type="character" w:customStyle="1" w:styleId="82">
    <w:name w:val="批注主题 Char"/>
    <w:basedOn w:val="66"/>
    <w:link w:val="37"/>
    <w:semiHidden/>
    <w:qFormat/>
    <w:locked/>
    <w:uiPriority w:val="99"/>
    <w:rPr>
      <w:rFonts w:cs="Times New Roman"/>
      <w:b/>
      <w:bCs/>
      <w:kern w:val="2"/>
      <w:sz w:val="24"/>
      <w:szCs w:val="24"/>
    </w:rPr>
  </w:style>
  <w:style w:type="character" w:customStyle="1" w:styleId="83">
    <w:name w:val="font41"/>
    <w:qFormat/>
    <w:uiPriority w:val="99"/>
    <w:rPr>
      <w:rFonts w:ascii="黑体" w:hAnsi="宋体" w:eastAsia="黑体"/>
      <w:color w:val="000000"/>
      <w:sz w:val="18"/>
      <w:u w:val="none"/>
    </w:rPr>
  </w:style>
  <w:style w:type="character" w:customStyle="1" w:styleId="84">
    <w:name w:val="标题 Char"/>
    <w:basedOn w:val="41"/>
    <w:link w:val="36"/>
    <w:qFormat/>
    <w:locked/>
    <w:uiPriority w:val="99"/>
    <w:rPr>
      <w:rFonts w:ascii="Cambria" w:hAnsi="Cambria" w:cs="Times New Roman"/>
      <w:b/>
      <w:bCs/>
      <w:sz w:val="32"/>
      <w:szCs w:val="32"/>
    </w:rPr>
  </w:style>
  <w:style w:type="character" w:customStyle="1" w:styleId="85">
    <w:name w:val="页眉 Char"/>
    <w:basedOn w:val="41"/>
    <w:link w:val="26"/>
    <w:semiHidden/>
    <w:qFormat/>
    <w:locked/>
    <w:uiPriority w:val="99"/>
    <w:rPr>
      <w:rFonts w:cs="Times New Roman"/>
      <w:sz w:val="18"/>
      <w:szCs w:val="18"/>
    </w:rPr>
  </w:style>
  <w:style w:type="character" w:customStyle="1" w:styleId="86">
    <w:name w:val="ca-52"/>
    <w:qFormat/>
    <w:uiPriority w:val="99"/>
  </w:style>
  <w:style w:type="character" w:customStyle="1" w:styleId="87">
    <w:name w:val="ca-62"/>
    <w:qFormat/>
    <w:uiPriority w:val="99"/>
  </w:style>
  <w:style w:type="character" w:customStyle="1" w:styleId="88">
    <w:name w:val="访问过的超链接1"/>
    <w:qFormat/>
    <w:uiPriority w:val="99"/>
    <w:rPr>
      <w:color w:val="338DE6"/>
      <w:u w:val="none"/>
    </w:rPr>
  </w:style>
  <w:style w:type="character" w:customStyle="1" w:styleId="89">
    <w:name w:val="ca-72"/>
    <w:qFormat/>
    <w:uiPriority w:val="99"/>
  </w:style>
  <w:style w:type="character" w:customStyle="1" w:styleId="90">
    <w:name w:val="font11"/>
    <w:qFormat/>
    <w:uiPriority w:val="99"/>
    <w:rPr>
      <w:rFonts w:ascii="Symbol" w:hAnsi="Symbol"/>
      <w:color w:val="000000"/>
      <w:sz w:val="20"/>
      <w:u w:val="none"/>
    </w:rPr>
  </w:style>
  <w:style w:type="character" w:customStyle="1" w:styleId="91">
    <w:name w:val="正文文本缩进 2 Char"/>
    <w:basedOn w:val="41"/>
    <w:link w:val="22"/>
    <w:semiHidden/>
    <w:qFormat/>
    <w:locked/>
    <w:uiPriority w:val="99"/>
    <w:rPr>
      <w:rFonts w:cs="Times New Roman"/>
      <w:sz w:val="24"/>
      <w:szCs w:val="24"/>
    </w:rPr>
  </w:style>
  <w:style w:type="character" w:customStyle="1" w:styleId="92">
    <w:name w:val="ca-82"/>
    <w:qFormat/>
    <w:uiPriority w:val="99"/>
  </w:style>
  <w:style w:type="character" w:customStyle="1" w:styleId="93">
    <w:name w:val="批注框文本 Char"/>
    <w:basedOn w:val="41"/>
    <w:link w:val="23"/>
    <w:semiHidden/>
    <w:qFormat/>
    <w:locked/>
    <w:uiPriority w:val="99"/>
    <w:rPr>
      <w:rFonts w:cs="Times New Roman"/>
      <w:sz w:val="2"/>
    </w:rPr>
  </w:style>
  <w:style w:type="character" w:customStyle="1" w:styleId="94">
    <w:name w:val="正文缩进2格 Char"/>
    <w:link w:val="95"/>
    <w:qFormat/>
    <w:locked/>
    <w:uiPriority w:val="99"/>
    <w:rPr>
      <w:rFonts w:ascii="仿宋_GB2312" w:hAnsi="宋体" w:eastAsia="仿宋_GB2312"/>
      <w:kern w:val="2"/>
      <w:sz w:val="31"/>
    </w:rPr>
  </w:style>
  <w:style w:type="paragraph" w:customStyle="1" w:styleId="95">
    <w:name w:val="正文缩进2格"/>
    <w:basedOn w:val="1"/>
    <w:link w:val="94"/>
    <w:qFormat/>
    <w:uiPriority w:val="99"/>
    <w:pPr>
      <w:spacing w:line="600" w:lineRule="exact"/>
      <w:ind w:firstLine="639" w:firstLineChars="206"/>
    </w:pPr>
    <w:rPr>
      <w:rFonts w:ascii="仿宋_GB2312" w:hAnsi="宋体" w:eastAsia="仿宋_GB2312"/>
      <w:sz w:val="31"/>
      <w:szCs w:val="20"/>
    </w:rPr>
  </w:style>
  <w:style w:type="character" w:customStyle="1" w:styleId="96">
    <w:name w:val="Footer Char1"/>
    <w:qFormat/>
    <w:locked/>
    <w:uiPriority w:val="99"/>
    <w:rPr>
      <w:kern w:val="2"/>
      <w:sz w:val="18"/>
    </w:rPr>
  </w:style>
  <w:style w:type="character" w:customStyle="1" w:styleId="97">
    <w:name w:val="正文缩进 Char"/>
    <w:link w:val="9"/>
    <w:qFormat/>
    <w:locked/>
    <w:uiPriority w:val="99"/>
    <w:rPr>
      <w:rFonts w:eastAsia="宋体"/>
      <w:kern w:val="2"/>
      <w:sz w:val="24"/>
      <w:lang w:val="en-US" w:eastAsia="zh-CN"/>
    </w:rPr>
  </w:style>
  <w:style w:type="character" w:customStyle="1" w:styleId="98">
    <w:name w:val="List Paragraph Char"/>
    <w:link w:val="99"/>
    <w:qFormat/>
    <w:locked/>
    <w:uiPriority w:val="99"/>
    <w:rPr>
      <w:rFonts w:ascii="Calibri" w:hAnsi="Calibri"/>
      <w:kern w:val="2"/>
      <w:sz w:val="22"/>
    </w:rPr>
  </w:style>
  <w:style w:type="paragraph" w:customStyle="1" w:styleId="99">
    <w:name w:val="列出段落11"/>
    <w:basedOn w:val="1"/>
    <w:link w:val="98"/>
    <w:qFormat/>
    <w:uiPriority w:val="99"/>
    <w:pPr>
      <w:ind w:firstLine="420" w:firstLineChars="200"/>
    </w:pPr>
    <w:rPr>
      <w:rFonts w:ascii="Calibri" w:hAnsi="Calibri"/>
      <w:sz w:val="22"/>
      <w:szCs w:val="20"/>
    </w:rPr>
  </w:style>
  <w:style w:type="character" w:customStyle="1" w:styleId="100">
    <w:name w:val="font51"/>
    <w:qFormat/>
    <w:uiPriority w:val="99"/>
    <w:rPr>
      <w:rFonts w:ascii="黑体" w:hAnsi="宋体" w:eastAsia="黑体"/>
      <w:color w:val="000000"/>
      <w:sz w:val="20"/>
      <w:u w:val="none"/>
    </w:rPr>
  </w:style>
  <w:style w:type="character" w:customStyle="1" w:styleId="101">
    <w:name w:val="批注文字 Char"/>
    <w:basedOn w:val="41"/>
    <w:link w:val="15"/>
    <w:semiHidden/>
    <w:qFormat/>
    <w:locked/>
    <w:uiPriority w:val="99"/>
    <w:rPr>
      <w:rFonts w:cs="Times New Roman"/>
      <w:sz w:val="24"/>
      <w:szCs w:val="24"/>
    </w:rPr>
  </w:style>
  <w:style w:type="character" w:customStyle="1" w:styleId="102">
    <w:name w:val="font21"/>
    <w:qFormat/>
    <w:uiPriority w:val="99"/>
    <w:rPr>
      <w:rFonts w:ascii="Symbol" w:hAnsi="Symbol"/>
      <w:color w:val="000000"/>
      <w:sz w:val="18"/>
      <w:u w:val="none"/>
    </w:rPr>
  </w:style>
  <w:style w:type="character" w:customStyle="1" w:styleId="103">
    <w:name w:val="ca-21"/>
    <w:qFormat/>
    <w:uiPriority w:val="99"/>
    <w:rPr>
      <w:rFonts w:ascii="宋体-18030" w:hAnsi="宋体-18030" w:eastAsia="宋体-18030"/>
      <w:sz w:val="24"/>
    </w:rPr>
  </w:style>
  <w:style w:type="character" w:customStyle="1" w:styleId="104">
    <w:name w:val="Balloon Text Char1"/>
    <w:semiHidden/>
    <w:qFormat/>
    <w:locked/>
    <w:uiPriority w:val="99"/>
    <w:rPr>
      <w:kern w:val="2"/>
      <w:sz w:val="2"/>
    </w:rPr>
  </w:style>
  <w:style w:type="character" w:customStyle="1" w:styleId="105">
    <w:name w:val="Header Char1"/>
    <w:qFormat/>
    <w:locked/>
    <w:uiPriority w:val="99"/>
    <w:rPr>
      <w:kern w:val="2"/>
      <w:sz w:val="18"/>
    </w:rPr>
  </w:style>
  <w:style w:type="character" w:customStyle="1" w:styleId="106">
    <w:name w:val="style81"/>
    <w:qFormat/>
    <w:uiPriority w:val="99"/>
    <w:rPr>
      <w:sz w:val="21"/>
    </w:rPr>
  </w:style>
  <w:style w:type="character" w:customStyle="1" w:styleId="107">
    <w:name w:val="apple-converted-space"/>
    <w:qFormat/>
    <w:uiPriority w:val="99"/>
  </w:style>
  <w:style w:type="character" w:customStyle="1" w:styleId="108">
    <w:name w:val="页脚 Char"/>
    <w:basedOn w:val="41"/>
    <w:link w:val="24"/>
    <w:semiHidden/>
    <w:qFormat/>
    <w:locked/>
    <w:uiPriority w:val="99"/>
    <w:rPr>
      <w:rFonts w:cs="Times New Roman"/>
      <w:sz w:val="18"/>
      <w:szCs w:val="18"/>
    </w:rPr>
  </w:style>
  <w:style w:type="character" w:customStyle="1" w:styleId="109">
    <w:name w:val="正文文本缩进 Char"/>
    <w:basedOn w:val="41"/>
    <w:link w:val="16"/>
    <w:semiHidden/>
    <w:qFormat/>
    <w:locked/>
    <w:uiPriority w:val="99"/>
    <w:rPr>
      <w:rFonts w:cs="Times New Roman"/>
      <w:sz w:val="24"/>
      <w:szCs w:val="24"/>
    </w:rPr>
  </w:style>
  <w:style w:type="character" w:customStyle="1" w:styleId="110">
    <w:name w:val="正文文本缩进 3 Char"/>
    <w:basedOn w:val="41"/>
    <w:link w:val="30"/>
    <w:semiHidden/>
    <w:qFormat/>
    <w:locked/>
    <w:uiPriority w:val="99"/>
    <w:rPr>
      <w:rFonts w:cs="Times New Roman"/>
      <w:sz w:val="16"/>
      <w:szCs w:val="16"/>
    </w:rPr>
  </w:style>
  <w:style w:type="character" w:customStyle="1" w:styleId="111">
    <w:name w:val="font71"/>
    <w:basedOn w:val="41"/>
    <w:qFormat/>
    <w:uiPriority w:val="99"/>
    <w:rPr>
      <w:rFonts w:ascii="Symbol" w:hAnsi="Symbol"/>
      <w:color w:val="000000"/>
      <w:sz w:val="18"/>
      <w:u w:val="none"/>
    </w:rPr>
  </w:style>
  <w:style w:type="character" w:customStyle="1" w:styleId="112">
    <w:name w:val="ca-11"/>
    <w:qFormat/>
    <w:uiPriority w:val="99"/>
    <w:rPr>
      <w:rFonts w:ascii="宋体" w:hAnsi="宋体" w:eastAsia="宋体"/>
      <w:sz w:val="24"/>
    </w:rPr>
  </w:style>
  <w:style w:type="character" w:customStyle="1" w:styleId="113">
    <w:name w:val="正文文本 Char"/>
    <w:basedOn w:val="41"/>
    <w:link w:val="2"/>
    <w:semiHidden/>
    <w:qFormat/>
    <w:locked/>
    <w:uiPriority w:val="99"/>
    <w:rPr>
      <w:rFonts w:cs="Times New Roman"/>
      <w:sz w:val="24"/>
      <w:szCs w:val="24"/>
    </w:rPr>
  </w:style>
  <w:style w:type="character" w:customStyle="1" w:styleId="114">
    <w:name w:val="style3"/>
    <w:qFormat/>
    <w:uiPriority w:val="99"/>
  </w:style>
  <w:style w:type="character" w:customStyle="1" w:styleId="115">
    <w:name w:val="font01"/>
    <w:qFormat/>
    <w:uiPriority w:val="99"/>
    <w:rPr>
      <w:rFonts w:ascii="Arial" w:hAnsi="Arial"/>
      <w:color w:val="000000"/>
      <w:sz w:val="20"/>
      <w:u w:val="none"/>
    </w:rPr>
  </w:style>
  <w:style w:type="paragraph" w:customStyle="1" w:styleId="116">
    <w:name w:val="正文图标题"/>
    <w:next w:val="1"/>
    <w:qFormat/>
    <w:uiPriority w:val="99"/>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7">
    <w:name w:val="Char1"/>
    <w:basedOn w:val="1"/>
    <w:qFormat/>
    <w:uiPriority w:val="99"/>
    <w:pPr>
      <w:spacing w:line="360" w:lineRule="auto"/>
    </w:pPr>
    <w:rPr>
      <w:rFonts w:ascii="Tahoma" w:hAnsi="Tahoma"/>
      <w:sz w:val="28"/>
      <w:szCs w:val="20"/>
    </w:rPr>
  </w:style>
  <w:style w:type="paragraph" w:customStyle="1" w:styleId="118">
    <w:name w:val="List Paragraph1"/>
    <w:basedOn w:val="1"/>
    <w:qFormat/>
    <w:uiPriority w:val="99"/>
    <w:pPr>
      <w:ind w:firstLine="420" w:firstLineChars="200"/>
    </w:pPr>
    <w:rPr>
      <w:rFonts w:ascii="Calibri" w:hAnsi="Calibri"/>
      <w:szCs w:val="22"/>
    </w:rPr>
  </w:style>
  <w:style w:type="paragraph" w:customStyle="1" w:styleId="119">
    <w:name w:val="UP正文"/>
    <w:basedOn w:val="1"/>
    <w:qFormat/>
    <w:uiPriority w:val="99"/>
    <w:pPr>
      <w:spacing w:line="360" w:lineRule="auto"/>
      <w:ind w:left="420" w:leftChars="200" w:firstLine="420" w:firstLineChars="200"/>
    </w:pPr>
    <w:rPr>
      <w:rFonts w:ascii="Tahoma" w:cs="宋体"/>
      <w:szCs w:val="20"/>
    </w:rPr>
  </w:style>
  <w:style w:type="paragraph" w:customStyle="1" w:styleId="120">
    <w:name w:val="Char Char Char Char"/>
    <w:basedOn w:val="1"/>
    <w:qFormat/>
    <w:uiPriority w:val="99"/>
    <w:pPr>
      <w:widowControl/>
      <w:spacing w:line="357" w:lineRule="atLeast"/>
      <w:textAlignment w:val="baseline"/>
    </w:pPr>
    <w:rPr>
      <w:color w:val="000000"/>
      <w:kern w:val="0"/>
      <w:szCs w:val="20"/>
    </w:rPr>
  </w:style>
  <w:style w:type="paragraph" w:customStyle="1" w:styleId="121">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2">
    <w:name w:val="p15"/>
    <w:basedOn w:val="1"/>
    <w:qFormat/>
    <w:uiPriority w:val="99"/>
    <w:pPr>
      <w:widowControl/>
    </w:pPr>
    <w:rPr>
      <w:kern w:val="0"/>
      <w:szCs w:val="21"/>
    </w:rPr>
  </w:style>
  <w:style w:type="paragraph" w:customStyle="1" w:styleId="123">
    <w:name w:val="Char Char2"/>
    <w:basedOn w:val="1"/>
    <w:qFormat/>
    <w:uiPriority w:val="99"/>
    <w:pPr>
      <w:widowControl/>
      <w:spacing w:after="160" w:line="240" w:lineRule="exact"/>
      <w:jc w:val="left"/>
    </w:pPr>
    <w:rPr>
      <w:szCs w:val="20"/>
    </w:rPr>
  </w:style>
  <w:style w:type="paragraph" w:customStyle="1" w:styleId="124">
    <w:name w:val="style5"/>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5">
    <w:name w:val="列出段落1"/>
    <w:basedOn w:val="1"/>
    <w:qFormat/>
    <w:uiPriority w:val="99"/>
    <w:pPr>
      <w:ind w:firstLine="420" w:firstLineChars="200"/>
    </w:pPr>
    <w:rPr>
      <w:rFonts w:ascii="Calibri" w:hAnsi="Calibri"/>
      <w:szCs w:val="22"/>
    </w:rPr>
  </w:style>
  <w:style w:type="paragraph" w:customStyle="1" w:styleId="126">
    <w:name w:val="pa-6"/>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7">
    <w:name w:val="_Style 1"/>
    <w:basedOn w:val="1"/>
    <w:qFormat/>
    <w:uiPriority w:val="99"/>
    <w:pPr>
      <w:ind w:firstLine="420" w:firstLineChars="200"/>
    </w:pPr>
    <w:rPr>
      <w:rFonts w:ascii="Calibri" w:hAnsi="Calibri"/>
      <w:szCs w:val="22"/>
    </w:rPr>
  </w:style>
  <w:style w:type="paragraph" w:customStyle="1" w:styleId="128">
    <w:name w:val="正文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29">
    <w:name w:val="xl28"/>
    <w:basedOn w:val="1"/>
    <w:qFormat/>
    <w:uiPriority w:val="99"/>
    <w:pPr>
      <w:widowControl/>
      <w:pBdr>
        <w:bottom w:val="single" w:color="auto" w:sz="4" w:space="0"/>
      </w:pBdr>
      <w:spacing w:before="100" w:beforeAutospacing="1" w:after="100" w:afterAutospacing="1"/>
      <w:jc w:val="center"/>
    </w:pPr>
    <w:rPr>
      <w:rFonts w:ascii="仿宋_GB2312" w:hAnsi="Arial Unicode MS" w:eastAsia="仿宋_GB2312" w:cs="Arial Unicode MS"/>
      <w:b/>
      <w:bCs/>
      <w:kern w:val="0"/>
      <w:sz w:val="24"/>
    </w:rPr>
  </w:style>
  <w:style w:type="paragraph" w:customStyle="1" w:styleId="130">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表格"/>
    <w:basedOn w:val="1"/>
    <w:qFormat/>
    <w:uiPriority w:val="99"/>
    <w:pPr>
      <w:adjustRightInd w:val="0"/>
      <w:snapToGrid w:val="0"/>
      <w:jc w:val="center"/>
    </w:pPr>
    <w:rPr>
      <w:bCs/>
    </w:rPr>
  </w:style>
  <w:style w:type="paragraph" w:customStyle="1" w:styleId="132">
    <w:name w:val="正文 + 宋体"/>
    <w:basedOn w:val="1"/>
    <w:qFormat/>
    <w:uiPriority w:val="99"/>
    <w:pPr>
      <w:spacing w:line="360" w:lineRule="auto"/>
    </w:pPr>
    <w:rPr>
      <w:sz w:val="24"/>
      <w:szCs w:val="21"/>
    </w:rPr>
  </w:style>
  <w:style w:type="paragraph" w:customStyle="1" w:styleId="13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b/>
      <w:bCs/>
      <w:kern w:val="0"/>
      <w:sz w:val="18"/>
      <w:szCs w:val="18"/>
    </w:rPr>
  </w:style>
  <w:style w:type="paragraph" w:customStyle="1" w:styleId="13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s="Arial Unicode MS"/>
      <w:kern w:val="0"/>
      <w:sz w:val="18"/>
      <w:szCs w:val="18"/>
    </w:rPr>
  </w:style>
  <w:style w:type="paragraph" w:customStyle="1" w:styleId="135">
    <w:name w:val="UP标题3"/>
    <w:basedOn w:val="1"/>
    <w:qFormat/>
    <w:uiPriority w:val="99"/>
    <w:pPr>
      <w:spacing w:line="360" w:lineRule="auto"/>
      <w:ind w:firstLine="149" w:firstLineChars="149"/>
    </w:pPr>
    <w:rPr>
      <w:rFonts w:ascii="黑体" w:eastAsia="黑体" w:cs="宋体"/>
      <w:sz w:val="28"/>
      <w:szCs w:val="28"/>
    </w:rPr>
  </w:style>
  <w:style w:type="paragraph" w:customStyle="1" w:styleId="136">
    <w:name w:val="样式 首行缩进:  2 字符"/>
    <w:basedOn w:val="1"/>
    <w:qFormat/>
    <w:uiPriority w:val="99"/>
    <w:pPr>
      <w:spacing w:line="400" w:lineRule="exact"/>
      <w:ind w:firstLine="200" w:firstLineChars="200"/>
    </w:pPr>
    <w:rPr>
      <w:rFonts w:ascii="Calibri" w:hAnsi="Calibri" w:cs="宋体"/>
      <w:sz w:val="24"/>
    </w:rPr>
  </w:style>
  <w:style w:type="paragraph" w:customStyle="1" w:styleId="137">
    <w:name w:val="pa-5"/>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8">
    <w:name w:val="style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9">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140">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kern w:val="0"/>
      <w:sz w:val="18"/>
      <w:szCs w:val="18"/>
    </w:rPr>
  </w:style>
  <w:style w:type="paragraph" w:customStyle="1" w:styleId="14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kern w:val="0"/>
      <w:sz w:val="18"/>
      <w:szCs w:val="18"/>
    </w:rPr>
  </w:style>
  <w:style w:type="paragraph" w:customStyle="1" w:styleId="142">
    <w:name w:val="Absatz2AL"/>
    <w:basedOn w:val="2"/>
    <w:next w:val="1"/>
    <w:qFormat/>
    <w:uiPriority w:val="99"/>
    <w:pPr>
      <w:widowControl/>
      <w:overflowPunct w:val="0"/>
      <w:autoSpaceDE w:val="0"/>
      <w:autoSpaceDN w:val="0"/>
      <w:adjustRightInd w:val="0"/>
      <w:spacing w:line="240" w:lineRule="auto"/>
      <w:textAlignment w:val="baseline"/>
    </w:pPr>
    <w:rPr>
      <w:rFonts w:eastAsia="楷体_GB2312"/>
      <w:kern w:val="0"/>
    </w:rPr>
  </w:style>
  <w:style w:type="paragraph" w:customStyle="1" w:styleId="14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44">
    <w:name w:val="font5"/>
    <w:basedOn w:val="1"/>
    <w:qFormat/>
    <w:uiPriority w:val="99"/>
    <w:pPr>
      <w:widowControl/>
      <w:spacing w:before="100" w:beforeAutospacing="1" w:after="100" w:afterAutospacing="1"/>
      <w:jc w:val="left"/>
    </w:pPr>
    <w:rPr>
      <w:rFonts w:ascii="宋体" w:hAnsi="宋体" w:cs="Arial Unicode MS"/>
      <w:kern w:val="0"/>
      <w:sz w:val="18"/>
      <w:szCs w:val="18"/>
    </w:rPr>
  </w:style>
  <w:style w:type="paragraph" w:customStyle="1" w:styleId="145">
    <w:name w:val="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6">
    <w:name w:val="Table Text"/>
    <w:basedOn w:val="1"/>
    <w:qFormat/>
    <w:uiPriority w:val="99"/>
    <w:pPr>
      <w:keepLines/>
      <w:widowControl/>
      <w:jc w:val="left"/>
    </w:pPr>
    <w:rPr>
      <w:rFonts w:ascii="Book Antiqua" w:hAnsi="Book Antiqua"/>
      <w:sz w:val="16"/>
    </w:rPr>
  </w:style>
  <w:style w:type="paragraph" w:customStyle="1" w:styleId="147">
    <w:name w:val="ÕýÎÄ"/>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148">
    <w:name w:val="p16"/>
    <w:basedOn w:val="1"/>
    <w:qFormat/>
    <w:uiPriority w:val="99"/>
    <w:pPr>
      <w:widowControl/>
      <w:spacing w:line="357" w:lineRule="atLeast"/>
      <w:textAlignment w:val="baseline"/>
    </w:pPr>
    <w:rPr>
      <w:color w:val="000000"/>
      <w:kern w:val="0"/>
      <w:szCs w:val="21"/>
    </w:rPr>
  </w:style>
  <w:style w:type="paragraph" w:customStyle="1" w:styleId="149">
    <w:name w:val="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50">
    <w:name w:val="我的正文"/>
    <w:basedOn w:val="1"/>
    <w:qFormat/>
    <w:uiPriority w:val="99"/>
    <w:pPr>
      <w:adjustRightInd w:val="0"/>
      <w:snapToGrid w:val="0"/>
      <w:spacing w:line="360" w:lineRule="auto"/>
      <w:ind w:firstLine="420" w:firstLineChars="200"/>
    </w:pPr>
    <w:rPr>
      <w:rFonts w:ascii="宋体" w:hAnsi="宋体"/>
      <w:szCs w:val="21"/>
      <w:lang w:val="zh-CN"/>
    </w:rPr>
  </w:style>
  <w:style w:type="paragraph" w:customStyle="1" w:styleId="151">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2">
    <w:name w:val="正文（缩进）"/>
    <w:basedOn w:val="1"/>
    <w:qFormat/>
    <w:uiPriority w:val="99"/>
    <w:pPr>
      <w:spacing w:beforeLines="50" w:afterLines="50"/>
      <w:ind w:firstLine="480"/>
    </w:pPr>
    <w:rPr>
      <w:sz w:val="24"/>
    </w:rPr>
  </w:style>
  <w:style w:type="paragraph" w:customStyle="1" w:styleId="153">
    <w:name w:val="列出段落2"/>
    <w:basedOn w:val="1"/>
    <w:qFormat/>
    <w:uiPriority w:val="99"/>
    <w:pPr>
      <w:ind w:firstLine="420" w:firstLineChars="200"/>
    </w:pPr>
    <w:rPr>
      <w:rFonts w:ascii="Calibri" w:hAnsi="Calibri"/>
      <w:szCs w:val="22"/>
    </w:rPr>
  </w:style>
  <w:style w:type="character" w:customStyle="1" w:styleId="154">
    <w:name w:val="font31"/>
    <w:basedOn w:val="41"/>
    <w:qFormat/>
    <w:uiPriority w:val="99"/>
    <w:rPr>
      <w:rFonts w:ascii="宋体" w:hAnsi="宋体" w:eastAsia="宋体" w:cs="宋体"/>
      <w:color w:val="FF0000"/>
      <w:sz w:val="18"/>
      <w:szCs w:val="18"/>
      <w:u w:val="none"/>
    </w:rPr>
  </w:style>
  <w:style w:type="paragraph" w:customStyle="1" w:styleId="155">
    <w:name w:val="正文_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列出段落21"/>
    <w:basedOn w:val="1"/>
    <w:qFormat/>
    <w:uiPriority w:val="99"/>
    <w:pPr>
      <w:ind w:firstLine="420" w:firstLineChars="200"/>
    </w:pPr>
    <w:rPr>
      <w:rFonts w:ascii="Calibri" w:hAnsi="Calibri"/>
      <w:szCs w:val="22"/>
    </w:rPr>
  </w:style>
  <w:style w:type="paragraph" w:customStyle="1" w:styleId="157">
    <w:name w:val="正文 New New New New"/>
    <w:qFormat/>
    <w:uiPriority w:val="99"/>
    <w:pPr>
      <w:widowControl w:val="0"/>
      <w:spacing w:line="240" w:lineRule="atLeast"/>
      <w:jc w:val="both"/>
    </w:pPr>
    <w:rPr>
      <w:rFonts w:ascii="Times New Roman" w:hAnsi="Times New Roman" w:eastAsia="宋体" w:cs="Times New Roman"/>
      <w:szCs w:val="24"/>
      <w:lang w:val="en-US" w:eastAsia="zh-CN" w:bidi="ar-SA"/>
    </w:rPr>
  </w:style>
  <w:style w:type="character" w:customStyle="1" w:styleId="158">
    <w:name w:val="fontstyle01"/>
    <w:basedOn w:val="41"/>
    <w:qFormat/>
    <w:uiPriority w:val="99"/>
    <w:rPr>
      <w:rFonts w:ascii="宋体" w:hAnsi="宋体" w:eastAsia="宋体" w:cs="Times New Roman"/>
      <w:color w:val="000000"/>
      <w:sz w:val="22"/>
      <w:szCs w:val="22"/>
    </w:rPr>
  </w:style>
  <w:style w:type="paragraph" w:customStyle="1" w:styleId="159">
    <w:name w:val="Table Paragraph"/>
    <w:basedOn w:val="1"/>
    <w:qFormat/>
    <w:uiPriority w:val="99"/>
    <w:rPr>
      <w:rFonts w:ascii="宋体" w:hAnsi="宋体" w:cs="宋体"/>
      <w:lang w:val="zh-CN"/>
    </w:rPr>
  </w:style>
  <w:style w:type="character" w:customStyle="1" w:styleId="160">
    <w:name w:val="Char Char1"/>
    <w:basedOn w:val="41"/>
    <w:semiHidden/>
    <w:qFormat/>
    <w:uiPriority w:val="99"/>
    <w:rPr>
      <w:rFonts w:cs="Times New Roman"/>
      <w:sz w:val="18"/>
      <w:szCs w:val="18"/>
    </w:rPr>
  </w:style>
  <w:style w:type="paragraph" w:customStyle="1" w:styleId="161">
    <w:name w:val="正文2"/>
    <w:basedOn w:val="1"/>
    <w:qFormat/>
    <w:uiPriority w:val="0"/>
    <w:pPr>
      <w:spacing w:line="360" w:lineRule="auto"/>
      <w:ind w:firstLine="420" w:firstLineChars="200"/>
    </w:pPr>
  </w:style>
  <w:style w:type="paragraph" w:customStyle="1" w:styleId="162">
    <w:name w:val="列表段落1"/>
    <w:basedOn w:val="1"/>
    <w:qFormat/>
    <w:uiPriority w:val="34"/>
    <w:pPr>
      <w:ind w:firstLine="420" w:firstLineChars="200"/>
    </w:pPr>
    <w:rPr>
      <w:rFonts w:ascii="Calibri" w:hAnsi="Calibri"/>
    </w:rPr>
  </w:style>
  <w:style w:type="paragraph" w:customStyle="1" w:styleId="163">
    <w:name w:val="Item List"/>
    <w:qFormat/>
    <w:uiPriority w:val="0"/>
    <w:pPr>
      <w:numPr>
        <w:ilvl w:val="0"/>
        <w:numId w:val="3"/>
      </w:numPr>
      <w:adjustRightInd w:val="0"/>
      <w:snapToGrid w:val="0"/>
      <w:spacing w:before="80" w:after="80" w:line="240" w:lineRule="atLeast"/>
    </w:pPr>
    <w:rPr>
      <w:rFonts w:hint="eastAsia" w:ascii="Arial" w:hAnsi="Arial" w:eastAsia="宋体" w:cs="Arial"/>
      <w:kern w:val="2"/>
      <w:sz w:val="21"/>
      <w:szCs w:val="21"/>
      <w:lang w:val="en-US" w:eastAsia="zh-CN" w:bidi="ar-SA"/>
    </w:rPr>
  </w:style>
  <w:style w:type="paragraph" w:customStyle="1" w:styleId="164">
    <w:name w:val="样式 标题 2 + Times New Roman 四号 非加粗 段前: 5 磅 段后: 0 磅 行距: 固定值 20..."/>
    <w:basedOn w:val="5"/>
    <w:qFormat/>
    <w:uiPriority w:val="99"/>
    <w:pPr>
      <w:spacing w:before="100" w:line="400" w:lineRule="exact"/>
      <w:jc w:val="both"/>
    </w:pPr>
    <w:rPr>
      <w:rFonts w:ascii="Times New Roman"/>
      <w:b w:val="0"/>
      <w:sz w:val="28"/>
      <w:szCs w:val="28"/>
    </w:rPr>
  </w:style>
  <w:style w:type="paragraph" w:customStyle="1" w:styleId="165">
    <w:name w:val="正文缩进1"/>
    <w:basedOn w:val="1"/>
    <w:qFormat/>
    <w:uiPriority w:val="0"/>
    <w:pPr>
      <w:ind w:firstLine="420" w:firstLineChars="200"/>
    </w:pPr>
  </w:style>
  <w:style w:type="paragraph" w:customStyle="1" w:styleId="166">
    <w:name w:val="正文首行缩进两字符"/>
    <w:basedOn w:val="1"/>
    <w:qFormat/>
    <w:uiPriority w:val="0"/>
    <w:pPr>
      <w:spacing w:line="360" w:lineRule="auto"/>
      <w:ind w:firstLine="200" w:firstLineChars="200"/>
    </w:pPr>
  </w:style>
  <w:style w:type="character" w:customStyle="1" w:styleId="167">
    <w:name w:val="font91"/>
    <w:basedOn w:val="41"/>
    <w:qFormat/>
    <w:uiPriority w:val="0"/>
    <w:rPr>
      <w:rFonts w:ascii="仿宋_GB2312" w:eastAsia="仿宋_GB2312" w:cs="仿宋_GB2312"/>
      <w:color w:val="000000"/>
      <w:sz w:val="20"/>
      <w:szCs w:val="20"/>
      <w:u w:val="none"/>
    </w:rPr>
  </w:style>
  <w:style w:type="paragraph" w:customStyle="1" w:styleId="168">
    <w:name w:val="Normal_f5acf06f-7205-446c-8cf8-0b5eed257673"/>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69">
    <w:name w:val="c-icon26"/>
    <w:basedOn w:val="41"/>
    <w:qFormat/>
    <w:uiPriority w:val="0"/>
  </w:style>
  <w:style w:type="character" w:customStyle="1" w:styleId="170">
    <w:name w:val="hover24"/>
    <w:basedOn w:val="41"/>
    <w:qFormat/>
    <w:uiPriority w:val="0"/>
  </w:style>
  <w:style w:type="character" w:customStyle="1" w:styleId="171">
    <w:name w:val="hover25"/>
    <w:basedOn w:val="41"/>
    <w:qFormat/>
    <w:uiPriority w:val="0"/>
    <w:rPr>
      <w:color w:val="315EFB"/>
    </w:rPr>
  </w:style>
  <w:style w:type="paragraph" w:customStyle="1" w:styleId="17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列出段落3"/>
    <w:basedOn w:val="1"/>
    <w:qFormat/>
    <w:uiPriority w:val="34"/>
    <w:pPr>
      <w:ind w:firstLine="420" w:firstLineChars="200"/>
    </w:pPr>
    <w:rPr>
      <w:rFonts w:ascii="Calibri" w:hAnsi="Calibri"/>
      <w:szCs w:val="22"/>
    </w:rPr>
  </w:style>
  <w:style w:type="paragraph" w:customStyle="1" w:styleId="174">
    <w:name w:val="WPSOffice手动目录 1"/>
    <w:qFormat/>
    <w:uiPriority w:val="0"/>
    <w:pPr>
      <w:ind w:leftChars="0"/>
    </w:pPr>
    <w:rPr>
      <w:rFonts w:ascii="Times New Roman" w:hAnsi="Times New Roman" w:eastAsia="宋体" w:cs="Times New Roman"/>
      <w:sz w:val="20"/>
      <w:szCs w:val="20"/>
    </w:rPr>
  </w:style>
  <w:style w:type="paragraph" w:customStyle="1" w:styleId="175">
    <w:name w:val="普通正文 缩进2字符"/>
    <w:basedOn w:val="1"/>
    <w:qFormat/>
    <w:uiPriority w:val="0"/>
    <w:pPr>
      <w:numPr>
        <w:ilvl w:val="0"/>
        <w:numId w:val="4"/>
      </w:numPr>
      <w:spacing w:line="360" w:lineRule="auto"/>
      <w:ind w:left="0" w:firstLine="482"/>
    </w:pPr>
    <w:rPr>
      <w:rFonts w:ascii="Calibri" w:hAnsi="Calibri" w:cs="宋体"/>
      <w:sz w:val="24"/>
    </w:rPr>
  </w:style>
  <w:style w:type="paragraph" w:customStyle="1" w:styleId="17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77">
    <w:name w:val="List Paragraph"/>
    <w:basedOn w:val="178"/>
    <w:qFormat/>
    <w:uiPriority w:val="34"/>
    <w:pPr>
      <w:ind w:firstLine="420" w:firstLineChars="200"/>
    </w:pPr>
    <w:rPr>
      <w:rFonts w:ascii="Calibri" w:hAnsi="Calibri" w:eastAsia="宋体" w:cs="Times New Roman"/>
    </w:rPr>
  </w:style>
  <w:style w:type="paragraph" w:customStyle="1" w:styleId="178">
    <w:name w:val="正文_1"/>
    <w:qFormat/>
    <w:uiPriority w:val="0"/>
    <w:rPr>
      <w:rFonts w:ascii="Calibri" w:hAnsi="Calibri" w:eastAsia="宋体" w:cs="Times New Roman"/>
      <w:sz w:val="21"/>
      <w:lang w:val="en-US" w:eastAsia="zh-CN" w:bidi="ar-SA"/>
    </w:rPr>
  </w:style>
  <w:style w:type="paragraph" w:customStyle="1" w:styleId="179">
    <w:name w:val="普通(网站)1"/>
    <w:basedOn w:val="1"/>
    <w:qFormat/>
    <w:uiPriority w:val="0"/>
    <w:pPr>
      <w:spacing w:beforeAutospacing="1" w:afterAutospacing="1"/>
      <w:jc w:val="left"/>
    </w:pPr>
    <w:rPr>
      <w:kern w:val="0"/>
      <w:sz w:val="24"/>
    </w:rPr>
  </w:style>
  <w:style w:type="paragraph" w:customStyle="1" w:styleId="180">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2" Type="http://schemas.openxmlformats.org/officeDocument/2006/relationships/glossaryDocument" Target="glossary/document.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3.xml"/><Relationship Id="rId49" Type="http://schemas.openxmlformats.org/officeDocument/2006/relationships/customXml" Target="../customXml/item1.xml"/><Relationship Id="rId48" Type="http://schemas.openxmlformats.org/officeDocument/2006/relationships/image" Target="media/image21.jpeg"/><Relationship Id="rId47" Type="http://schemas.openxmlformats.org/officeDocument/2006/relationships/image" Target="media/image20.jpeg"/><Relationship Id="rId46" Type="http://schemas.openxmlformats.org/officeDocument/2006/relationships/image" Target="media/image19.jpeg"/><Relationship Id="rId45" Type="http://schemas.openxmlformats.org/officeDocument/2006/relationships/image" Target="media/image18.jpeg"/><Relationship Id="rId44" Type="http://schemas.openxmlformats.org/officeDocument/2006/relationships/image" Target="media/image17.jpeg"/><Relationship Id="rId43" Type="http://schemas.openxmlformats.org/officeDocument/2006/relationships/image" Target="media/image16.jpeg"/><Relationship Id="rId42" Type="http://schemas.openxmlformats.org/officeDocument/2006/relationships/image" Target="media/image15.jpeg"/><Relationship Id="rId41" Type="http://schemas.openxmlformats.org/officeDocument/2006/relationships/image" Target="media/image14.jpeg"/><Relationship Id="rId40" Type="http://schemas.openxmlformats.org/officeDocument/2006/relationships/image" Target="media/image13.jpeg"/><Relationship Id="rId4" Type="http://schemas.openxmlformats.org/officeDocument/2006/relationships/footer" Target="footer2.xml"/><Relationship Id="rId39" Type="http://schemas.openxmlformats.org/officeDocument/2006/relationships/image" Target="media/image12.jpeg"/><Relationship Id="rId38" Type="http://schemas.openxmlformats.org/officeDocument/2006/relationships/image" Target="media/image11.jpeg"/><Relationship Id="rId37" Type="http://schemas.openxmlformats.org/officeDocument/2006/relationships/image" Target="media/image10.jpeg"/><Relationship Id="rId36" Type="http://schemas.openxmlformats.org/officeDocument/2006/relationships/image" Target="media/image9.jpeg"/><Relationship Id="rId35" Type="http://schemas.openxmlformats.org/officeDocument/2006/relationships/image" Target="media/image8.jpeg"/><Relationship Id="rId34" Type="http://schemas.openxmlformats.org/officeDocument/2006/relationships/image" Target="media/image7.jpeg"/><Relationship Id="rId33" Type="http://schemas.openxmlformats.org/officeDocument/2006/relationships/image" Target="media/image6.jpeg"/><Relationship Id="rId32" Type="http://schemas.openxmlformats.org/officeDocument/2006/relationships/image" Target="media/image5.jpeg"/><Relationship Id="rId31" Type="http://schemas.openxmlformats.org/officeDocument/2006/relationships/image" Target="media/image4.jpeg"/><Relationship Id="rId30" Type="http://schemas.openxmlformats.org/officeDocument/2006/relationships/image" Target="media/image3.jpeg"/><Relationship Id="rId3" Type="http://schemas.openxmlformats.org/officeDocument/2006/relationships/footer" Target="footer1.xml"/><Relationship Id="rId29" Type="http://schemas.openxmlformats.org/officeDocument/2006/relationships/image" Target="media/image2.jpeg"/><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ac01040-9767-4216-8dac-fe57afca8cce}"/>
        <w:style w:val=""/>
        <w:category>
          <w:name w:val="常规"/>
          <w:gallery w:val="placeholder"/>
        </w:category>
        <w:types>
          <w:type w:val="bbPlcHdr"/>
        </w:types>
        <w:behaviors>
          <w:behavior w:val="content"/>
        </w:behaviors>
        <w:description w:val=""/>
        <w:guid w:val="{0ac01040-9767-4216-8dac-fe57afca8cce}"/>
      </w:docPartPr>
      <w:docPartBody>
        <w:p>
          <w:r>
            <w:rPr>
              <w:color w:val="808080"/>
            </w:rPr>
            <w:t>单击此处输入文字。</w:t>
          </w:r>
        </w:p>
      </w:docPartBody>
    </w:docPart>
    <w:docPart>
      <w:docPartPr>
        <w:name w:val="{a86a3844-1fa9-4310-9c20-55262b9bb8f2}"/>
        <w:style w:val=""/>
        <w:category>
          <w:name w:val="常规"/>
          <w:gallery w:val="placeholder"/>
        </w:category>
        <w:types>
          <w:type w:val="bbPlcHdr"/>
        </w:types>
        <w:behaviors>
          <w:behavior w:val="content"/>
        </w:behaviors>
        <w:description w:val=""/>
        <w:guid w:val="{a86a3844-1fa9-4310-9c20-55262b9bb8f2}"/>
      </w:docPartPr>
      <w:docPartBody>
        <w:p>
          <w:r>
            <w:rPr>
              <w:color w:val="808080"/>
            </w:rPr>
            <w:t>单击此处输入文字。</w:t>
          </w:r>
        </w:p>
      </w:docPartBody>
    </w:docPart>
    <w:docPart>
      <w:docPartPr>
        <w:name w:val="{c3e525db-fa86-429f-b4e3-aed5c815cd46}"/>
        <w:style w:val=""/>
        <w:category>
          <w:name w:val="常规"/>
          <w:gallery w:val="placeholder"/>
        </w:category>
        <w:types>
          <w:type w:val="bbPlcHdr"/>
        </w:types>
        <w:behaviors>
          <w:behavior w:val="content"/>
        </w:behaviors>
        <w:description w:val=""/>
        <w:guid w:val="{c3e525db-fa86-429f-b4e3-aed5c815cd4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StartOS Win7 SP1装机版  V2016/06/15</Company>
  <Pages>84</Pages>
  <Words>38738</Words>
  <Characters>41340</Characters>
  <Lines>282</Lines>
  <Paragraphs>79</Paragraphs>
  <TotalTime>9</TotalTime>
  <ScaleCrop>false</ScaleCrop>
  <LinksUpToDate>false</LinksUpToDate>
  <CharactersWithSpaces>42658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2022-07-08T02:37:00Z</dcterms:created>
  <dc:creator>COCITC</dc:creator>
  <cp:lastModifiedBy>lu</cp:lastModifiedBy>
  <cp:lastPrinted>2023-09-14T08:31:00Z</cp:lastPrinted>
  <dcterms:modified xsi:type="dcterms:W3CDTF">2023-10-25T03:07:27Z</dcterms:modified>
  <dc:title>秦州区电子白板二次招标</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FA0EBDDB3F6C46CC9D66B0DD3D1D3DC9</vt:lpwstr>
  </property>
</Properties>
</file>