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98A7">
      <w:pPr>
        <w:pStyle w:val="7"/>
        <w:ind w:firstLine="0" w:firstLineChars="0"/>
        <w:jc w:val="center"/>
        <w:outlineLvl w:val="9"/>
        <w:rPr>
          <w:rFonts w:hint="default" w:hAnsi="宋体" w:eastAsia="宋体" w:cs="宋体"/>
          <w:b/>
          <w:bCs/>
          <w:sz w:val="36"/>
          <w:lang w:val="en-US" w:eastAsia="zh-CN"/>
        </w:rPr>
      </w:pPr>
    </w:p>
    <w:p w14:paraId="3B37BDD6">
      <w:pPr>
        <w:jc w:val="center"/>
        <w:outlineLvl w:val="9"/>
        <w:rPr>
          <w:rFonts w:hint="eastAsia" w:ascii="宋体" w:hAnsi="宋体" w:eastAsia="宋体" w:cs="宋体"/>
          <w:bCs/>
          <w:sz w:val="52"/>
          <w:szCs w:val="52"/>
          <w:lang w:val="en-US" w:eastAsia="zh-CN"/>
        </w:rPr>
      </w:pPr>
      <w:r>
        <w:rPr>
          <w:rFonts w:hint="eastAsia" w:ascii="宋体" w:hAnsi="宋体" w:eastAsia="宋体" w:cs="宋体"/>
          <w:b/>
          <w:bCs/>
          <w:sz w:val="52"/>
          <w:szCs w:val="52"/>
          <w:lang w:eastAsia="zh-CN"/>
        </w:rPr>
        <w:t>文县市场监督管理局2024年工业产品抽检项目</w:t>
      </w:r>
    </w:p>
    <w:p w14:paraId="3F6F6359">
      <w:pPr>
        <w:jc w:val="center"/>
        <w:outlineLvl w:val="9"/>
        <w:rPr>
          <w:rFonts w:ascii="宋体" w:hAnsi="宋体" w:eastAsia="宋体" w:cs="方正小标宋简体"/>
          <w:bCs/>
          <w:sz w:val="36"/>
          <w:szCs w:val="36"/>
        </w:rPr>
      </w:pPr>
    </w:p>
    <w:p w14:paraId="57D8204C">
      <w:pPr>
        <w:jc w:val="center"/>
        <w:outlineLvl w:val="9"/>
        <w:rPr>
          <w:rFonts w:ascii="宋体" w:hAnsi="宋体" w:eastAsia="宋体" w:cs="方正小标宋简体"/>
          <w:bCs/>
          <w:sz w:val="36"/>
          <w:szCs w:val="36"/>
        </w:rPr>
      </w:pPr>
      <w:r>
        <w:rPr>
          <w:rFonts w:hint="eastAsia" w:ascii="宋体" w:hAnsi="宋体" w:eastAsia="宋体" w:cs="方正小标宋简体"/>
          <w:bCs/>
          <w:sz w:val="36"/>
          <w:szCs w:val="36"/>
        </w:rPr>
        <w:t xml:space="preserve"> </w:t>
      </w:r>
    </w:p>
    <w:p w14:paraId="4415FC1F">
      <w:pPr>
        <w:jc w:val="center"/>
        <w:outlineLvl w:val="9"/>
        <w:rPr>
          <w:rFonts w:ascii="宋体" w:hAnsi="宋体" w:eastAsia="宋体" w:cs="方正小标宋简体"/>
          <w:bCs/>
          <w:sz w:val="36"/>
          <w:szCs w:val="36"/>
        </w:rPr>
      </w:pPr>
    </w:p>
    <w:p w14:paraId="2C08287F">
      <w:pPr>
        <w:jc w:val="center"/>
        <w:outlineLvl w:val="9"/>
        <w:rPr>
          <w:rFonts w:ascii="宋体" w:hAnsi="宋体" w:eastAsia="宋体" w:cs="方正小标宋简体"/>
          <w:bCs/>
          <w:sz w:val="36"/>
          <w:szCs w:val="36"/>
        </w:rPr>
      </w:pPr>
    </w:p>
    <w:p w14:paraId="1BD775D4">
      <w:pPr>
        <w:jc w:val="center"/>
        <w:outlineLvl w:val="9"/>
        <w:rPr>
          <w:rFonts w:ascii="宋体" w:hAnsi="宋体" w:eastAsia="宋体" w:cs="方正小标宋简体"/>
          <w:bCs/>
          <w:sz w:val="36"/>
          <w:szCs w:val="36"/>
        </w:rPr>
      </w:pPr>
    </w:p>
    <w:p w14:paraId="51FC972B">
      <w:pPr>
        <w:jc w:val="center"/>
        <w:outlineLvl w:val="9"/>
        <w:rPr>
          <w:rFonts w:hint="eastAsia" w:ascii="宋体" w:hAnsi="宋体" w:eastAsia="宋体" w:cs="方正小标宋简体"/>
          <w:bCs/>
          <w:sz w:val="96"/>
          <w:szCs w:val="96"/>
          <w:lang w:val="en-US" w:eastAsia="zh-CN"/>
        </w:rPr>
      </w:pPr>
      <w:r>
        <w:rPr>
          <w:rFonts w:hint="eastAsia" w:ascii="宋体" w:hAnsi="宋体" w:eastAsia="宋体" w:cs="方正小标宋简体"/>
          <w:bCs/>
          <w:sz w:val="72"/>
          <w:szCs w:val="72"/>
        </w:rPr>
        <w:t>竞争性磋商文</w:t>
      </w:r>
      <w:r>
        <w:rPr>
          <w:rFonts w:hint="eastAsia" w:ascii="宋体" w:hAnsi="宋体" w:eastAsia="宋体" w:cs="方正小标宋简体"/>
          <w:bCs/>
          <w:sz w:val="72"/>
          <w:szCs w:val="72"/>
          <w:lang w:val="en-US" w:eastAsia="zh-CN"/>
        </w:rPr>
        <w:t>件</w:t>
      </w:r>
    </w:p>
    <w:p w14:paraId="2E29B261">
      <w:pPr>
        <w:jc w:val="center"/>
        <w:outlineLvl w:val="9"/>
        <w:rPr>
          <w:rFonts w:ascii="宋体" w:hAnsi="宋体" w:eastAsia="宋体"/>
          <w:b/>
          <w:sz w:val="32"/>
          <w:highlight w:val="none"/>
        </w:rPr>
      </w:pPr>
      <w:r>
        <w:rPr>
          <w:rFonts w:hint="eastAsia" w:ascii="宋体" w:hAnsi="宋体" w:eastAsia="宋体"/>
          <w:b/>
          <w:sz w:val="32"/>
          <w:highlight w:val="none"/>
        </w:rPr>
        <w:t xml:space="preserve"> </w:t>
      </w:r>
    </w:p>
    <w:p w14:paraId="76BC82B6">
      <w:pPr>
        <w:pStyle w:val="8"/>
        <w:ind w:left="0" w:leftChars="0" w:firstLine="0" w:firstLineChars="0"/>
        <w:outlineLvl w:val="9"/>
        <w:rPr>
          <w:rFonts w:ascii="宋体" w:hAnsi="宋体" w:eastAsia="宋体"/>
          <w:b/>
          <w:sz w:val="32"/>
        </w:rPr>
      </w:pPr>
    </w:p>
    <w:p w14:paraId="1529B243">
      <w:pPr>
        <w:pStyle w:val="8"/>
        <w:ind w:left="0" w:leftChars="0" w:firstLine="0" w:firstLineChars="0"/>
        <w:outlineLvl w:val="9"/>
        <w:rPr>
          <w:rFonts w:ascii="宋体" w:hAnsi="宋体" w:eastAsia="宋体"/>
          <w:b/>
          <w:sz w:val="32"/>
        </w:rPr>
      </w:pPr>
    </w:p>
    <w:p w14:paraId="46AAF0CA">
      <w:pPr>
        <w:pStyle w:val="8"/>
        <w:ind w:left="0" w:leftChars="0" w:firstLine="0" w:firstLineChars="0"/>
        <w:outlineLvl w:val="9"/>
        <w:rPr>
          <w:rFonts w:ascii="宋体" w:hAnsi="宋体" w:eastAsia="宋体"/>
          <w:b/>
          <w:sz w:val="32"/>
        </w:rPr>
      </w:pPr>
    </w:p>
    <w:p w14:paraId="37FC76A7">
      <w:pPr>
        <w:pStyle w:val="110"/>
        <w:spacing w:line="480" w:lineRule="auto"/>
        <w:ind w:firstLine="1807" w:firstLineChars="500"/>
        <w:outlineLvl w:val="9"/>
        <w:rPr>
          <w:rFonts w:ascii="宋体" w:hAnsi="宋体" w:eastAsia="宋体"/>
          <w:sz w:val="36"/>
          <w:szCs w:val="36"/>
        </w:rPr>
      </w:pPr>
    </w:p>
    <w:p w14:paraId="57E7D898">
      <w:pPr>
        <w:pStyle w:val="110"/>
        <w:spacing w:line="480" w:lineRule="auto"/>
        <w:ind w:firstLine="1807" w:firstLineChars="500"/>
        <w:outlineLvl w:val="9"/>
        <w:rPr>
          <w:rFonts w:ascii="宋体" w:hAnsi="宋体" w:eastAsia="宋体"/>
          <w:sz w:val="36"/>
          <w:szCs w:val="36"/>
        </w:rPr>
      </w:pPr>
    </w:p>
    <w:p w14:paraId="370191EF">
      <w:pPr>
        <w:pStyle w:val="110"/>
        <w:spacing w:line="480" w:lineRule="auto"/>
        <w:ind w:left="2907" w:leftChars="400" w:hanging="2027" w:hangingChars="631"/>
        <w:outlineLvl w:val="9"/>
        <w:rPr>
          <w:rFonts w:hint="eastAsia" w:ascii="宋体" w:hAnsi="宋体" w:eastAsia="宋体"/>
          <w:sz w:val="32"/>
          <w:szCs w:val="32"/>
          <w:lang w:eastAsia="zh-CN"/>
        </w:rPr>
      </w:pPr>
      <w:r>
        <w:rPr>
          <w:rFonts w:hint="eastAsia" w:ascii="宋体" w:hAnsi="宋体" w:eastAsia="宋体"/>
          <w:sz w:val="32"/>
          <w:szCs w:val="32"/>
        </w:rPr>
        <w:t>采   购   人：</w:t>
      </w:r>
      <w:r>
        <w:rPr>
          <w:rFonts w:hint="eastAsia" w:ascii="宋体" w:hAnsi="宋体" w:eastAsia="宋体" w:cs="宋体"/>
          <w:bCs/>
          <w:sz w:val="32"/>
          <w:szCs w:val="32"/>
          <w:u w:val="single"/>
          <w:lang w:eastAsia="zh-CN"/>
        </w:rPr>
        <w:t>文县市场监督管理局</w:t>
      </w:r>
    </w:p>
    <w:p w14:paraId="7E3F6156">
      <w:pPr>
        <w:pStyle w:val="110"/>
        <w:spacing w:line="480" w:lineRule="auto"/>
        <w:ind w:left="2907" w:leftChars="400" w:hanging="2027" w:hangingChars="631"/>
        <w:outlineLvl w:val="9"/>
        <w:rPr>
          <w:rFonts w:hint="eastAsia" w:ascii="宋体" w:hAnsi="宋体" w:eastAsia="宋体" w:cs="宋体"/>
          <w:bCs/>
          <w:sz w:val="32"/>
          <w:szCs w:val="32"/>
          <w:u w:val="single"/>
          <w:lang w:eastAsia="zh-CN"/>
        </w:rPr>
      </w:pPr>
      <w:r>
        <w:rPr>
          <w:rFonts w:hint="eastAsia" w:ascii="宋体" w:hAnsi="宋体" w:eastAsia="宋体"/>
          <w:sz w:val="32"/>
          <w:szCs w:val="32"/>
        </w:rPr>
        <w:t>采购代理机构：</w:t>
      </w:r>
      <w:r>
        <w:rPr>
          <w:rFonts w:hint="eastAsia" w:ascii="宋体" w:hAnsi="宋体" w:eastAsia="宋体" w:cs="宋体"/>
          <w:bCs/>
          <w:sz w:val="32"/>
          <w:szCs w:val="32"/>
          <w:u w:val="single"/>
          <w:lang w:eastAsia="zh-CN"/>
        </w:rPr>
        <w:t>陇南子午线招标代理有限公司</w:t>
      </w:r>
    </w:p>
    <w:p w14:paraId="756686CE">
      <w:pPr>
        <w:pStyle w:val="110"/>
        <w:adjustRightInd w:val="0"/>
        <w:spacing w:line="480" w:lineRule="auto"/>
        <w:jc w:val="center"/>
        <w:outlineLvl w:val="9"/>
        <w:rPr>
          <w:rFonts w:ascii="宋体" w:hAnsi="宋体" w:eastAsia="宋体" w:cs="宋体"/>
          <w:sz w:val="32"/>
          <w:szCs w:val="32"/>
        </w:rPr>
        <w:sectPr>
          <w:headerReference r:id="rId5" w:type="first"/>
          <w:headerReference r:id="rId4" w:type="default"/>
          <w:footerReference r:id="rId6" w:type="default"/>
          <w:pgSz w:w="11906" w:h="16838"/>
          <w:pgMar w:top="1440" w:right="1746" w:bottom="1440" w:left="1746" w:header="851" w:footer="992" w:gutter="0"/>
          <w:pgNumType w:start="1"/>
          <w:cols w:space="720" w:num="1"/>
          <w:docGrid w:type="lines" w:linePitch="312" w:charSpace="0"/>
        </w:sectPr>
      </w:pPr>
      <w:r>
        <w:rPr>
          <w:rFonts w:hint="eastAsia" w:ascii="宋体" w:hAnsi="宋体" w:eastAsia="宋体"/>
          <w:bCs/>
          <w:sz w:val="32"/>
          <w:szCs w:val="32"/>
        </w:rPr>
        <w:t>202</w:t>
      </w:r>
      <w:r>
        <w:rPr>
          <w:rFonts w:hint="eastAsia" w:ascii="宋体" w:hAnsi="宋体" w:eastAsia="宋体"/>
          <w:bCs/>
          <w:sz w:val="32"/>
          <w:szCs w:val="32"/>
          <w:lang w:val="en-US" w:eastAsia="zh-CN"/>
        </w:rPr>
        <w:t>4</w:t>
      </w:r>
      <w:r>
        <w:rPr>
          <w:rFonts w:hint="eastAsia" w:ascii="宋体" w:hAnsi="宋体" w:eastAsia="宋体"/>
          <w:bCs/>
          <w:sz w:val="32"/>
          <w:szCs w:val="32"/>
        </w:rPr>
        <w:t>年</w:t>
      </w:r>
      <w:r>
        <w:rPr>
          <w:rFonts w:hint="eastAsia" w:ascii="宋体" w:hAnsi="宋体" w:eastAsia="宋体"/>
          <w:bCs/>
          <w:sz w:val="32"/>
          <w:szCs w:val="32"/>
          <w:lang w:val="en-US" w:eastAsia="zh-CN"/>
        </w:rPr>
        <w:t>11</w:t>
      </w:r>
      <w:r>
        <w:rPr>
          <w:rFonts w:hint="eastAsia" w:ascii="宋体" w:hAnsi="宋体" w:eastAsia="宋体"/>
          <w:bCs/>
          <w:sz w:val="32"/>
          <w:szCs w:val="32"/>
        </w:rPr>
        <w:t>月</w:t>
      </w:r>
    </w:p>
    <w:p w14:paraId="646D9E51">
      <w:pPr>
        <w:pStyle w:val="16"/>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9"/>
        <w:rPr>
          <w:rFonts w:hint="eastAsia" w:hAnsi="宋体" w:eastAsia="宋体" w:cs="Times New Roman"/>
          <w:b/>
          <w:bCs/>
          <w:sz w:val="44"/>
          <w:szCs w:val="44"/>
          <w:lang w:val="en-US" w:eastAsia="zh-CN"/>
        </w:rPr>
      </w:pPr>
      <w:r>
        <w:rPr>
          <w:rFonts w:hint="eastAsia" w:hAnsi="宋体" w:eastAsia="宋体" w:cs="Times New Roman"/>
          <w:b/>
          <w:bCs/>
          <w:sz w:val="44"/>
          <w:szCs w:val="44"/>
          <w:lang w:val="en-US" w:eastAsia="zh-CN"/>
        </w:rPr>
        <w:t>目 录</w:t>
      </w:r>
    </w:p>
    <w:p w14:paraId="7A12C2EB">
      <w:pPr>
        <w:pStyle w:val="16"/>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9"/>
        <w:rPr>
          <w:rFonts w:hint="eastAsia" w:hAnsi="宋体" w:eastAsia="宋体" w:cs="Times New Roman"/>
          <w:b/>
          <w:bCs/>
          <w:sz w:val="44"/>
          <w:szCs w:val="44"/>
          <w:lang w:val="en-US" w:eastAsia="zh-CN"/>
        </w:rPr>
      </w:pPr>
    </w:p>
    <w:p w14:paraId="77B4E3B5">
      <w:pPr>
        <w:pStyle w:val="22"/>
        <w:keepNext w:val="0"/>
        <w:keepLines w:val="0"/>
        <w:pageBreakBefore w:val="0"/>
        <w:widowControl/>
        <w:tabs>
          <w:tab w:val="right" w:leader="dot" w:pos="9128"/>
        </w:tabs>
        <w:kinsoku/>
        <w:wordWrap/>
        <w:overflowPunct/>
        <w:topLinePunct w:val="0"/>
        <w:autoSpaceDE/>
        <w:autoSpaceDN/>
        <w:bidi w:val="0"/>
        <w:adjustRightInd w:val="0"/>
        <w:snapToGrid w:val="0"/>
        <w:spacing w:line="720" w:lineRule="auto"/>
        <w:textAlignment w:val="auto"/>
      </w:pPr>
      <w:r>
        <w:rPr>
          <w:rFonts w:ascii="宋体" w:hAnsi="宋体" w:eastAsia="宋体" w:cs="宋体"/>
          <w:b/>
          <w:kern w:val="2"/>
          <w:sz w:val="28"/>
          <w:szCs w:val="28"/>
        </w:rPr>
        <w:fldChar w:fldCharType="begin"/>
      </w:r>
      <w:r>
        <w:rPr>
          <w:rFonts w:ascii="宋体" w:hAnsi="宋体" w:eastAsia="宋体" w:cs="宋体"/>
          <w:b/>
          <w:kern w:val="2"/>
          <w:sz w:val="28"/>
          <w:szCs w:val="28"/>
        </w:rPr>
        <w:instrText xml:space="preserve">TOC \o "1-3" \h \u </w:instrText>
      </w:r>
      <w:r>
        <w:rPr>
          <w:rFonts w:ascii="宋体" w:hAnsi="宋体" w:eastAsia="宋体" w:cs="宋体"/>
          <w:b/>
          <w:kern w:val="2"/>
          <w:sz w:val="28"/>
          <w:szCs w:val="28"/>
        </w:rPr>
        <w:fldChar w:fldCharType="separate"/>
      </w:r>
      <w:r>
        <w:rPr>
          <w:rFonts w:ascii="宋体" w:hAnsi="宋体" w:eastAsia="宋体" w:cs="宋体"/>
          <w:kern w:val="2"/>
          <w:szCs w:val="28"/>
        </w:rPr>
        <w:fldChar w:fldCharType="begin"/>
      </w:r>
      <w:r>
        <w:rPr>
          <w:rFonts w:ascii="宋体" w:hAnsi="宋体" w:eastAsia="宋体" w:cs="宋体"/>
          <w:kern w:val="2"/>
          <w:szCs w:val="28"/>
        </w:rPr>
        <w:instrText xml:space="preserve"> HYPERLINK \l _Toc24977 </w:instrText>
      </w:r>
      <w:r>
        <w:rPr>
          <w:rFonts w:ascii="宋体" w:hAnsi="宋体" w:eastAsia="宋体" w:cs="宋体"/>
          <w:kern w:val="2"/>
          <w:szCs w:val="28"/>
        </w:rPr>
        <w:fldChar w:fldCharType="separate"/>
      </w:r>
      <w:r>
        <w:rPr>
          <w:rFonts w:hint="eastAsia" w:ascii="宋体" w:hAnsi="宋体" w:eastAsia="宋体" w:cs="Times New Roman"/>
          <w:bCs/>
          <w:kern w:val="44"/>
          <w:szCs w:val="32"/>
        </w:rPr>
        <w:t>第一章</w:t>
      </w:r>
      <w:r>
        <w:rPr>
          <w:rFonts w:hint="eastAsia" w:ascii="宋体" w:hAnsi="宋体" w:eastAsia="宋体" w:cs="仿宋"/>
          <w:bCs/>
          <w:kern w:val="2"/>
          <w:szCs w:val="32"/>
        </w:rPr>
        <w:t>、</w:t>
      </w:r>
      <w:r>
        <w:rPr>
          <w:rFonts w:hint="eastAsia" w:ascii="宋体" w:hAnsi="宋体" w:eastAsia="宋体" w:cs="宋体"/>
          <w:bCs/>
          <w:szCs w:val="32"/>
        </w:rPr>
        <w:t>竞争性磋商公告</w:t>
      </w:r>
      <w:r>
        <w:tab/>
      </w:r>
      <w:r>
        <w:fldChar w:fldCharType="begin"/>
      </w:r>
      <w:r>
        <w:instrText xml:space="preserve"> PAGEREF _Toc24977 \h </w:instrText>
      </w:r>
      <w:r>
        <w:fldChar w:fldCharType="separate"/>
      </w:r>
      <w:r>
        <w:t>2</w:t>
      </w:r>
      <w:r>
        <w:fldChar w:fldCharType="end"/>
      </w:r>
      <w:r>
        <w:rPr>
          <w:rFonts w:ascii="宋体" w:hAnsi="宋体" w:eastAsia="宋体" w:cs="宋体"/>
          <w:kern w:val="2"/>
          <w:szCs w:val="28"/>
        </w:rPr>
        <w:fldChar w:fldCharType="end"/>
      </w:r>
    </w:p>
    <w:p w14:paraId="1CD80EE9">
      <w:pPr>
        <w:pStyle w:val="22"/>
        <w:keepNext w:val="0"/>
        <w:keepLines w:val="0"/>
        <w:pageBreakBefore w:val="0"/>
        <w:widowControl/>
        <w:tabs>
          <w:tab w:val="right" w:leader="dot" w:pos="9128"/>
        </w:tabs>
        <w:kinsoku/>
        <w:wordWrap/>
        <w:overflowPunct/>
        <w:topLinePunct w:val="0"/>
        <w:autoSpaceDE/>
        <w:autoSpaceDN/>
        <w:bidi w:val="0"/>
        <w:adjustRightInd w:val="0"/>
        <w:snapToGrid w:val="0"/>
        <w:spacing w:line="720" w:lineRule="auto"/>
        <w:textAlignment w:val="auto"/>
      </w:pPr>
      <w:r>
        <w:rPr>
          <w:rFonts w:ascii="宋体" w:hAnsi="宋体" w:eastAsia="宋体" w:cs="宋体"/>
          <w:kern w:val="2"/>
          <w:szCs w:val="28"/>
        </w:rPr>
        <w:fldChar w:fldCharType="begin"/>
      </w:r>
      <w:r>
        <w:rPr>
          <w:rFonts w:ascii="宋体" w:hAnsi="宋体" w:eastAsia="宋体" w:cs="宋体"/>
          <w:kern w:val="2"/>
          <w:szCs w:val="28"/>
        </w:rPr>
        <w:instrText xml:space="preserve"> HYPERLINK \l _Toc26609 </w:instrText>
      </w:r>
      <w:r>
        <w:rPr>
          <w:rFonts w:ascii="宋体" w:hAnsi="宋体" w:eastAsia="宋体" w:cs="宋体"/>
          <w:kern w:val="2"/>
          <w:szCs w:val="28"/>
        </w:rPr>
        <w:fldChar w:fldCharType="separate"/>
      </w:r>
      <w:r>
        <w:rPr>
          <w:rFonts w:hint="eastAsia" w:ascii="宋体" w:hAnsi="宋体" w:eastAsia="宋体" w:cs="Times New Roman"/>
          <w:bCs/>
          <w:kern w:val="44"/>
        </w:rPr>
        <w:t>第二章、投标人须知前附表</w:t>
      </w:r>
      <w:r>
        <w:tab/>
      </w:r>
      <w:r>
        <w:fldChar w:fldCharType="begin"/>
      </w:r>
      <w:r>
        <w:instrText xml:space="preserve"> PAGEREF _Toc26609 \h </w:instrText>
      </w:r>
      <w:r>
        <w:fldChar w:fldCharType="separate"/>
      </w:r>
      <w:r>
        <w:t>5</w:t>
      </w:r>
      <w:r>
        <w:fldChar w:fldCharType="end"/>
      </w:r>
      <w:r>
        <w:rPr>
          <w:rFonts w:ascii="宋体" w:hAnsi="宋体" w:eastAsia="宋体" w:cs="宋体"/>
          <w:kern w:val="2"/>
          <w:szCs w:val="28"/>
        </w:rPr>
        <w:fldChar w:fldCharType="end"/>
      </w:r>
    </w:p>
    <w:p w14:paraId="01C1D3FA">
      <w:pPr>
        <w:pStyle w:val="22"/>
        <w:keepNext w:val="0"/>
        <w:keepLines w:val="0"/>
        <w:pageBreakBefore w:val="0"/>
        <w:widowControl/>
        <w:tabs>
          <w:tab w:val="right" w:leader="dot" w:pos="9128"/>
        </w:tabs>
        <w:kinsoku/>
        <w:wordWrap/>
        <w:overflowPunct/>
        <w:topLinePunct w:val="0"/>
        <w:autoSpaceDE/>
        <w:autoSpaceDN/>
        <w:bidi w:val="0"/>
        <w:adjustRightInd w:val="0"/>
        <w:snapToGrid w:val="0"/>
        <w:spacing w:line="720" w:lineRule="auto"/>
        <w:textAlignment w:val="auto"/>
      </w:pPr>
      <w:r>
        <w:rPr>
          <w:rFonts w:ascii="宋体" w:hAnsi="宋体" w:eastAsia="宋体" w:cs="宋体"/>
          <w:kern w:val="2"/>
          <w:szCs w:val="28"/>
        </w:rPr>
        <w:fldChar w:fldCharType="begin"/>
      </w:r>
      <w:r>
        <w:rPr>
          <w:rFonts w:ascii="宋体" w:hAnsi="宋体" w:eastAsia="宋体" w:cs="宋体"/>
          <w:kern w:val="2"/>
          <w:szCs w:val="28"/>
        </w:rPr>
        <w:instrText xml:space="preserve"> HYPERLINK \l _Toc28098 </w:instrText>
      </w:r>
      <w:r>
        <w:rPr>
          <w:rFonts w:ascii="宋体" w:hAnsi="宋体" w:eastAsia="宋体" w:cs="宋体"/>
          <w:kern w:val="2"/>
          <w:szCs w:val="28"/>
        </w:rPr>
        <w:fldChar w:fldCharType="separate"/>
      </w:r>
      <w:r>
        <w:rPr>
          <w:rFonts w:hint="eastAsia" w:ascii="宋体" w:hAnsi="宋体" w:eastAsia="宋体" w:cs="Times New Roman"/>
          <w:bCs/>
          <w:kern w:val="44"/>
        </w:rPr>
        <w:t>第三章、投标人须知</w:t>
      </w:r>
      <w:r>
        <w:tab/>
      </w:r>
      <w:r>
        <w:fldChar w:fldCharType="begin"/>
      </w:r>
      <w:r>
        <w:instrText xml:space="preserve"> PAGEREF _Toc28098 \h </w:instrText>
      </w:r>
      <w:r>
        <w:fldChar w:fldCharType="separate"/>
      </w:r>
      <w:r>
        <w:t>7</w:t>
      </w:r>
      <w:r>
        <w:fldChar w:fldCharType="end"/>
      </w:r>
      <w:r>
        <w:rPr>
          <w:rFonts w:ascii="宋体" w:hAnsi="宋体" w:eastAsia="宋体" w:cs="宋体"/>
          <w:kern w:val="2"/>
          <w:szCs w:val="28"/>
        </w:rPr>
        <w:fldChar w:fldCharType="end"/>
      </w:r>
    </w:p>
    <w:p w14:paraId="1FC35CA6">
      <w:pPr>
        <w:pStyle w:val="22"/>
        <w:keepNext w:val="0"/>
        <w:keepLines w:val="0"/>
        <w:pageBreakBefore w:val="0"/>
        <w:widowControl/>
        <w:tabs>
          <w:tab w:val="right" w:leader="dot" w:pos="9128"/>
        </w:tabs>
        <w:kinsoku/>
        <w:wordWrap/>
        <w:overflowPunct/>
        <w:topLinePunct w:val="0"/>
        <w:autoSpaceDE/>
        <w:autoSpaceDN/>
        <w:bidi w:val="0"/>
        <w:adjustRightInd w:val="0"/>
        <w:snapToGrid w:val="0"/>
        <w:spacing w:line="720" w:lineRule="auto"/>
        <w:textAlignment w:val="auto"/>
      </w:pPr>
      <w:r>
        <w:rPr>
          <w:rFonts w:ascii="宋体" w:hAnsi="宋体" w:eastAsia="宋体" w:cs="宋体"/>
          <w:kern w:val="2"/>
          <w:szCs w:val="28"/>
        </w:rPr>
        <w:fldChar w:fldCharType="begin"/>
      </w:r>
      <w:r>
        <w:rPr>
          <w:rFonts w:ascii="宋体" w:hAnsi="宋体" w:eastAsia="宋体" w:cs="宋体"/>
          <w:kern w:val="2"/>
          <w:szCs w:val="28"/>
        </w:rPr>
        <w:instrText xml:space="preserve"> HYPERLINK \l _Toc18864 </w:instrText>
      </w:r>
      <w:r>
        <w:rPr>
          <w:rFonts w:ascii="宋体" w:hAnsi="宋体" w:eastAsia="宋体" w:cs="宋体"/>
          <w:kern w:val="2"/>
          <w:szCs w:val="28"/>
        </w:rPr>
        <w:fldChar w:fldCharType="separate"/>
      </w:r>
      <w:r>
        <w:rPr>
          <w:rFonts w:hint="eastAsia" w:ascii="宋体" w:hAnsi="宋体" w:eastAsia="宋体" w:cs="Times New Roman"/>
          <w:bCs/>
          <w:kern w:val="44"/>
        </w:rPr>
        <w:t>第四章、 磋商内容及要求</w:t>
      </w:r>
      <w:r>
        <w:tab/>
      </w:r>
      <w:r>
        <w:fldChar w:fldCharType="begin"/>
      </w:r>
      <w:r>
        <w:instrText xml:space="preserve"> PAGEREF _Toc18864 \h </w:instrText>
      </w:r>
      <w:r>
        <w:fldChar w:fldCharType="separate"/>
      </w:r>
      <w:r>
        <w:t>19</w:t>
      </w:r>
      <w:r>
        <w:fldChar w:fldCharType="end"/>
      </w:r>
      <w:r>
        <w:rPr>
          <w:rFonts w:ascii="宋体" w:hAnsi="宋体" w:eastAsia="宋体" w:cs="宋体"/>
          <w:kern w:val="2"/>
          <w:szCs w:val="28"/>
        </w:rPr>
        <w:fldChar w:fldCharType="end"/>
      </w:r>
    </w:p>
    <w:p w14:paraId="224DA6A2">
      <w:pPr>
        <w:pStyle w:val="22"/>
        <w:keepNext w:val="0"/>
        <w:keepLines w:val="0"/>
        <w:pageBreakBefore w:val="0"/>
        <w:widowControl/>
        <w:tabs>
          <w:tab w:val="right" w:leader="dot" w:pos="9128"/>
        </w:tabs>
        <w:kinsoku/>
        <w:wordWrap/>
        <w:overflowPunct/>
        <w:topLinePunct w:val="0"/>
        <w:autoSpaceDE/>
        <w:autoSpaceDN/>
        <w:bidi w:val="0"/>
        <w:adjustRightInd w:val="0"/>
        <w:snapToGrid w:val="0"/>
        <w:spacing w:line="720" w:lineRule="auto"/>
        <w:textAlignment w:val="auto"/>
      </w:pPr>
      <w:r>
        <w:rPr>
          <w:rFonts w:ascii="宋体" w:hAnsi="宋体" w:eastAsia="宋体" w:cs="宋体"/>
          <w:kern w:val="2"/>
          <w:szCs w:val="28"/>
        </w:rPr>
        <w:fldChar w:fldCharType="begin"/>
      </w:r>
      <w:r>
        <w:rPr>
          <w:rFonts w:ascii="宋体" w:hAnsi="宋体" w:eastAsia="宋体" w:cs="宋体"/>
          <w:kern w:val="2"/>
          <w:szCs w:val="28"/>
        </w:rPr>
        <w:instrText xml:space="preserve"> HYPERLINK \l _Toc1335 </w:instrText>
      </w:r>
      <w:r>
        <w:rPr>
          <w:rFonts w:ascii="宋体" w:hAnsi="宋体" w:eastAsia="宋体" w:cs="宋体"/>
          <w:kern w:val="2"/>
          <w:szCs w:val="28"/>
        </w:rPr>
        <w:fldChar w:fldCharType="separate"/>
      </w:r>
      <w:r>
        <w:rPr>
          <w:rFonts w:hint="eastAsia" w:ascii="宋体" w:hAnsi="宋体" w:eastAsia="宋体" w:cs="Times New Roman"/>
          <w:bCs/>
          <w:kern w:val="44"/>
        </w:rPr>
        <w:t>第五章、评标原则及办法</w:t>
      </w:r>
      <w:r>
        <w:tab/>
      </w:r>
      <w:r>
        <w:fldChar w:fldCharType="begin"/>
      </w:r>
      <w:r>
        <w:instrText xml:space="preserve"> PAGEREF _Toc1335 \h </w:instrText>
      </w:r>
      <w:r>
        <w:fldChar w:fldCharType="separate"/>
      </w:r>
      <w:r>
        <w:t>19</w:t>
      </w:r>
      <w:r>
        <w:fldChar w:fldCharType="end"/>
      </w:r>
      <w:r>
        <w:rPr>
          <w:rFonts w:ascii="宋体" w:hAnsi="宋体" w:eastAsia="宋体" w:cs="宋体"/>
          <w:kern w:val="2"/>
          <w:szCs w:val="28"/>
        </w:rPr>
        <w:fldChar w:fldCharType="end"/>
      </w:r>
    </w:p>
    <w:p w14:paraId="4AA50E46">
      <w:pPr>
        <w:pStyle w:val="22"/>
        <w:keepNext w:val="0"/>
        <w:keepLines w:val="0"/>
        <w:pageBreakBefore w:val="0"/>
        <w:widowControl/>
        <w:tabs>
          <w:tab w:val="right" w:leader="dot" w:pos="9128"/>
        </w:tabs>
        <w:kinsoku/>
        <w:wordWrap/>
        <w:overflowPunct/>
        <w:topLinePunct w:val="0"/>
        <w:autoSpaceDE/>
        <w:autoSpaceDN/>
        <w:bidi w:val="0"/>
        <w:adjustRightInd w:val="0"/>
        <w:snapToGrid w:val="0"/>
        <w:spacing w:line="720" w:lineRule="auto"/>
        <w:textAlignment w:val="auto"/>
      </w:pPr>
      <w:r>
        <w:rPr>
          <w:rFonts w:ascii="宋体" w:hAnsi="宋体" w:eastAsia="宋体" w:cs="宋体"/>
          <w:kern w:val="2"/>
          <w:szCs w:val="28"/>
        </w:rPr>
        <w:fldChar w:fldCharType="begin"/>
      </w:r>
      <w:r>
        <w:rPr>
          <w:rFonts w:ascii="宋体" w:hAnsi="宋体" w:eastAsia="宋体" w:cs="宋体"/>
          <w:kern w:val="2"/>
          <w:szCs w:val="28"/>
        </w:rPr>
        <w:instrText xml:space="preserve"> HYPERLINK \l _Toc24154 </w:instrText>
      </w:r>
      <w:r>
        <w:rPr>
          <w:rFonts w:ascii="宋体" w:hAnsi="宋体" w:eastAsia="宋体" w:cs="宋体"/>
          <w:kern w:val="2"/>
          <w:szCs w:val="28"/>
        </w:rPr>
        <w:fldChar w:fldCharType="separate"/>
      </w:r>
      <w:r>
        <w:rPr>
          <w:rFonts w:hint="eastAsia" w:ascii="宋体" w:hAnsi="宋体" w:eastAsia="宋体" w:cs="Times New Roman"/>
          <w:bCs/>
          <w:kern w:val="44"/>
        </w:rPr>
        <w:t>第六章、合同条款及格式</w:t>
      </w:r>
      <w:r>
        <w:tab/>
      </w:r>
      <w:r>
        <w:fldChar w:fldCharType="begin"/>
      </w:r>
      <w:r>
        <w:instrText xml:space="preserve"> PAGEREF _Toc24154 \h </w:instrText>
      </w:r>
      <w:r>
        <w:fldChar w:fldCharType="separate"/>
      </w:r>
      <w:r>
        <w:t>31</w:t>
      </w:r>
      <w:r>
        <w:fldChar w:fldCharType="end"/>
      </w:r>
      <w:r>
        <w:rPr>
          <w:rFonts w:ascii="宋体" w:hAnsi="宋体" w:eastAsia="宋体" w:cs="宋体"/>
          <w:kern w:val="2"/>
          <w:szCs w:val="28"/>
        </w:rPr>
        <w:fldChar w:fldCharType="end"/>
      </w:r>
    </w:p>
    <w:p w14:paraId="68438D9F">
      <w:pPr>
        <w:adjustRightInd/>
        <w:snapToGrid/>
        <w:spacing w:after="0" w:line="360" w:lineRule="auto"/>
        <w:jc w:val="center"/>
        <w:textAlignment w:val="baseline"/>
        <w:outlineLvl w:val="9"/>
        <w:rPr>
          <w:rFonts w:ascii="宋体" w:hAnsi="宋体" w:eastAsia="宋体" w:cs="宋体"/>
          <w:b/>
          <w:kern w:val="2"/>
          <w:sz w:val="28"/>
          <w:szCs w:val="28"/>
        </w:rPr>
        <w:sectPr>
          <w:footerReference r:id="rId8" w:type="first"/>
          <w:footerReference r:id="rId7" w:type="default"/>
          <w:pgSz w:w="11906" w:h="16838"/>
          <w:pgMar w:top="1417" w:right="1361" w:bottom="1417" w:left="1417" w:header="851" w:footer="851" w:gutter="0"/>
          <w:pgNumType w:start="1"/>
          <w:cols w:space="720" w:num="1"/>
          <w:titlePg/>
          <w:docGrid w:linePitch="312" w:charSpace="0"/>
        </w:sectPr>
      </w:pPr>
      <w:r>
        <w:rPr>
          <w:rFonts w:ascii="宋体" w:hAnsi="宋体" w:eastAsia="宋体" w:cs="宋体"/>
          <w:kern w:val="2"/>
          <w:szCs w:val="28"/>
        </w:rPr>
        <w:fldChar w:fldCharType="end"/>
      </w:r>
    </w:p>
    <w:p w14:paraId="441A492D">
      <w:pPr>
        <w:adjustRightInd/>
        <w:snapToGrid/>
        <w:spacing w:after="0" w:line="360" w:lineRule="auto"/>
        <w:jc w:val="center"/>
        <w:textAlignment w:val="baseline"/>
        <w:outlineLvl w:val="0"/>
        <w:rPr>
          <w:rFonts w:ascii="宋体" w:hAnsi="宋体" w:eastAsia="宋体" w:cs="仿宋"/>
          <w:b/>
          <w:kern w:val="2"/>
        </w:rPr>
      </w:pPr>
      <w:bookmarkStart w:id="0" w:name="_Toc12502"/>
      <w:bookmarkStart w:id="1" w:name="_Toc16196"/>
      <w:bookmarkStart w:id="2" w:name="_Toc24977"/>
      <w:r>
        <w:rPr>
          <w:rFonts w:hint="eastAsia" w:ascii="宋体" w:hAnsi="宋体" w:eastAsia="宋体" w:cs="Times New Roman"/>
          <w:b/>
          <w:bCs/>
          <w:kern w:val="44"/>
          <w:sz w:val="32"/>
          <w:szCs w:val="32"/>
        </w:rPr>
        <w:t>第一章</w:t>
      </w:r>
      <w:bookmarkEnd w:id="0"/>
      <w:r>
        <w:rPr>
          <w:rFonts w:hint="eastAsia" w:ascii="宋体" w:hAnsi="宋体" w:eastAsia="宋体" w:cs="仿宋"/>
          <w:b/>
          <w:bCs/>
          <w:kern w:val="2"/>
          <w:sz w:val="32"/>
          <w:szCs w:val="32"/>
        </w:rPr>
        <w:t>、</w:t>
      </w:r>
      <w:bookmarkStart w:id="3" w:name="_Toc27389"/>
      <w:r>
        <w:rPr>
          <w:rFonts w:hint="eastAsia" w:ascii="宋体" w:hAnsi="宋体" w:eastAsia="宋体" w:cs="宋体"/>
          <w:b/>
          <w:bCs/>
          <w:sz w:val="32"/>
          <w:szCs w:val="32"/>
        </w:rPr>
        <w:t>竞争性磋商公告</w:t>
      </w:r>
      <w:bookmarkEnd w:id="1"/>
      <w:bookmarkEnd w:id="2"/>
      <w:bookmarkEnd w:id="3"/>
    </w:p>
    <w:p w14:paraId="79356686">
      <w:pPr>
        <w:keepNext w:val="0"/>
        <w:keepLines w:val="0"/>
        <w:widowControl/>
        <w:suppressLineNumbers w:val="0"/>
        <w:spacing w:before="75" w:beforeAutospacing="0" w:after="75" w:afterAutospacing="0" w:line="360" w:lineRule="auto"/>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文县市场监督管理局2024年工业产品抽检项目竞争性磋商公告</w:t>
      </w:r>
    </w:p>
    <w:p w14:paraId="12252505">
      <w:pPr>
        <w:keepNext w:val="0"/>
        <w:keepLines w:val="0"/>
        <w:widowControl/>
        <w:suppressLineNumbers w:val="0"/>
        <w:spacing w:before="75" w:beforeAutospacing="0" w:after="75" w:afterAutospacing="0" w:line="360" w:lineRule="auto"/>
        <w:ind w:left="0" w:right="0" w:firstLine="420"/>
        <w:jc w:val="center"/>
        <w:rPr>
          <w:rFonts w:hint="eastAsia" w:ascii="宋体" w:hAnsi="宋体" w:eastAsia="宋体" w:cs="宋体"/>
          <w:i w:val="0"/>
          <w:iCs w:val="0"/>
          <w:caps w:val="0"/>
          <w:color w:val="000000"/>
          <w:spacing w:val="0"/>
          <w:sz w:val="28"/>
          <w:szCs w:val="28"/>
        </w:rPr>
      </w:pPr>
    </w:p>
    <w:p w14:paraId="07A7524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u w:val="single"/>
          <w:lang w:val="en-US" w:eastAsia="zh-CN" w:bidi="ar"/>
        </w:rPr>
        <w:t>文县市场监督管理局</w:t>
      </w:r>
      <w:r>
        <w:rPr>
          <w:rFonts w:hint="eastAsia" w:ascii="宋体" w:hAnsi="宋体" w:eastAsia="宋体" w:cs="宋体"/>
          <w:i w:val="0"/>
          <w:iCs w:val="0"/>
          <w:caps w:val="0"/>
          <w:color w:val="000000"/>
          <w:spacing w:val="0"/>
          <w:kern w:val="0"/>
          <w:sz w:val="28"/>
          <w:szCs w:val="28"/>
          <w:lang w:val="en-US" w:eastAsia="zh-CN" w:bidi="ar"/>
        </w:rPr>
        <w:t>采购项目的潜在供应商应在</w:t>
      </w:r>
      <w:r>
        <w:rPr>
          <w:rFonts w:hint="eastAsia" w:ascii="宋体" w:hAnsi="宋体" w:eastAsia="宋体" w:cs="宋体"/>
          <w:i w:val="0"/>
          <w:iCs w:val="0"/>
          <w:caps w:val="0"/>
          <w:color w:val="000000"/>
          <w:spacing w:val="0"/>
          <w:kern w:val="0"/>
          <w:sz w:val="28"/>
          <w:szCs w:val="28"/>
          <w:u w:val="single"/>
          <w:lang w:val="en-US" w:eastAsia="zh-CN" w:bidi="ar"/>
        </w:rPr>
        <w:t>陇南子午线招标代理有限公司(甘肃省陇南市武都区东江第五安置区)</w:t>
      </w:r>
      <w:r>
        <w:rPr>
          <w:rFonts w:hint="eastAsia" w:ascii="宋体" w:hAnsi="宋体" w:eastAsia="宋体" w:cs="宋体"/>
          <w:i w:val="0"/>
          <w:iCs w:val="0"/>
          <w:caps w:val="0"/>
          <w:color w:val="000000"/>
          <w:spacing w:val="0"/>
          <w:kern w:val="0"/>
          <w:sz w:val="28"/>
          <w:szCs w:val="28"/>
          <w:lang w:val="en-US" w:eastAsia="zh-CN" w:bidi="ar"/>
        </w:rPr>
        <w:t>获取采购文件，并于</w:t>
      </w:r>
      <w:r>
        <w:rPr>
          <w:rFonts w:hint="eastAsia" w:ascii="宋体" w:hAnsi="宋体" w:eastAsia="宋体" w:cs="宋体"/>
          <w:i w:val="0"/>
          <w:iCs w:val="0"/>
          <w:caps w:val="0"/>
          <w:color w:val="000000"/>
          <w:spacing w:val="0"/>
          <w:kern w:val="0"/>
          <w:sz w:val="28"/>
          <w:szCs w:val="28"/>
          <w:u w:val="single"/>
          <w:lang w:val="en-US" w:eastAsia="zh-CN" w:bidi="ar"/>
        </w:rPr>
        <w:t>2024-12-02 15:00</w:t>
      </w:r>
      <w:r>
        <w:rPr>
          <w:rFonts w:hint="eastAsia" w:ascii="宋体" w:hAnsi="宋体" w:eastAsia="宋体" w:cs="宋体"/>
          <w:i w:val="0"/>
          <w:iCs w:val="0"/>
          <w:caps w:val="0"/>
          <w:color w:val="000000"/>
          <w:spacing w:val="0"/>
          <w:kern w:val="0"/>
          <w:sz w:val="28"/>
          <w:szCs w:val="28"/>
          <w:lang w:val="en-US" w:eastAsia="zh-CN" w:bidi="ar"/>
        </w:rPr>
        <w:t>（北京时间）前提交响应文件。</w:t>
      </w:r>
    </w:p>
    <w:p w14:paraId="7BD0F79B">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一、项目基本情况</w:t>
      </w:r>
    </w:p>
    <w:p w14:paraId="02162888">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项目编号：168001JH621222004</w:t>
      </w:r>
    </w:p>
    <w:p w14:paraId="6A81155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项目名称：文县市场监督管理局2024年工业产品抽检项目</w:t>
      </w:r>
    </w:p>
    <w:p w14:paraId="789030C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预算金额：15.0(万元)</w:t>
      </w:r>
    </w:p>
    <w:p w14:paraId="4178139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最高限价：15(万元)</w:t>
      </w:r>
    </w:p>
    <w:p w14:paraId="55ABDF71">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采购需求：工业产品抽检一批。（具体内容详见磋商文件）</w:t>
      </w:r>
    </w:p>
    <w:p w14:paraId="6B6BF0CA">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合同履行期限：按合同约定执行</w:t>
      </w:r>
    </w:p>
    <w:p w14:paraId="5CBB443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本项目（是/否）接受联合体投标：否</w:t>
      </w:r>
    </w:p>
    <w:p w14:paraId="4AB7C8D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二、申请人的资格要求</w:t>
      </w:r>
    </w:p>
    <w:p w14:paraId="28F81E9B">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1）须符合《中华人民共和国政府采购法》之二十二条规定；（2）须提供法人授权函及被授权人身份证（正、反面复印件）（3）供应商未被列入“信用中国”网站(www.creditchina.gov.cn)记录失信被执行人、重大税收违法案件当事人名单、政府采购严重违法失信行为记录名单；不处于“中国政府采购”网(www.ccgp.gov.cn)“政府采购严重违法失信行为信息记录”中的“严重违法失信行为”的方可参加本项目的投标（以竞争性磋商公告发布之日起至响应文件递交截止之日各供应商自行在以上网站查询的结果为准，如相关失信记录失效，供应商需提供相关证明资料）；（4）参加政府采购活动前三年内，在经营活动中没有重大违法记录声明；（5）本项目不接受联合体投标。</w:t>
      </w:r>
    </w:p>
    <w:p w14:paraId="13C3867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落实政府采购政策需满足的资格要求：《政府采购促进中小企业发展管理办法》（财库[2020]46号）、关于进一步加大政府采购支持中小企业力度的通知（财库〔2022〕19号）、关于印发中小企业划型标准规定的通知（工信部联企业【2011】300号）、符合政府采购《节能产品政府采购清单》、《环境标志产品政府采购清单》优先采购政策、《关于促进残疾人就业政府采购政策的通知》（财库【2017】141号）等。</w:t>
      </w:r>
    </w:p>
    <w:p w14:paraId="40BD500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3.本项目的特定资格要求：投标人须具备与国家有关认证认可的规定相适应的检验检测机构资质认定证书，并通过省级及以上质监部门颁发的检验检测机构资质认定证书（CMA）的(有效期限内)检测机构。</w:t>
      </w:r>
    </w:p>
    <w:p w14:paraId="66856DD1">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三、获取采购文件</w:t>
      </w:r>
    </w:p>
    <w:p w14:paraId="033DFE4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时间：</w:t>
      </w:r>
      <w:r>
        <w:rPr>
          <w:rFonts w:hint="eastAsia" w:ascii="宋体" w:hAnsi="宋体" w:eastAsia="宋体" w:cs="宋体"/>
          <w:i w:val="0"/>
          <w:iCs w:val="0"/>
          <w:caps w:val="0"/>
          <w:color w:val="000000"/>
          <w:spacing w:val="0"/>
          <w:kern w:val="0"/>
          <w:sz w:val="28"/>
          <w:szCs w:val="28"/>
          <w:u w:val="single"/>
          <w:lang w:val="en-US" w:eastAsia="zh-CN" w:bidi="ar"/>
        </w:rPr>
        <w:t>2024-11-22</w:t>
      </w:r>
      <w:r>
        <w:rPr>
          <w:rFonts w:hint="eastAsia" w:ascii="宋体" w:hAnsi="宋体" w:eastAsia="宋体" w:cs="宋体"/>
          <w:i w:val="0"/>
          <w:iCs w:val="0"/>
          <w:caps w:val="0"/>
          <w:color w:val="000000"/>
          <w:spacing w:val="0"/>
          <w:kern w:val="0"/>
          <w:sz w:val="28"/>
          <w:szCs w:val="28"/>
          <w:lang w:val="en-US" w:eastAsia="zh-CN" w:bidi="ar"/>
        </w:rPr>
        <w:t>至</w:t>
      </w:r>
      <w:r>
        <w:rPr>
          <w:rFonts w:hint="eastAsia" w:ascii="宋体" w:hAnsi="宋体" w:eastAsia="宋体" w:cs="宋体"/>
          <w:i w:val="0"/>
          <w:iCs w:val="0"/>
          <w:caps w:val="0"/>
          <w:color w:val="000000"/>
          <w:spacing w:val="0"/>
          <w:kern w:val="0"/>
          <w:sz w:val="28"/>
          <w:szCs w:val="28"/>
          <w:u w:val="single"/>
          <w:lang w:val="en-US" w:eastAsia="zh-CN" w:bidi="ar"/>
        </w:rPr>
        <w:t>2024-11-28</w:t>
      </w:r>
      <w:r>
        <w:rPr>
          <w:rFonts w:hint="eastAsia" w:ascii="宋体" w:hAnsi="宋体" w:eastAsia="宋体" w:cs="宋体"/>
          <w:i w:val="0"/>
          <w:iCs w:val="0"/>
          <w:caps w:val="0"/>
          <w:color w:val="000000"/>
          <w:spacing w:val="0"/>
          <w:kern w:val="0"/>
          <w:sz w:val="28"/>
          <w:szCs w:val="28"/>
          <w:lang w:val="en-US" w:eastAsia="zh-CN" w:bidi="ar"/>
        </w:rPr>
        <w:t>，每天上午</w:t>
      </w:r>
      <w:r>
        <w:rPr>
          <w:rFonts w:hint="eastAsia" w:ascii="宋体" w:hAnsi="宋体" w:eastAsia="宋体" w:cs="宋体"/>
          <w:i w:val="0"/>
          <w:iCs w:val="0"/>
          <w:caps w:val="0"/>
          <w:color w:val="000000"/>
          <w:spacing w:val="0"/>
          <w:kern w:val="0"/>
          <w:sz w:val="28"/>
          <w:szCs w:val="28"/>
          <w:u w:val="single"/>
          <w:lang w:val="en-US" w:eastAsia="zh-CN" w:bidi="ar"/>
        </w:rPr>
        <w:t>8:30</w:t>
      </w:r>
      <w:r>
        <w:rPr>
          <w:rFonts w:hint="eastAsia" w:ascii="宋体" w:hAnsi="宋体" w:eastAsia="宋体" w:cs="宋体"/>
          <w:i w:val="0"/>
          <w:iCs w:val="0"/>
          <w:caps w:val="0"/>
          <w:color w:val="000000"/>
          <w:spacing w:val="0"/>
          <w:kern w:val="0"/>
          <w:sz w:val="28"/>
          <w:szCs w:val="28"/>
          <w:lang w:val="en-US" w:eastAsia="zh-CN" w:bidi="ar"/>
        </w:rPr>
        <w:t>至</w:t>
      </w:r>
      <w:r>
        <w:rPr>
          <w:rFonts w:hint="eastAsia" w:ascii="宋体" w:hAnsi="宋体" w:eastAsia="宋体" w:cs="宋体"/>
          <w:i w:val="0"/>
          <w:iCs w:val="0"/>
          <w:caps w:val="0"/>
          <w:color w:val="000000"/>
          <w:spacing w:val="0"/>
          <w:kern w:val="0"/>
          <w:sz w:val="28"/>
          <w:szCs w:val="28"/>
          <w:u w:val="single"/>
          <w:lang w:val="en-US" w:eastAsia="zh-CN" w:bidi="ar"/>
        </w:rPr>
        <w:t>11:30</w:t>
      </w:r>
      <w:r>
        <w:rPr>
          <w:rFonts w:hint="eastAsia" w:ascii="宋体" w:hAnsi="宋体" w:eastAsia="宋体" w:cs="宋体"/>
          <w:i w:val="0"/>
          <w:iCs w:val="0"/>
          <w:caps w:val="0"/>
          <w:color w:val="000000"/>
          <w:spacing w:val="0"/>
          <w:kern w:val="0"/>
          <w:sz w:val="28"/>
          <w:szCs w:val="28"/>
          <w:lang w:val="en-US" w:eastAsia="zh-CN" w:bidi="ar"/>
        </w:rPr>
        <w:t>，下午</w:t>
      </w:r>
      <w:r>
        <w:rPr>
          <w:rFonts w:hint="eastAsia" w:ascii="宋体" w:hAnsi="宋体" w:eastAsia="宋体" w:cs="宋体"/>
          <w:i w:val="0"/>
          <w:iCs w:val="0"/>
          <w:caps w:val="0"/>
          <w:color w:val="000000"/>
          <w:spacing w:val="0"/>
          <w:kern w:val="0"/>
          <w:sz w:val="28"/>
          <w:szCs w:val="28"/>
          <w:u w:val="single"/>
          <w:lang w:val="en-US" w:eastAsia="zh-CN" w:bidi="ar"/>
        </w:rPr>
        <w:t>14:30</w:t>
      </w:r>
      <w:r>
        <w:rPr>
          <w:rFonts w:hint="eastAsia" w:ascii="宋体" w:hAnsi="宋体" w:eastAsia="宋体" w:cs="宋体"/>
          <w:i w:val="0"/>
          <w:iCs w:val="0"/>
          <w:caps w:val="0"/>
          <w:color w:val="000000"/>
          <w:spacing w:val="0"/>
          <w:kern w:val="0"/>
          <w:sz w:val="28"/>
          <w:szCs w:val="28"/>
          <w:lang w:val="en-US" w:eastAsia="zh-CN" w:bidi="ar"/>
        </w:rPr>
        <w:t>至</w:t>
      </w:r>
      <w:r>
        <w:rPr>
          <w:rFonts w:hint="eastAsia" w:ascii="宋体" w:hAnsi="宋体" w:eastAsia="宋体" w:cs="宋体"/>
          <w:i w:val="0"/>
          <w:iCs w:val="0"/>
          <w:caps w:val="0"/>
          <w:color w:val="000000"/>
          <w:spacing w:val="0"/>
          <w:kern w:val="0"/>
          <w:sz w:val="28"/>
          <w:szCs w:val="28"/>
          <w:u w:val="single"/>
          <w:lang w:val="en-US" w:eastAsia="zh-CN" w:bidi="ar"/>
        </w:rPr>
        <w:t>17:30</w:t>
      </w:r>
    </w:p>
    <w:p w14:paraId="1A3DB291">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地点：陇南子午线招标代理有限公司(甘肃省陇南市武都区东江第五安置区)</w:t>
      </w:r>
    </w:p>
    <w:p w14:paraId="64F840FD">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方式：现场领取</w:t>
      </w:r>
    </w:p>
    <w:p w14:paraId="523DE687">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售价：0(元)</w:t>
      </w:r>
    </w:p>
    <w:p w14:paraId="07258463">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四、响应文件提交</w:t>
      </w:r>
    </w:p>
    <w:p w14:paraId="6BE15F68">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截止时间：2024-12-02 15:00</w:t>
      </w:r>
    </w:p>
    <w:p w14:paraId="170B6D6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地点：文县市场监督管理局会议室</w:t>
      </w:r>
    </w:p>
    <w:p w14:paraId="62330030">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lang w:val="en-US" w:eastAsia="zh-CN" w:bidi="ar"/>
        </w:rPr>
        <w:t>五、开启</w:t>
      </w:r>
    </w:p>
    <w:p w14:paraId="135EEFEB">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时间：2024-12-02 15:00:00</w:t>
      </w:r>
    </w:p>
    <w:p w14:paraId="73E9F27D">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地点：文县市场监督管理局会议室</w:t>
      </w:r>
    </w:p>
    <w:p w14:paraId="06DE6B8A">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六、公告期限</w:t>
      </w:r>
    </w:p>
    <w:p w14:paraId="66010024">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自本公告发布之日起3个工作日。</w:t>
      </w:r>
    </w:p>
    <w:p w14:paraId="5BCAA0A8">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七、其他补充事宜</w:t>
      </w:r>
    </w:p>
    <w:p w14:paraId="13B6C1A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委托人须为投标公司缴纳社保的员工，现场须携带公司为委托人缴纳的社 保证明原件（出具综合费金专用缴款书）、营业执照原件，开户许可证原件、审计报告原件或银行资信证明原件、法定代表人身份证复印件、被授权人身份证原件及法人授权书原件。）以及申请人的资格要求中所要求的所有证书原件并携带以上证件复印 件一套加盖公章。</w:t>
      </w:r>
    </w:p>
    <w:p w14:paraId="292F1AB6">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①信用中国”网站：https://www.creditchina.gov.cn</w:t>
      </w:r>
    </w:p>
    <w:p w14:paraId="46F3985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②中国政府采购网网址：http://www.ccgp.gov.cn/</w:t>
      </w:r>
    </w:p>
    <w:p w14:paraId="0C960706">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八、凡对本次采购提出询问，请按以下方式联系</w:t>
      </w:r>
    </w:p>
    <w:p w14:paraId="4933376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1.采购人信息</w:t>
      </w:r>
    </w:p>
    <w:p w14:paraId="5878C516">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名 称：</w:t>
      </w:r>
      <w:r>
        <w:rPr>
          <w:rFonts w:hint="eastAsia" w:ascii="宋体" w:hAnsi="宋体" w:eastAsia="宋体" w:cs="宋体"/>
          <w:i w:val="0"/>
          <w:iCs w:val="0"/>
          <w:caps w:val="0"/>
          <w:color w:val="000000"/>
          <w:spacing w:val="0"/>
          <w:kern w:val="0"/>
          <w:sz w:val="28"/>
          <w:szCs w:val="28"/>
          <w:u w:val="single"/>
          <w:lang w:val="en-US" w:eastAsia="zh-CN" w:bidi="ar"/>
        </w:rPr>
        <w:t>文县市场监督管理局</w:t>
      </w:r>
    </w:p>
    <w:p w14:paraId="0316E5D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 址：</w:t>
      </w:r>
      <w:r>
        <w:rPr>
          <w:rFonts w:hint="eastAsia" w:ascii="宋体" w:hAnsi="宋体" w:eastAsia="宋体" w:cs="宋体"/>
          <w:i w:val="0"/>
          <w:iCs w:val="0"/>
          <w:caps w:val="0"/>
          <w:color w:val="000000"/>
          <w:spacing w:val="0"/>
          <w:kern w:val="0"/>
          <w:sz w:val="28"/>
          <w:szCs w:val="28"/>
          <w:u w:val="single"/>
          <w:lang w:val="en-US" w:eastAsia="zh-CN" w:bidi="ar"/>
        </w:rPr>
        <w:t>甘肃省陇南市文县城关镇东坝社区</w:t>
      </w:r>
    </w:p>
    <w:p w14:paraId="0433D221">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联系方式：</w:t>
      </w:r>
      <w:r>
        <w:rPr>
          <w:rFonts w:hint="eastAsia" w:ascii="宋体" w:hAnsi="宋体" w:eastAsia="宋体" w:cs="宋体"/>
          <w:i w:val="0"/>
          <w:iCs w:val="0"/>
          <w:caps w:val="0"/>
          <w:color w:val="000000"/>
          <w:spacing w:val="0"/>
          <w:kern w:val="0"/>
          <w:sz w:val="28"/>
          <w:szCs w:val="28"/>
          <w:u w:val="single"/>
          <w:lang w:val="en-US" w:eastAsia="zh-CN" w:bidi="ar"/>
        </w:rPr>
        <w:t>15293912599</w:t>
      </w:r>
    </w:p>
    <w:p w14:paraId="5D3D669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2.采购代理机构信息</w:t>
      </w:r>
    </w:p>
    <w:p w14:paraId="2D67CE2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名 称：</w:t>
      </w:r>
      <w:r>
        <w:rPr>
          <w:rFonts w:hint="eastAsia" w:ascii="宋体" w:hAnsi="宋体" w:eastAsia="宋体" w:cs="宋体"/>
          <w:i w:val="0"/>
          <w:iCs w:val="0"/>
          <w:caps w:val="0"/>
          <w:color w:val="000000"/>
          <w:spacing w:val="0"/>
          <w:kern w:val="0"/>
          <w:sz w:val="28"/>
          <w:szCs w:val="28"/>
          <w:u w:val="single"/>
          <w:lang w:val="en-US" w:eastAsia="zh-CN" w:bidi="ar"/>
        </w:rPr>
        <w:t>陇南子午线招标代理有限公司</w:t>
      </w:r>
    </w:p>
    <w:p w14:paraId="1C2B27C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 址：</w:t>
      </w:r>
      <w:r>
        <w:rPr>
          <w:rFonts w:hint="eastAsia" w:ascii="宋体" w:hAnsi="宋体" w:eastAsia="宋体" w:cs="宋体"/>
          <w:i w:val="0"/>
          <w:iCs w:val="0"/>
          <w:caps w:val="0"/>
          <w:color w:val="000000"/>
          <w:spacing w:val="0"/>
          <w:kern w:val="0"/>
          <w:sz w:val="28"/>
          <w:szCs w:val="28"/>
          <w:u w:val="single"/>
          <w:lang w:val="en-US" w:eastAsia="zh-CN" w:bidi="ar"/>
        </w:rPr>
        <w:t>甘肃省陇南市武都区江北街道办兆庆家园小区6号楼1103室</w:t>
      </w:r>
    </w:p>
    <w:p w14:paraId="4AC640D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联系方式：</w:t>
      </w:r>
      <w:r>
        <w:rPr>
          <w:rFonts w:hint="eastAsia" w:ascii="宋体" w:hAnsi="宋体" w:eastAsia="宋体" w:cs="宋体"/>
          <w:i w:val="0"/>
          <w:iCs w:val="0"/>
          <w:caps w:val="0"/>
          <w:color w:val="000000"/>
          <w:spacing w:val="0"/>
          <w:kern w:val="0"/>
          <w:sz w:val="28"/>
          <w:szCs w:val="28"/>
          <w:u w:val="single"/>
          <w:lang w:val="en-US" w:eastAsia="zh-CN" w:bidi="ar"/>
        </w:rPr>
        <w:t>17793920248</w:t>
      </w:r>
    </w:p>
    <w:p w14:paraId="70B41A3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3.项目联系方式</w:t>
      </w:r>
    </w:p>
    <w:p w14:paraId="50D766C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项目联系人：</w:t>
      </w:r>
      <w:r>
        <w:rPr>
          <w:rFonts w:hint="eastAsia" w:ascii="宋体" w:hAnsi="宋体" w:eastAsia="宋体" w:cs="宋体"/>
          <w:i w:val="0"/>
          <w:iCs w:val="0"/>
          <w:caps w:val="0"/>
          <w:color w:val="000000"/>
          <w:spacing w:val="0"/>
          <w:kern w:val="0"/>
          <w:sz w:val="28"/>
          <w:szCs w:val="28"/>
          <w:u w:val="single"/>
          <w:lang w:val="en-US" w:eastAsia="zh-CN" w:bidi="ar"/>
        </w:rPr>
        <w:t>杨主任</w:t>
      </w:r>
    </w:p>
    <w:p w14:paraId="6AF7A85B">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电　话：</w:t>
      </w:r>
      <w:r>
        <w:rPr>
          <w:rFonts w:hint="eastAsia" w:ascii="宋体" w:hAnsi="宋体" w:eastAsia="宋体" w:cs="宋体"/>
          <w:i w:val="0"/>
          <w:iCs w:val="0"/>
          <w:caps w:val="0"/>
          <w:color w:val="000000"/>
          <w:spacing w:val="0"/>
          <w:kern w:val="0"/>
          <w:sz w:val="28"/>
          <w:szCs w:val="28"/>
          <w:u w:val="single"/>
          <w:lang w:val="en-US" w:eastAsia="zh-CN" w:bidi="ar"/>
        </w:rPr>
        <w:t>17793920248</w:t>
      </w:r>
    </w:p>
    <w:p w14:paraId="267E4C56">
      <w:pPr>
        <w:rPr>
          <w:rFonts w:hint="eastAsia" w:ascii="宋体" w:hAnsi="宋体" w:eastAsia="宋体" w:cs="宋体"/>
          <w:sz w:val="24"/>
          <w:szCs w:val="24"/>
          <w:lang w:bidi="ar"/>
        </w:rPr>
      </w:pPr>
      <w:r>
        <w:rPr>
          <w:rFonts w:hint="eastAsia" w:ascii="宋体" w:hAnsi="宋体" w:eastAsia="宋体" w:cs="宋体"/>
          <w:sz w:val="24"/>
          <w:szCs w:val="24"/>
          <w:lang w:bidi="ar"/>
        </w:rPr>
        <w:br w:type="page"/>
      </w:r>
    </w:p>
    <w:p w14:paraId="1F2C326D">
      <w:pPr>
        <w:adjustRightInd/>
        <w:snapToGrid/>
        <w:spacing w:after="0" w:line="360" w:lineRule="auto"/>
        <w:jc w:val="center"/>
        <w:textAlignment w:val="baseline"/>
        <w:outlineLvl w:val="0"/>
        <w:rPr>
          <w:rFonts w:ascii="宋体" w:hAnsi="宋体" w:eastAsia="宋体" w:cs="Times New Roman"/>
          <w:b/>
          <w:bCs/>
          <w:kern w:val="44"/>
          <w:sz w:val="30"/>
        </w:rPr>
      </w:pPr>
      <w:r>
        <w:rPr>
          <w:rFonts w:hint="eastAsia" w:ascii="宋体" w:hAnsi="宋体" w:eastAsia="宋体" w:cs="宋体"/>
          <w:sz w:val="24"/>
          <w:szCs w:val="24"/>
          <w:lang w:bidi="ar"/>
        </w:rPr>
        <w:t xml:space="preserve"> </w:t>
      </w:r>
      <w:bookmarkStart w:id="4" w:name="_Toc9145"/>
      <w:bookmarkStart w:id="5" w:name="_Toc29214"/>
      <w:bookmarkStart w:id="6" w:name="_Toc26609"/>
      <w:r>
        <w:rPr>
          <w:rFonts w:hint="eastAsia" w:ascii="宋体" w:hAnsi="宋体" w:eastAsia="宋体" w:cs="Times New Roman"/>
          <w:b/>
          <w:bCs/>
          <w:kern w:val="44"/>
          <w:sz w:val="30"/>
        </w:rPr>
        <w:t>第二章</w:t>
      </w:r>
      <w:bookmarkEnd w:id="4"/>
      <w:r>
        <w:rPr>
          <w:rFonts w:hint="eastAsia" w:ascii="宋体" w:hAnsi="宋体" w:eastAsia="宋体" w:cs="Times New Roman"/>
          <w:b/>
          <w:bCs/>
          <w:kern w:val="44"/>
          <w:sz w:val="30"/>
        </w:rPr>
        <w:t>、</w:t>
      </w:r>
      <w:bookmarkStart w:id="7" w:name="_Toc13730"/>
      <w:r>
        <w:rPr>
          <w:rFonts w:hint="eastAsia" w:ascii="宋体" w:hAnsi="宋体" w:eastAsia="宋体" w:cs="Times New Roman"/>
          <w:b/>
          <w:bCs/>
          <w:kern w:val="44"/>
          <w:sz w:val="30"/>
        </w:rPr>
        <w:t>投标人须知前附表</w:t>
      </w:r>
      <w:bookmarkEnd w:id="5"/>
      <w:bookmarkEnd w:id="6"/>
      <w:bookmarkEnd w:id="7"/>
    </w:p>
    <w:p w14:paraId="0C6407F3">
      <w:pPr>
        <w:jc w:val="center"/>
        <w:outlineLvl w:val="9"/>
        <w:rPr>
          <w:rFonts w:ascii="宋体" w:hAnsi="宋体" w:eastAsia="宋体" w:cs="宋体"/>
          <w:b/>
          <w:bCs/>
          <w:sz w:val="28"/>
          <w:szCs w:val="28"/>
        </w:rPr>
      </w:pPr>
      <w:bookmarkStart w:id="8" w:name="_Toc21996"/>
      <w:bookmarkStart w:id="9" w:name="_Toc13947"/>
      <w:bookmarkStart w:id="10" w:name="_Toc525"/>
      <w:r>
        <w:rPr>
          <w:rFonts w:hint="eastAsia" w:ascii="宋体" w:hAnsi="宋体" w:eastAsia="宋体" w:cs="宋体"/>
          <w:b/>
          <w:bCs/>
          <w:sz w:val="28"/>
          <w:szCs w:val="28"/>
        </w:rPr>
        <w:t>投标人须知前附表</w:t>
      </w:r>
      <w:bookmarkEnd w:id="8"/>
      <w:bookmarkEnd w:id="9"/>
      <w:bookmarkEnd w:id="10"/>
    </w:p>
    <w:tbl>
      <w:tblPr>
        <w:tblStyle w:val="27"/>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8370"/>
      </w:tblGrid>
      <w:tr w14:paraId="0F9D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5" w:type="dxa"/>
            <w:noWrap w:val="0"/>
            <w:vAlign w:val="center"/>
          </w:tcPr>
          <w:p w14:paraId="4A05B740">
            <w:pPr>
              <w:snapToGrid w:val="0"/>
              <w:spacing w:line="540" w:lineRule="exact"/>
              <w:jc w:val="center"/>
              <w:rPr>
                <w:rFonts w:hint="eastAsia" w:hAnsi="宋体"/>
                <w:b/>
                <w:szCs w:val="21"/>
              </w:rPr>
            </w:pPr>
            <w:r>
              <w:rPr>
                <w:rFonts w:hint="eastAsia" w:hAnsi="宋体"/>
                <w:b/>
                <w:szCs w:val="21"/>
              </w:rPr>
              <w:t>序号</w:t>
            </w:r>
          </w:p>
        </w:tc>
        <w:tc>
          <w:tcPr>
            <w:tcW w:w="1080" w:type="dxa"/>
            <w:noWrap w:val="0"/>
            <w:vAlign w:val="center"/>
          </w:tcPr>
          <w:p w14:paraId="2C13F210">
            <w:pPr>
              <w:snapToGrid w:val="0"/>
              <w:jc w:val="center"/>
              <w:rPr>
                <w:rFonts w:hint="eastAsia" w:hAnsi="宋体"/>
                <w:b/>
                <w:szCs w:val="21"/>
              </w:rPr>
            </w:pPr>
            <w:r>
              <w:rPr>
                <w:rFonts w:hint="eastAsia" w:hAnsi="宋体"/>
                <w:b/>
                <w:szCs w:val="21"/>
              </w:rPr>
              <w:t>投标须知条款号</w:t>
            </w:r>
          </w:p>
        </w:tc>
        <w:tc>
          <w:tcPr>
            <w:tcW w:w="8370" w:type="dxa"/>
            <w:noWrap w:val="0"/>
            <w:vAlign w:val="center"/>
          </w:tcPr>
          <w:p w14:paraId="18794270">
            <w:pPr>
              <w:snapToGrid w:val="0"/>
              <w:spacing w:line="540" w:lineRule="exact"/>
              <w:jc w:val="center"/>
              <w:rPr>
                <w:rFonts w:hint="eastAsia" w:hAnsi="宋体"/>
                <w:b/>
                <w:szCs w:val="21"/>
              </w:rPr>
            </w:pPr>
            <w:r>
              <w:rPr>
                <w:rFonts w:hint="eastAsia" w:hAnsi="宋体"/>
                <w:b/>
                <w:szCs w:val="21"/>
              </w:rPr>
              <w:t>内</w:t>
            </w:r>
            <w:r>
              <w:rPr>
                <w:rFonts w:hAnsi="宋体"/>
                <w:b/>
                <w:szCs w:val="21"/>
              </w:rPr>
              <w:t xml:space="preserve">  </w:t>
            </w:r>
            <w:r>
              <w:rPr>
                <w:rFonts w:hint="eastAsia" w:hAnsi="宋体"/>
                <w:b/>
                <w:szCs w:val="21"/>
              </w:rPr>
              <w:t>容</w:t>
            </w:r>
          </w:p>
        </w:tc>
      </w:tr>
      <w:tr w14:paraId="074E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75" w:type="dxa"/>
            <w:noWrap w:val="0"/>
            <w:vAlign w:val="center"/>
          </w:tcPr>
          <w:p w14:paraId="7B809B94">
            <w:pPr>
              <w:snapToGrid w:val="0"/>
              <w:spacing w:line="540" w:lineRule="exact"/>
              <w:jc w:val="center"/>
              <w:rPr>
                <w:rFonts w:hint="eastAsia" w:hAnsi="宋体"/>
                <w:szCs w:val="21"/>
              </w:rPr>
            </w:pPr>
            <w:r>
              <w:rPr>
                <w:rFonts w:hAnsi="宋体"/>
                <w:szCs w:val="21"/>
              </w:rPr>
              <w:t>1</w:t>
            </w:r>
          </w:p>
        </w:tc>
        <w:tc>
          <w:tcPr>
            <w:tcW w:w="1080" w:type="dxa"/>
            <w:noWrap w:val="0"/>
            <w:vAlign w:val="center"/>
          </w:tcPr>
          <w:p w14:paraId="04A19AC1">
            <w:pPr>
              <w:snapToGrid w:val="0"/>
              <w:spacing w:line="540" w:lineRule="exact"/>
              <w:jc w:val="center"/>
              <w:rPr>
                <w:rFonts w:hint="eastAsia" w:hAnsi="宋体"/>
                <w:szCs w:val="21"/>
              </w:rPr>
            </w:pPr>
            <w:r>
              <w:rPr>
                <w:rFonts w:hint="eastAsia" w:hAnsi="宋体"/>
                <w:szCs w:val="21"/>
              </w:rPr>
              <w:t>1.1</w:t>
            </w:r>
          </w:p>
        </w:tc>
        <w:tc>
          <w:tcPr>
            <w:tcW w:w="8370" w:type="dxa"/>
            <w:noWrap w:val="0"/>
            <w:vAlign w:val="top"/>
          </w:tcPr>
          <w:p w14:paraId="550E9426">
            <w:pPr>
              <w:widowControl/>
              <w:overflowPunct w:val="0"/>
              <w:autoSpaceDE w:val="0"/>
              <w:autoSpaceDN w:val="0"/>
              <w:adjustRightInd w:val="0"/>
              <w:snapToGrid w:val="0"/>
              <w:spacing w:line="540" w:lineRule="exact"/>
              <w:textAlignment w:val="baseline"/>
              <w:rPr>
                <w:rFonts w:hint="eastAsia" w:hAnsi="宋体"/>
                <w:bCs/>
                <w:szCs w:val="21"/>
              </w:rPr>
            </w:pPr>
            <w:r>
              <w:rPr>
                <w:rFonts w:hint="eastAsia" w:hAnsi="宋体"/>
                <w:bCs/>
                <w:szCs w:val="21"/>
              </w:rPr>
              <w:t>1.</w:t>
            </w:r>
            <w:r>
              <w:rPr>
                <w:rFonts w:hint="eastAsia" w:hAnsi="宋体"/>
                <w:b/>
                <w:szCs w:val="21"/>
              </w:rPr>
              <w:t>项目名称：</w:t>
            </w:r>
            <w:r>
              <w:rPr>
                <w:rFonts w:hint="eastAsia" w:hAnsi="宋体"/>
                <w:szCs w:val="21"/>
                <w:lang w:eastAsia="zh-CN"/>
              </w:rPr>
              <w:t>文县市场监督管理局2024年工业产品抽检项目</w:t>
            </w:r>
            <w:r>
              <w:rPr>
                <w:rFonts w:hint="eastAsia" w:hAnsi="宋体"/>
                <w:szCs w:val="21"/>
              </w:rPr>
              <w:t>。</w:t>
            </w:r>
          </w:p>
          <w:p w14:paraId="30F4660E">
            <w:pPr>
              <w:widowControl/>
              <w:overflowPunct w:val="0"/>
              <w:autoSpaceDE w:val="0"/>
              <w:autoSpaceDN w:val="0"/>
              <w:adjustRightInd w:val="0"/>
              <w:snapToGrid w:val="0"/>
              <w:spacing w:line="540" w:lineRule="exact"/>
              <w:textAlignment w:val="baseline"/>
              <w:rPr>
                <w:rFonts w:hint="eastAsia" w:hAnsi="宋体"/>
                <w:szCs w:val="21"/>
              </w:rPr>
            </w:pPr>
            <w:r>
              <w:rPr>
                <w:rFonts w:hint="eastAsia" w:hAnsi="宋体"/>
                <w:bCs/>
                <w:szCs w:val="21"/>
              </w:rPr>
              <w:t>2.</w:t>
            </w:r>
            <w:r>
              <w:rPr>
                <w:rFonts w:hint="eastAsia" w:hAnsi="宋体"/>
                <w:b/>
                <w:szCs w:val="21"/>
              </w:rPr>
              <w:t>磋商内容：</w:t>
            </w:r>
            <w:r>
              <w:rPr>
                <w:rFonts w:hint="eastAsia" w:hAnsi="宋体"/>
                <w:b w:val="0"/>
                <w:bCs/>
                <w:szCs w:val="21"/>
              </w:rPr>
              <w:t>工业产品抽检（具体内容详见采购文件）。</w:t>
            </w:r>
          </w:p>
        </w:tc>
      </w:tr>
      <w:tr w14:paraId="1601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noWrap w:val="0"/>
            <w:vAlign w:val="center"/>
          </w:tcPr>
          <w:p w14:paraId="58BD54D0">
            <w:pPr>
              <w:snapToGrid w:val="0"/>
              <w:spacing w:line="540" w:lineRule="exact"/>
              <w:jc w:val="center"/>
              <w:rPr>
                <w:rFonts w:hint="eastAsia" w:hAnsi="宋体"/>
                <w:szCs w:val="21"/>
              </w:rPr>
            </w:pPr>
            <w:r>
              <w:rPr>
                <w:rFonts w:hAnsi="宋体"/>
                <w:szCs w:val="21"/>
              </w:rPr>
              <w:t>2</w:t>
            </w:r>
          </w:p>
        </w:tc>
        <w:tc>
          <w:tcPr>
            <w:tcW w:w="1080" w:type="dxa"/>
            <w:noWrap w:val="0"/>
            <w:vAlign w:val="center"/>
          </w:tcPr>
          <w:p w14:paraId="10ED058D">
            <w:pPr>
              <w:snapToGrid w:val="0"/>
              <w:spacing w:line="540" w:lineRule="exact"/>
              <w:jc w:val="center"/>
              <w:rPr>
                <w:rFonts w:hint="eastAsia" w:hAnsi="宋体"/>
                <w:szCs w:val="21"/>
              </w:rPr>
            </w:pPr>
            <w:r>
              <w:rPr>
                <w:rFonts w:hint="eastAsia" w:hAnsi="宋体"/>
                <w:szCs w:val="21"/>
              </w:rPr>
              <w:t>2.1</w:t>
            </w:r>
          </w:p>
        </w:tc>
        <w:tc>
          <w:tcPr>
            <w:tcW w:w="8370" w:type="dxa"/>
            <w:noWrap w:val="0"/>
            <w:vAlign w:val="center"/>
          </w:tcPr>
          <w:p w14:paraId="04C2058A">
            <w:pPr>
              <w:snapToGrid w:val="0"/>
              <w:spacing w:line="540" w:lineRule="exact"/>
              <w:rPr>
                <w:rFonts w:hint="eastAsia" w:hAnsi="宋体"/>
                <w:b/>
                <w:szCs w:val="21"/>
              </w:rPr>
            </w:pPr>
            <w:r>
              <w:rPr>
                <w:rFonts w:hint="eastAsia" w:hAnsi="宋体"/>
                <w:b/>
                <w:szCs w:val="21"/>
              </w:rPr>
              <w:t>招标人资金来源</w:t>
            </w:r>
            <w:r>
              <w:rPr>
                <w:rFonts w:hint="eastAsia" w:hAnsi="宋体"/>
                <w:szCs w:val="21"/>
              </w:rPr>
              <w:t>：</w:t>
            </w:r>
            <w:r>
              <w:rPr>
                <w:rFonts w:hint="eastAsia" w:hAnsi="宋体"/>
                <w:szCs w:val="21"/>
                <w:lang w:eastAsia="zh-CN"/>
              </w:rPr>
              <w:t xml:space="preserve">财政资金。 </w:t>
            </w:r>
          </w:p>
        </w:tc>
      </w:tr>
      <w:tr w14:paraId="22B9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5" w:type="dxa"/>
            <w:noWrap w:val="0"/>
            <w:vAlign w:val="center"/>
          </w:tcPr>
          <w:p w14:paraId="190F238B">
            <w:pPr>
              <w:snapToGrid w:val="0"/>
              <w:spacing w:line="540" w:lineRule="exact"/>
              <w:jc w:val="center"/>
              <w:rPr>
                <w:rFonts w:hint="eastAsia" w:hAnsi="宋体"/>
                <w:szCs w:val="21"/>
              </w:rPr>
            </w:pPr>
            <w:r>
              <w:rPr>
                <w:rFonts w:hAnsi="宋体"/>
                <w:szCs w:val="21"/>
              </w:rPr>
              <w:t>3</w:t>
            </w:r>
          </w:p>
        </w:tc>
        <w:tc>
          <w:tcPr>
            <w:tcW w:w="1080" w:type="dxa"/>
            <w:noWrap w:val="0"/>
            <w:vAlign w:val="center"/>
          </w:tcPr>
          <w:p w14:paraId="66E3C8BD">
            <w:pPr>
              <w:snapToGrid w:val="0"/>
              <w:spacing w:line="360" w:lineRule="auto"/>
              <w:rPr>
                <w:rFonts w:hint="eastAsia" w:hAnsi="宋体"/>
                <w:szCs w:val="21"/>
              </w:rPr>
            </w:pPr>
            <w:r>
              <w:rPr>
                <w:rFonts w:hint="eastAsia" w:hAnsi="宋体"/>
                <w:szCs w:val="21"/>
              </w:rPr>
              <w:t>3.1</w:t>
            </w:r>
          </w:p>
        </w:tc>
        <w:tc>
          <w:tcPr>
            <w:tcW w:w="8370" w:type="dxa"/>
            <w:noWrap w:val="0"/>
            <w:vAlign w:val="center"/>
          </w:tcPr>
          <w:p w14:paraId="7239FCB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hAnsi="宋体"/>
                <w:szCs w:val="21"/>
              </w:rPr>
            </w:pPr>
            <w:r>
              <w:rPr>
                <w:rFonts w:hint="eastAsia" w:hAnsi="宋体"/>
                <w:szCs w:val="21"/>
              </w:rPr>
              <w:t>投标人资格标准：</w:t>
            </w:r>
            <w:r>
              <w:rPr>
                <w:rFonts w:ascii="微软雅黑" w:hAnsi="微软雅黑" w:eastAsia="微软雅黑" w:cs="微软雅黑"/>
                <w:i w:val="0"/>
                <w:iCs w:val="0"/>
                <w:caps w:val="0"/>
                <w:color w:val="333333"/>
                <w:spacing w:val="0"/>
                <w:sz w:val="22"/>
                <w:szCs w:val="22"/>
                <w:shd w:val="clear" w:fill="FFFFFF"/>
              </w:rPr>
              <w:t>（1）须符合《中华人民共和国政府采购法》之二十二条；（2）须具有合法有效的法人营业执照、国家和地方税务登记证、组织机构代码证、开户许可证；前述法人营业执照、税务登记证、组织机构代码证已三证合一的，则需提供具有统一社会信用代码的营业执照； （3） 须提供法人授权函及被授权人身份证（正、反面复印件）； （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5）本项目不接受联合体投标。</w:t>
            </w:r>
          </w:p>
        </w:tc>
      </w:tr>
      <w:tr w14:paraId="7F06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noWrap w:val="0"/>
            <w:vAlign w:val="center"/>
          </w:tcPr>
          <w:p w14:paraId="7B8C6210">
            <w:pPr>
              <w:snapToGrid w:val="0"/>
              <w:spacing w:line="540" w:lineRule="exact"/>
              <w:jc w:val="center"/>
              <w:rPr>
                <w:rFonts w:hint="eastAsia" w:hAnsi="宋体"/>
                <w:szCs w:val="21"/>
              </w:rPr>
            </w:pPr>
            <w:r>
              <w:rPr>
                <w:rFonts w:hint="eastAsia" w:hAnsi="宋体"/>
                <w:szCs w:val="21"/>
              </w:rPr>
              <w:t>4</w:t>
            </w:r>
          </w:p>
        </w:tc>
        <w:tc>
          <w:tcPr>
            <w:tcW w:w="1080" w:type="dxa"/>
            <w:noWrap w:val="0"/>
            <w:vAlign w:val="center"/>
          </w:tcPr>
          <w:p w14:paraId="37DB2C4C">
            <w:pPr>
              <w:snapToGrid w:val="0"/>
              <w:spacing w:line="540" w:lineRule="exact"/>
              <w:jc w:val="center"/>
              <w:rPr>
                <w:rFonts w:hint="eastAsia" w:hAnsi="宋体"/>
                <w:szCs w:val="21"/>
              </w:rPr>
            </w:pPr>
            <w:r>
              <w:rPr>
                <w:rFonts w:hint="eastAsia" w:hAnsi="宋体"/>
                <w:szCs w:val="21"/>
              </w:rPr>
              <w:t>4.1</w:t>
            </w:r>
          </w:p>
        </w:tc>
        <w:tc>
          <w:tcPr>
            <w:tcW w:w="8370" w:type="dxa"/>
            <w:noWrap w:val="0"/>
            <w:vAlign w:val="center"/>
          </w:tcPr>
          <w:p w14:paraId="5E680C5D">
            <w:pPr>
              <w:snapToGrid w:val="0"/>
              <w:spacing w:line="540" w:lineRule="exact"/>
              <w:rPr>
                <w:rFonts w:hint="eastAsia" w:hAnsi="宋体"/>
                <w:szCs w:val="21"/>
              </w:rPr>
            </w:pPr>
            <w:r>
              <w:rPr>
                <w:rFonts w:hint="eastAsia" w:hAnsi="宋体"/>
                <w:b/>
                <w:szCs w:val="21"/>
              </w:rPr>
              <w:t>投标有效期</w:t>
            </w:r>
            <w:r>
              <w:rPr>
                <w:rFonts w:hint="eastAsia" w:hAnsi="宋体"/>
                <w:szCs w:val="21"/>
              </w:rPr>
              <w:t>：自递交投标文件截止时间起算</w:t>
            </w:r>
            <w:r>
              <w:rPr>
                <w:rFonts w:hint="eastAsia" w:hAnsi="宋体"/>
                <w:szCs w:val="21"/>
                <w:u w:val="single"/>
              </w:rPr>
              <w:t>60个</w:t>
            </w:r>
            <w:r>
              <w:rPr>
                <w:rFonts w:hint="eastAsia" w:hAnsi="宋体"/>
                <w:szCs w:val="21"/>
              </w:rPr>
              <w:t>日历天。</w:t>
            </w:r>
          </w:p>
        </w:tc>
      </w:tr>
      <w:tr w14:paraId="0F1D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75" w:type="dxa"/>
            <w:noWrap w:val="0"/>
            <w:vAlign w:val="center"/>
          </w:tcPr>
          <w:p w14:paraId="6A1638D5">
            <w:pPr>
              <w:snapToGrid w:val="0"/>
              <w:spacing w:line="540" w:lineRule="exact"/>
              <w:jc w:val="center"/>
              <w:rPr>
                <w:rFonts w:hint="eastAsia" w:hAnsi="宋体"/>
                <w:szCs w:val="21"/>
              </w:rPr>
            </w:pPr>
            <w:r>
              <w:rPr>
                <w:rFonts w:hint="eastAsia" w:hAnsi="宋体"/>
                <w:szCs w:val="21"/>
              </w:rPr>
              <w:t>5</w:t>
            </w:r>
          </w:p>
        </w:tc>
        <w:tc>
          <w:tcPr>
            <w:tcW w:w="1080" w:type="dxa"/>
            <w:noWrap w:val="0"/>
            <w:vAlign w:val="center"/>
          </w:tcPr>
          <w:p w14:paraId="4059D7CC">
            <w:pPr>
              <w:snapToGrid w:val="0"/>
              <w:spacing w:line="540" w:lineRule="exact"/>
              <w:jc w:val="center"/>
              <w:rPr>
                <w:rFonts w:hint="eastAsia" w:hAnsi="宋体"/>
                <w:szCs w:val="21"/>
              </w:rPr>
            </w:pPr>
            <w:r>
              <w:rPr>
                <w:rFonts w:hint="eastAsia" w:hAnsi="宋体"/>
                <w:szCs w:val="21"/>
              </w:rPr>
              <w:t>5.1</w:t>
            </w:r>
          </w:p>
        </w:tc>
        <w:tc>
          <w:tcPr>
            <w:tcW w:w="8370" w:type="dxa"/>
            <w:noWrap w:val="0"/>
            <w:vAlign w:val="center"/>
          </w:tcPr>
          <w:p w14:paraId="44050BAF">
            <w:pPr>
              <w:widowControl/>
              <w:overflowPunct w:val="0"/>
              <w:autoSpaceDE w:val="0"/>
              <w:autoSpaceDN w:val="0"/>
              <w:adjustRightInd w:val="0"/>
              <w:snapToGrid w:val="0"/>
              <w:spacing w:line="540" w:lineRule="exact"/>
              <w:jc w:val="left"/>
              <w:textAlignment w:val="baseline"/>
              <w:rPr>
                <w:rFonts w:hint="eastAsia" w:hAnsi="宋体"/>
                <w:szCs w:val="21"/>
              </w:rPr>
            </w:pPr>
            <w:r>
              <w:rPr>
                <w:rFonts w:hint="eastAsia" w:ascii="宋体" w:hAnsi="宋体"/>
                <w:b/>
                <w:bCs/>
                <w:szCs w:val="21"/>
              </w:rPr>
              <w:t xml:space="preserve"> 投标保证金：为进一步优化营商环境举措，按照甘财采(2022)16号甘肃省财政厅关于进一步加大政府采购支持中小企业力度的通知，全省政府采购项目不再收取投标保证金。</w:t>
            </w:r>
            <w:bookmarkStart w:id="351" w:name="_GoBack"/>
            <w:bookmarkEnd w:id="351"/>
          </w:p>
        </w:tc>
      </w:tr>
      <w:tr w14:paraId="37A3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noWrap w:val="0"/>
            <w:vAlign w:val="center"/>
          </w:tcPr>
          <w:p w14:paraId="7D9499A3">
            <w:pPr>
              <w:snapToGrid w:val="0"/>
              <w:spacing w:line="540" w:lineRule="exact"/>
              <w:jc w:val="center"/>
              <w:rPr>
                <w:rFonts w:hint="eastAsia" w:hAnsi="宋体"/>
                <w:szCs w:val="21"/>
              </w:rPr>
            </w:pPr>
            <w:r>
              <w:rPr>
                <w:rFonts w:hint="eastAsia" w:hAnsi="宋体"/>
                <w:szCs w:val="21"/>
              </w:rPr>
              <w:t>6</w:t>
            </w:r>
          </w:p>
        </w:tc>
        <w:tc>
          <w:tcPr>
            <w:tcW w:w="1080" w:type="dxa"/>
            <w:noWrap w:val="0"/>
            <w:vAlign w:val="center"/>
          </w:tcPr>
          <w:p w14:paraId="5C40BE2C">
            <w:pPr>
              <w:snapToGrid w:val="0"/>
              <w:spacing w:line="540" w:lineRule="exact"/>
              <w:jc w:val="center"/>
              <w:rPr>
                <w:rFonts w:hint="eastAsia" w:hAnsi="宋体"/>
                <w:szCs w:val="21"/>
              </w:rPr>
            </w:pPr>
            <w:r>
              <w:rPr>
                <w:rFonts w:hint="eastAsia" w:hAnsi="宋体"/>
                <w:szCs w:val="21"/>
              </w:rPr>
              <w:t>/</w:t>
            </w:r>
          </w:p>
        </w:tc>
        <w:tc>
          <w:tcPr>
            <w:tcW w:w="8370" w:type="dxa"/>
            <w:noWrap w:val="0"/>
            <w:vAlign w:val="center"/>
          </w:tcPr>
          <w:p w14:paraId="3D169458">
            <w:pPr>
              <w:snapToGrid w:val="0"/>
              <w:spacing w:line="540" w:lineRule="exact"/>
              <w:rPr>
                <w:rFonts w:hint="eastAsia" w:hAnsi="宋体"/>
                <w:szCs w:val="21"/>
              </w:rPr>
            </w:pPr>
            <w:r>
              <w:rPr>
                <w:rFonts w:hint="eastAsia" w:hAnsi="宋体"/>
                <w:b/>
                <w:szCs w:val="21"/>
              </w:rPr>
              <w:t>投标报价限价：</w:t>
            </w:r>
            <w:r>
              <w:rPr>
                <w:rFonts w:hint="eastAsia" w:hAnsi="宋体"/>
                <w:b/>
                <w:szCs w:val="21"/>
                <w:lang w:val="en-US" w:eastAsia="zh-CN"/>
              </w:rPr>
              <w:t>15</w:t>
            </w:r>
            <w:r>
              <w:rPr>
                <w:rFonts w:hint="eastAsia" w:hAnsi="宋体"/>
                <w:b/>
                <w:szCs w:val="21"/>
              </w:rPr>
              <w:t>万元</w:t>
            </w:r>
            <w:r>
              <w:rPr>
                <w:rFonts w:hint="eastAsia" w:hAnsi="宋体"/>
                <w:szCs w:val="21"/>
              </w:rPr>
              <w:t>（超过限价按废标处理）</w:t>
            </w:r>
          </w:p>
        </w:tc>
      </w:tr>
      <w:tr w14:paraId="5A7E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noWrap w:val="0"/>
            <w:vAlign w:val="center"/>
          </w:tcPr>
          <w:p w14:paraId="075BD4EC">
            <w:pPr>
              <w:snapToGrid w:val="0"/>
              <w:spacing w:line="540" w:lineRule="exact"/>
              <w:jc w:val="center"/>
              <w:rPr>
                <w:rFonts w:hint="eastAsia" w:hAnsi="宋体"/>
                <w:szCs w:val="21"/>
              </w:rPr>
            </w:pPr>
            <w:r>
              <w:rPr>
                <w:rFonts w:hint="eastAsia" w:hAnsi="宋体"/>
                <w:szCs w:val="21"/>
              </w:rPr>
              <w:t>7</w:t>
            </w:r>
          </w:p>
        </w:tc>
        <w:tc>
          <w:tcPr>
            <w:tcW w:w="1080" w:type="dxa"/>
            <w:noWrap w:val="0"/>
            <w:vAlign w:val="center"/>
          </w:tcPr>
          <w:p w14:paraId="31396C60">
            <w:pPr>
              <w:snapToGrid w:val="0"/>
              <w:spacing w:line="540" w:lineRule="exact"/>
              <w:jc w:val="center"/>
              <w:rPr>
                <w:rFonts w:hint="eastAsia" w:hAnsi="宋体"/>
                <w:szCs w:val="21"/>
              </w:rPr>
            </w:pPr>
            <w:r>
              <w:rPr>
                <w:rFonts w:hint="eastAsia" w:hAnsi="宋体"/>
                <w:szCs w:val="21"/>
              </w:rPr>
              <w:t>/</w:t>
            </w:r>
          </w:p>
        </w:tc>
        <w:tc>
          <w:tcPr>
            <w:tcW w:w="8370" w:type="dxa"/>
            <w:noWrap w:val="0"/>
            <w:vAlign w:val="top"/>
          </w:tcPr>
          <w:p w14:paraId="3DABAC0A">
            <w:pPr>
              <w:snapToGrid w:val="0"/>
              <w:spacing w:line="540" w:lineRule="exact"/>
              <w:rPr>
                <w:rFonts w:hint="eastAsia" w:hAnsi="宋体"/>
                <w:szCs w:val="21"/>
              </w:rPr>
            </w:pPr>
            <w:r>
              <w:rPr>
                <w:rFonts w:hint="eastAsia" w:hAnsi="宋体"/>
                <w:b/>
                <w:szCs w:val="21"/>
              </w:rPr>
              <w:t>招标预备会</w:t>
            </w:r>
            <w:r>
              <w:rPr>
                <w:rFonts w:hint="eastAsia" w:hAnsi="宋体"/>
                <w:szCs w:val="21"/>
              </w:rPr>
              <w:t>：日期：  年    月   日   时（本项目不组织招标预备会）</w:t>
            </w:r>
          </w:p>
        </w:tc>
      </w:tr>
      <w:tr w14:paraId="459B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75" w:type="dxa"/>
            <w:noWrap w:val="0"/>
            <w:vAlign w:val="center"/>
          </w:tcPr>
          <w:p w14:paraId="1CD4F7DB">
            <w:pPr>
              <w:snapToGrid w:val="0"/>
              <w:spacing w:line="540" w:lineRule="exact"/>
              <w:jc w:val="center"/>
              <w:rPr>
                <w:rFonts w:hint="eastAsia" w:hAnsi="宋体"/>
                <w:szCs w:val="21"/>
              </w:rPr>
            </w:pPr>
            <w:r>
              <w:rPr>
                <w:rFonts w:hint="eastAsia" w:hAnsi="宋体"/>
                <w:szCs w:val="21"/>
              </w:rPr>
              <w:t>8</w:t>
            </w:r>
          </w:p>
        </w:tc>
        <w:tc>
          <w:tcPr>
            <w:tcW w:w="1080" w:type="dxa"/>
            <w:noWrap w:val="0"/>
            <w:vAlign w:val="center"/>
          </w:tcPr>
          <w:p w14:paraId="1F5DF3CA">
            <w:pPr>
              <w:snapToGrid w:val="0"/>
              <w:spacing w:line="540" w:lineRule="exact"/>
              <w:jc w:val="center"/>
              <w:rPr>
                <w:rFonts w:hint="eastAsia" w:hAnsi="宋体"/>
                <w:szCs w:val="21"/>
              </w:rPr>
            </w:pPr>
            <w:r>
              <w:rPr>
                <w:rFonts w:hint="eastAsia" w:hAnsi="宋体"/>
                <w:szCs w:val="21"/>
              </w:rPr>
              <w:t>8.1</w:t>
            </w:r>
          </w:p>
        </w:tc>
        <w:tc>
          <w:tcPr>
            <w:tcW w:w="8370" w:type="dxa"/>
            <w:noWrap w:val="0"/>
            <w:vAlign w:val="top"/>
          </w:tcPr>
          <w:p w14:paraId="195510A2">
            <w:pPr>
              <w:snapToGrid w:val="0"/>
              <w:spacing w:line="540" w:lineRule="exact"/>
              <w:rPr>
                <w:rFonts w:hint="eastAsia" w:hAnsi="宋体"/>
                <w:szCs w:val="21"/>
              </w:rPr>
            </w:pPr>
            <w:r>
              <w:rPr>
                <w:rFonts w:hint="eastAsia" w:hAnsi="宋体"/>
                <w:b/>
                <w:szCs w:val="21"/>
              </w:rPr>
              <w:t>投标文件份数</w:t>
            </w:r>
            <w:r>
              <w:rPr>
                <w:rFonts w:hint="eastAsia" w:hAnsi="宋体"/>
                <w:szCs w:val="21"/>
              </w:rPr>
              <w:t>：一份正本，一份副本；（单独密封）</w:t>
            </w:r>
          </w:p>
          <w:p w14:paraId="10A0D9F3">
            <w:pPr>
              <w:snapToGrid w:val="0"/>
              <w:spacing w:line="540" w:lineRule="exact"/>
              <w:ind w:firstLine="1524" w:firstLineChars="693"/>
              <w:rPr>
                <w:rFonts w:hint="eastAsia" w:hAnsi="宋体"/>
                <w:szCs w:val="21"/>
              </w:rPr>
            </w:pPr>
            <w:r>
              <w:rPr>
                <w:rFonts w:hint="eastAsia" w:hAnsi="宋体"/>
                <w:szCs w:val="21"/>
              </w:rPr>
              <w:t>投标报价一览表：一份；（单独密封）</w:t>
            </w:r>
          </w:p>
          <w:p w14:paraId="0BAEE859">
            <w:pPr>
              <w:snapToGrid w:val="0"/>
              <w:spacing w:line="540" w:lineRule="exact"/>
              <w:ind w:firstLine="1540" w:firstLineChars="700"/>
              <w:rPr>
                <w:rFonts w:hint="eastAsia" w:hAnsi="宋体"/>
                <w:b/>
                <w:szCs w:val="21"/>
              </w:rPr>
            </w:pPr>
            <w:r>
              <w:rPr>
                <w:rFonts w:hint="eastAsia" w:hAnsi="宋体"/>
                <w:szCs w:val="21"/>
              </w:rPr>
              <w:t>整套投标文件电子文件U盘一个。（单独密封）</w:t>
            </w:r>
          </w:p>
        </w:tc>
      </w:tr>
      <w:tr w14:paraId="06DC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noWrap w:val="0"/>
            <w:vAlign w:val="center"/>
          </w:tcPr>
          <w:p w14:paraId="7C99B2BE">
            <w:pPr>
              <w:snapToGrid w:val="0"/>
              <w:spacing w:line="540" w:lineRule="exact"/>
              <w:jc w:val="center"/>
              <w:rPr>
                <w:rFonts w:hint="eastAsia" w:hAnsi="宋体"/>
                <w:szCs w:val="21"/>
              </w:rPr>
            </w:pPr>
            <w:r>
              <w:rPr>
                <w:rFonts w:hint="eastAsia" w:hAnsi="宋体"/>
                <w:szCs w:val="21"/>
              </w:rPr>
              <w:t>9</w:t>
            </w:r>
          </w:p>
        </w:tc>
        <w:tc>
          <w:tcPr>
            <w:tcW w:w="1080" w:type="dxa"/>
            <w:noWrap w:val="0"/>
            <w:vAlign w:val="center"/>
          </w:tcPr>
          <w:p w14:paraId="1760C814">
            <w:pPr>
              <w:snapToGrid w:val="0"/>
              <w:spacing w:line="540" w:lineRule="exact"/>
              <w:jc w:val="center"/>
              <w:rPr>
                <w:rFonts w:hint="eastAsia" w:hAnsi="宋体"/>
                <w:szCs w:val="21"/>
              </w:rPr>
            </w:pPr>
            <w:r>
              <w:rPr>
                <w:rFonts w:hint="eastAsia" w:hAnsi="宋体"/>
                <w:szCs w:val="21"/>
              </w:rPr>
              <w:t>9.1</w:t>
            </w:r>
          </w:p>
        </w:tc>
        <w:tc>
          <w:tcPr>
            <w:tcW w:w="8370" w:type="dxa"/>
            <w:noWrap w:val="0"/>
            <w:vAlign w:val="top"/>
          </w:tcPr>
          <w:p w14:paraId="5E06D0EF">
            <w:pPr>
              <w:snapToGrid w:val="0"/>
              <w:spacing w:line="540" w:lineRule="exact"/>
              <w:ind w:firstLine="27"/>
              <w:rPr>
                <w:rFonts w:hint="eastAsia" w:hAnsi="宋体"/>
                <w:b/>
                <w:szCs w:val="21"/>
              </w:rPr>
            </w:pPr>
            <w:r>
              <w:rPr>
                <w:rFonts w:hint="eastAsia" w:hAnsi="宋体"/>
                <w:b/>
                <w:szCs w:val="21"/>
              </w:rPr>
              <w:t>投标文件递交</w:t>
            </w:r>
          </w:p>
          <w:p w14:paraId="46261ACD">
            <w:pPr>
              <w:snapToGrid w:val="0"/>
              <w:spacing w:line="540" w:lineRule="exact"/>
              <w:rPr>
                <w:rFonts w:hint="eastAsia" w:hAnsi="宋体" w:eastAsia="微软雅黑"/>
                <w:szCs w:val="21"/>
                <w:lang w:eastAsia="zh-CN"/>
              </w:rPr>
            </w:pPr>
            <w:r>
              <w:rPr>
                <w:rFonts w:hint="eastAsia" w:hAnsi="宋体"/>
                <w:szCs w:val="21"/>
              </w:rPr>
              <w:t>地点：</w:t>
            </w:r>
            <w:r>
              <w:rPr>
                <w:rFonts w:hint="eastAsia" w:hAnsi="宋体"/>
                <w:szCs w:val="21"/>
                <w:lang w:eastAsia="zh-CN"/>
              </w:rPr>
              <w:t>陇南子午线招标代理有限公司(甘肃省陇南市武都区东江第五安置区)</w:t>
            </w:r>
          </w:p>
          <w:p w14:paraId="722A7CE0">
            <w:pPr>
              <w:snapToGrid w:val="0"/>
              <w:spacing w:line="540" w:lineRule="exact"/>
              <w:rPr>
                <w:rFonts w:hint="eastAsia" w:hAnsi="宋体"/>
                <w:szCs w:val="21"/>
              </w:rPr>
            </w:pPr>
            <w:r>
              <w:rPr>
                <w:rFonts w:hint="eastAsia" w:hAnsi="宋体"/>
                <w:szCs w:val="21"/>
              </w:rPr>
              <w:t>截止时间 :</w:t>
            </w:r>
            <w:r>
              <w:rPr>
                <w:rFonts w:hint="eastAsia" w:hAnsi="宋体"/>
                <w:color w:val="0000FF"/>
                <w:szCs w:val="21"/>
              </w:rPr>
              <w:t>2024年</w:t>
            </w:r>
            <w:r>
              <w:rPr>
                <w:rFonts w:hint="eastAsia" w:hAnsi="宋体"/>
                <w:color w:val="0000FF"/>
                <w:szCs w:val="21"/>
                <w:lang w:val="en-US" w:eastAsia="zh-CN"/>
              </w:rPr>
              <w:t>12</w:t>
            </w:r>
            <w:r>
              <w:rPr>
                <w:rFonts w:hint="eastAsia" w:hAnsi="宋体"/>
                <w:color w:val="0000FF"/>
                <w:szCs w:val="21"/>
              </w:rPr>
              <w:t>月</w:t>
            </w:r>
            <w:r>
              <w:rPr>
                <w:rFonts w:hint="eastAsia" w:hAnsi="宋体"/>
                <w:color w:val="0000FF"/>
                <w:szCs w:val="21"/>
                <w:lang w:val="en-US" w:eastAsia="zh-CN"/>
              </w:rPr>
              <w:t>02</w:t>
            </w:r>
            <w:r>
              <w:rPr>
                <w:rFonts w:hint="eastAsia" w:hAnsi="宋体"/>
                <w:color w:val="0000FF"/>
                <w:szCs w:val="21"/>
              </w:rPr>
              <w:t>日</w:t>
            </w:r>
            <w:r>
              <w:rPr>
                <w:rFonts w:hint="eastAsia" w:hAnsi="宋体"/>
                <w:color w:val="0000FF"/>
                <w:szCs w:val="21"/>
                <w:lang w:eastAsia="zh-CN"/>
              </w:rPr>
              <w:t>下</w:t>
            </w:r>
            <w:r>
              <w:rPr>
                <w:rFonts w:hint="eastAsia" w:hAnsi="宋体"/>
                <w:color w:val="0000FF"/>
                <w:szCs w:val="21"/>
              </w:rPr>
              <w:t>午</w:t>
            </w:r>
            <w:r>
              <w:rPr>
                <w:rFonts w:hint="eastAsia" w:hAnsi="宋体"/>
                <w:color w:val="0000FF"/>
                <w:szCs w:val="21"/>
                <w:lang w:val="en-US" w:eastAsia="zh-CN"/>
              </w:rPr>
              <w:t>15</w:t>
            </w:r>
            <w:r>
              <w:rPr>
                <w:rFonts w:hint="eastAsia" w:hAnsi="宋体"/>
                <w:color w:val="0000FF"/>
                <w:szCs w:val="21"/>
              </w:rPr>
              <w:t>：</w:t>
            </w:r>
            <w:r>
              <w:rPr>
                <w:rFonts w:hint="eastAsia" w:hAnsi="宋体"/>
                <w:color w:val="0000FF"/>
                <w:szCs w:val="21"/>
                <w:lang w:val="en-US" w:eastAsia="zh-CN"/>
              </w:rPr>
              <w:t>0</w:t>
            </w:r>
            <w:r>
              <w:rPr>
                <w:rFonts w:hint="eastAsia" w:hAnsi="宋体"/>
                <w:color w:val="0000FF"/>
                <w:szCs w:val="21"/>
              </w:rPr>
              <w:t>0</w:t>
            </w:r>
            <w:r>
              <w:rPr>
                <w:rFonts w:hint="eastAsia" w:hAnsi="宋体"/>
                <w:color w:val="0000FF"/>
                <w:szCs w:val="21"/>
                <w:lang w:eastAsia="zh-CN"/>
              </w:rPr>
              <w:t>时</w:t>
            </w:r>
            <w:r>
              <w:rPr>
                <w:rFonts w:hint="eastAsia"/>
                <w:color w:val="0000FF"/>
              </w:rPr>
              <w:t>。</w:t>
            </w:r>
            <w:r>
              <w:rPr>
                <w:rFonts w:hint="eastAsia"/>
              </w:rPr>
              <w:t>（北京时间）</w:t>
            </w:r>
            <w:r>
              <w:rPr>
                <w:rFonts w:hint="eastAsia" w:hAnsi="宋体" w:cs="宋体"/>
                <w:szCs w:val="21"/>
              </w:rPr>
              <w:t>逾期不予受理</w:t>
            </w:r>
          </w:p>
        </w:tc>
      </w:tr>
      <w:tr w14:paraId="24D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75" w:type="dxa"/>
            <w:noWrap w:val="0"/>
            <w:vAlign w:val="center"/>
          </w:tcPr>
          <w:p w14:paraId="06435EB9">
            <w:pPr>
              <w:snapToGrid w:val="0"/>
              <w:spacing w:line="500" w:lineRule="exact"/>
              <w:jc w:val="center"/>
              <w:rPr>
                <w:rFonts w:hint="eastAsia" w:hAnsi="宋体"/>
                <w:szCs w:val="21"/>
              </w:rPr>
            </w:pPr>
            <w:r>
              <w:rPr>
                <w:rFonts w:hint="eastAsia" w:hAnsi="宋体"/>
                <w:szCs w:val="21"/>
              </w:rPr>
              <w:t>10</w:t>
            </w:r>
          </w:p>
        </w:tc>
        <w:tc>
          <w:tcPr>
            <w:tcW w:w="1080" w:type="dxa"/>
            <w:noWrap w:val="0"/>
            <w:vAlign w:val="center"/>
          </w:tcPr>
          <w:p w14:paraId="6BD6CFBD">
            <w:pPr>
              <w:snapToGrid w:val="0"/>
              <w:spacing w:line="500" w:lineRule="exact"/>
              <w:jc w:val="center"/>
              <w:rPr>
                <w:rFonts w:hint="eastAsia" w:hAnsi="宋体"/>
                <w:szCs w:val="21"/>
              </w:rPr>
            </w:pPr>
            <w:r>
              <w:rPr>
                <w:rFonts w:hint="eastAsia" w:hAnsi="宋体"/>
                <w:szCs w:val="21"/>
              </w:rPr>
              <w:t>10.1</w:t>
            </w:r>
          </w:p>
        </w:tc>
        <w:tc>
          <w:tcPr>
            <w:tcW w:w="8370" w:type="dxa"/>
            <w:noWrap w:val="0"/>
            <w:vAlign w:val="top"/>
          </w:tcPr>
          <w:p w14:paraId="366FFCF4">
            <w:pPr>
              <w:snapToGrid w:val="0"/>
              <w:spacing w:line="500" w:lineRule="exact"/>
              <w:ind w:firstLine="27"/>
              <w:rPr>
                <w:rFonts w:hint="eastAsia" w:hAnsi="宋体"/>
                <w:szCs w:val="21"/>
              </w:rPr>
            </w:pPr>
            <w:r>
              <w:rPr>
                <w:rFonts w:hint="eastAsia" w:hAnsi="宋体"/>
                <w:b/>
                <w:szCs w:val="21"/>
              </w:rPr>
              <w:t>开标时间：</w:t>
            </w:r>
            <w:r>
              <w:rPr>
                <w:rFonts w:hint="eastAsia" w:hAnsi="宋体"/>
                <w:color w:val="0000FF"/>
                <w:szCs w:val="21"/>
              </w:rPr>
              <w:t>2024年</w:t>
            </w:r>
            <w:r>
              <w:rPr>
                <w:rFonts w:hint="eastAsia" w:hAnsi="宋体"/>
                <w:color w:val="0000FF"/>
                <w:szCs w:val="21"/>
                <w:lang w:val="en-US" w:eastAsia="zh-CN"/>
              </w:rPr>
              <w:t>12</w:t>
            </w:r>
            <w:r>
              <w:rPr>
                <w:rFonts w:hint="eastAsia" w:hAnsi="宋体"/>
                <w:color w:val="0000FF"/>
                <w:szCs w:val="21"/>
              </w:rPr>
              <w:t>月</w:t>
            </w:r>
            <w:r>
              <w:rPr>
                <w:rFonts w:hint="eastAsia" w:hAnsi="宋体"/>
                <w:color w:val="0000FF"/>
                <w:szCs w:val="21"/>
                <w:lang w:val="en-US" w:eastAsia="zh-CN"/>
              </w:rPr>
              <w:t>02</w:t>
            </w:r>
            <w:r>
              <w:rPr>
                <w:rFonts w:hint="eastAsia" w:hAnsi="宋体"/>
                <w:color w:val="0000FF"/>
                <w:szCs w:val="21"/>
              </w:rPr>
              <w:t>日</w:t>
            </w:r>
            <w:r>
              <w:rPr>
                <w:rFonts w:hint="eastAsia" w:hAnsi="宋体"/>
                <w:color w:val="0000FF"/>
                <w:szCs w:val="21"/>
                <w:lang w:eastAsia="zh-CN"/>
              </w:rPr>
              <w:t>下</w:t>
            </w:r>
            <w:r>
              <w:rPr>
                <w:rFonts w:hint="eastAsia" w:hAnsi="宋体"/>
                <w:color w:val="0000FF"/>
                <w:szCs w:val="21"/>
              </w:rPr>
              <w:t>午</w:t>
            </w:r>
            <w:r>
              <w:rPr>
                <w:rFonts w:hint="eastAsia" w:hAnsi="宋体"/>
                <w:color w:val="0000FF"/>
                <w:szCs w:val="21"/>
                <w:lang w:val="en-US" w:eastAsia="zh-CN"/>
              </w:rPr>
              <w:t>15</w:t>
            </w:r>
            <w:r>
              <w:rPr>
                <w:rFonts w:hint="eastAsia" w:hAnsi="宋体"/>
                <w:color w:val="0000FF"/>
                <w:szCs w:val="21"/>
              </w:rPr>
              <w:t>：</w:t>
            </w:r>
            <w:r>
              <w:rPr>
                <w:rFonts w:hint="eastAsia" w:hAnsi="宋体"/>
                <w:color w:val="0000FF"/>
                <w:szCs w:val="21"/>
                <w:lang w:val="en-US" w:eastAsia="zh-CN"/>
              </w:rPr>
              <w:t>0</w:t>
            </w:r>
            <w:r>
              <w:rPr>
                <w:rFonts w:hint="eastAsia" w:hAnsi="宋体"/>
                <w:color w:val="0000FF"/>
                <w:szCs w:val="21"/>
              </w:rPr>
              <w:t>0</w:t>
            </w:r>
            <w:r>
              <w:rPr>
                <w:rFonts w:hint="eastAsia" w:hAnsi="宋体"/>
                <w:color w:val="0000FF"/>
                <w:szCs w:val="21"/>
                <w:lang w:eastAsia="zh-CN"/>
              </w:rPr>
              <w:t>时</w:t>
            </w:r>
            <w:r>
              <w:rPr>
                <w:rFonts w:hint="eastAsia" w:hAnsi="宋体"/>
                <w:color w:val="0000FF"/>
                <w:szCs w:val="21"/>
              </w:rPr>
              <w:t>。</w:t>
            </w:r>
            <w:r>
              <w:rPr>
                <w:rFonts w:hint="eastAsia"/>
              </w:rPr>
              <w:t>（北京时间）</w:t>
            </w:r>
            <w:r>
              <w:rPr>
                <w:rFonts w:hint="eastAsia" w:hAnsi="宋体" w:cs="宋体"/>
                <w:szCs w:val="21"/>
              </w:rPr>
              <w:t>逾期不予受理</w:t>
            </w:r>
          </w:p>
          <w:p w14:paraId="39BCE925">
            <w:pPr>
              <w:snapToGrid w:val="0"/>
              <w:spacing w:line="500" w:lineRule="exact"/>
              <w:ind w:firstLine="27"/>
              <w:rPr>
                <w:rFonts w:hint="eastAsia" w:hAnsi="宋体" w:eastAsia="微软雅黑"/>
                <w:snapToGrid w:val="0"/>
                <w:szCs w:val="21"/>
                <w:lang w:eastAsia="zh-CN"/>
              </w:rPr>
            </w:pPr>
            <w:r>
              <w:rPr>
                <w:rFonts w:hint="eastAsia" w:hAnsi="宋体"/>
                <w:b/>
                <w:szCs w:val="21"/>
              </w:rPr>
              <w:t>地    点</w:t>
            </w:r>
            <w:r>
              <w:rPr>
                <w:rFonts w:hint="eastAsia" w:hAnsi="宋体"/>
                <w:szCs w:val="21"/>
              </w:rPr>
              <w:t>：</w:t>
            </w:r>
            <w:r>
              <w:rPr>
                <w:rFonts w:hint="eastAsia" w:hAnsi="宋体"/>
                <w:szCs w:val="21"/>
                <w:lang w:eastAsia="zh-CN"/>
              </w:rPr>
              <w:t>陇南子午线招标代理有限公司(甘肃省陇南市武都区东江第五安置区)</w:t>
            </w:r>
          </w:p>
        </w:tc>
      </w:tr>
      <w:tr w14:paraId="58D1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noWrap w:val="0"/>
            <w:vAlign w:val="center"/>
          </w:tcPr>
          <w:p w14:paraId="1897F58D">
            <w:pPr>
              <w:snapToGrid w:val="0"/>
              <w:spacing w:line="500" w:lineRule="exact"/>
              <w:jc w:val="center"/>
              <w:rPr>
                <w:rFonts w:hint="eastAsia" w:hAnsi="宋体"/>
                <w:szCs w:val="21"/>
              </w:rPr>
            </w:pPr>
            <w:r>
              <w:rPr>
                <w:rFonts w:hint="eastAsia" w:hAnsi="宋体"/>
                <w:szCs w:val="21"/>
              </w:rPr>
              <w:t>11</w:t>
            </w:r>
          </w:p>
        </w:tc>
        <w:tc>
          <w:tcPr>
            <w:tcW w:w="1080" w:type="dxa"/>
            <w:noWrap w:val="0"/>
            <w:vAlign w:val="center"/>
          </w:tcPr>
          <w:p w14:paraId="6B636594">
            <w:pPr>
              <w:snapToGrid w:val="0"/>
              <w:spacing w:line="500" w:lineRule="exact"/>
              <w:jc w:val="center"/>
              <w:rPr>
                <w:rFonts w:hint="eastAsia" w:hAnsi="宋体"/>
                <w:szCs w:val="21"/>
              </w:rPr>
            </w:pPr>
            <w:r>
              <w:rPr>
                <w:rFonts w:hint="eastAsia" w:hAnsi="宋体"/>
                <w:szCs w:val="21"/>
              </w:rPr>
              <w:t>11.1</w:t>
            </w:r>
          </w:p>
        </w:tc>
        <w:tc>
          <w:tcPr>
            <w:tcW w:w="8370" w:type="dxa"/>
            <w:noWrap w:val="0"/>
            <w:vAlign w:val="top"/>
          </w:tcPr>
          <w:p w14:paraId="1E24B3BA">
            <w:pPr>
              <w:snapToGrid w:val="0"/>
              <w:spacing w:line="500" w:lineRule="exact"/>
              <w:rPr>
                <w:rFonts w:hint="eastAsia" w:hAnsi="宋体"/>
                <w:szCs w:val="21"/>
              </w:rPr>
            </w:pPr>
            <w:r>
              <w:rPr>
                <w:rFonts w:hint="eastAsia" w:hAnsi="宋体"/>
                <w:szCs w:val="21"/>
              </w:rPr>
              <w:t>履约保证金：不适用</w:t>
            </w:r>
          </w:p>
        </w:tc>
      </w:tr>
      <w:tr w14:paraId="2E53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675" w:type="dxa"/>
            <w:noWrap w:val="0"/>
            <w:vAlign w:val="center"/>
          </w:tcPr>
          <w:p w14:paraId="503D148E">
            <w:pPr>
              <w:snapToGrid w:val="0"/>
              <w:spacing w:line="500" w:lineRule="exact"/>
              <w:jc w:val="center"/>
              <w:rPr>
                <w:rFonts w:hAnsi="宋体"/>
                <w:szCs w:val="21"/>
              </w:rPr>
            </w:pPr>
            <w:r>
              <w:rPr>
                <w:rFonts w:hint="eastAsia" w:hAnsi="宋体"/>
                <w:szCs w:val="21"/>
              </w:rPr>
              <w:t>12</w:t>
            </w:r>
          </w:p>
        </w:tc>
        <w:tc>
          <w:tcPr>
            <w:tcW w:w="1080" w:type="dxa"/>
            <w:noWrap w:val="0"/>
            <w:vAlign w:val="center"/>
          </w:tcPr>
          <w:p w14:paraId="6641CF58">
            <w:pPr>
              <w:snapToGrid w:val="0"/>
              <w:spacing w:line="500" w:lineRule="exact"/>
              <w:jc w:val="center"/>
              <w:rPr>
                <w:rFonts w:hAnsi="宋体"/>
                <w:szCs w:val="21"/>
              </w:rPr>
            </w:pPr>
            <w:r>
              <w:rPr>
                <w:rFonts w:hint="eastAsia" w:hAnsi="宋体"/>
                <w:szCs w:val="21"/>
              </w:rPr>
              <w:t>12.1</w:t>
            </w:r>
          </w:p>
        </w:tc>
        <w:tc>
          <w:tcPr>
            <w:tcW w:w="8370" w:type="dxa"/>
            <w:noWrap w:val="0"/>
            <w:vAlign w:val="center"/>
          </w:tcPr>
          <w:p w14:paraId="2B916B3B">
            <w:pPr>
              <w:snapToGrid w:val="0"/>
              <w:spacing w:line="500" w:lineRule="exact"/>
              <w:ind w:firstLine="27"/>
              <w:rPr>
                <w:rFonts w:hint="eastAsia"/>
              </w:rPr>
            </w:pPr>
            <w:r>
              <w:rPr>
                <w:rFonts w:hint="eastAsia"/>
              </w:rPr>
              <w:t xml:space="preserve">投标报价政策性优惠 </w:t>
            </w:r>
          </w:p>
          <w:p w14:paraId="43F7BF01">
            <w:pPr>
              <w:snapToGrid w:val="0"/>
              <w:spacing w:line="500" w:lineRule="exact"/>
              <w:ind w:firstLine="27"/>
              <w:rPr>
                <w:rFonts w:hint="eastAsia"/>
              </w:rPr>
            </w:pPr>
            <w:r>
              <w:rPr>
                <w:rFonts w:hint="eastAsia"/>
              </w:rPr>
              <w:t xml:space="preserve">1、根据(政府采购促进中小企业发展管理办法》(财库[ 2020]46号)文件规定，对小型和微型企业产品的价格给予10%的扣除，用扣除后的价格参与评审。 </w:t>
            </w:r>
          </w:p>
          <w:p w14:paraId="57FFFA70">
            <w:pPr>
              <w:snapToGrid w:val="0"/>
              <w:spacing w:line="500" w:lineRule="exact"/>
              <w:ind w:firstLine="27"/>
              <w:rPr>
                <w:rFonts w:hint="eastAsia"/>
              </w:rPr>
            </w:pPr>
            <w:r>
              <w:rPr>
                <w:rFonts w:hint="eastAsia"/>
              </w:rPr>
              <w:t xml:space="preserve">2、根据《财政部司法部关于政府采购支持监狱企业发展有关问题的通知》(财[ 2014]68号)的规定，对监狱企业产品的价格给予10%扣除， 用扣除后的价格参与评审。参加政府采购活动的监狱企业必须提供由省级以上监狱管理局、戒毒管理局(含新疆生产建设兵团)出具的属于监狱企业的证明文件。 </w:t>
            </w:r>
          </w:p>
          <w:p w14:paraId="441C63CA">
            <w:pPr>
              <w:snapToGrid w:val="0"/>
              <w:spacing w:line="500" w:lineRule="exact"/>
              <w:ind w:firstLine="27"/>
              <w:rPr>
                <w:rFonts w:hint="eastAsia" w:hAnsi="宋体"/>
                <w:szCs w:val="21"/>
              </w:rPr>
            </w:pPr>
            <w:r>
              <w:rPr>
                <w:rFonts w:hint="eastAsia"/>
              </w:rPr>
              <w:t>3、根据《财政部民政部中国残疾人联合会关于促进残疾人就业政府采购政策的通知》(财库[2017)141号)文件规定，对满足价格扣除条件目在投标文件中提交了《残疾人福利性单位声明函》等证明文件的供应商，其投标报价扣除10%后参与评审。</w:t>
            </w:r>
          </w:p>
        </w:tc>
      </w:tr>
      <w:tr w14:paraId="50AF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55" w:type="dxa"/>
            <w:gridSpan w:val="2"/>
            <w:noWrap w:val="0"/>
            <w:vAlign w:val="center"/>
          </w:tcPr>
          <w:p w14:paraId="4C68A742">
            <w:pPr>
              <w:snapToGrid w:val="0"/>
              <w:spacing w:line="500" w:lineRule="exact"/>
              <w:jc w:val="center"/>
              <w:rPr>
                <w:rFonts w:hint="eastAsia" w:hAnsi="宋体"/>
                <w:szCs w:val="21"/>
              </w:rPr>
            </w:pPr>
            <w:r>
              <w:rPr>
                <w:rFonts w:hint="eastAsia" w:hAnsi="宋体"/>
                <w:szCs w:val="21"/>
              </w:rPr>
              <w:t>注：</w:t>
            </w:r>
          </w:p>
        </w:tc>
        <w:tc>
          <w:tcPr>
            <w:tcW w:w="8370" w:type="dxa"/>
            <w:noWrap w:val="0"/>
            <w:vAlign w:val="top"/>
          </w:tcPr>
          <w:p w14:paraId="15C87306">
            <w:pPr>
              <w:snapToGrid w:val="0"/>
              <w:spacing w:line="500" w:lineRule="exact"/>
              <w:rPr>
                <w:rFonts w:hint="eastAsia" w:hAnsi="宋体"/>
                <w:szCs w:val="21"/>
              </w:rPr>
            </w:pPr>
            <w:r>
              <w:rPr>
                <w:rFonts w:hint="eastAsia" w:hAnsi="宋体"/>
                <w:szCs w:val="21"/>
              </w:rPr>
              <w:t>如前后不一致之处，以前附表为准。</w:t>
            </w:r>
          </w:p>
        </w:tc>
      </w:tr>
    </w:tbl>
    <w:p w14:paraId="23B023AF">
      <w:pPr>
        <w:adjustRightInd/>
        <w:snapToGrid/>
        <w:spacing w:after="0" w:line="360" w:lineRule="auto"/>
        <w:jc w:val="center"/>
        <w:textAlignment w:val="baseline"/>
        <w:outlineLvl w:val="0"/>
        <w:rPr>
          <w:rFonts w:ascii="宋体" w:hAnsi="宋体" w:eastAsia="宋体" w:cs="宋体"/>
          <w:sz w:val="72"/>
          <w:szCs w:val="72"/>
        </w:rPr>
      </w:pPr>
      <w:bookmarkStart w:id="11" w:name="_Toc3934"/>
      <w:bookmarkStart w:id="12" w:name="_Toc20703"/>
      <w:bookmarkStart w:id="13" w:name="_Toc28098"/>
      <w:r>
        <w:rPr>
          <w:rFonts w:hint="eastAsia" w:ascii="宋体" w:hAnsi="宋体" w:eastAsia="宋体" w:cs="Times New Roman"/>
          <w:b/>
          <w:bCs/>
          <w:kern w:val="44"/>
          <w:sz w:val="30"/>
        </w:rPr>
        <w:t>第三章</w:t>
      </w:r>
      <w:bookmarkEnd w:id="11"/>
      <w:bookmarkStart w:id="14" w:name="_Toc13531"/>
      <w:r>
        <w:rPr>
          <w:rFonts w:hint="eastAsia" w:ascii="宋体" w:hAnsi="宋体" w:eastAsia="宋体" w:cs="Times New Roman"/>
          <w:b/>
          <w:bCs/>
          <w:kern w:val="44"/>
          <w:sz w:val="30"/>
        </w:rPr>
        <w:t>、投标人须知</w:t>
      </w:r>
      <w:bookmarkEnd w:id="12"/>
      <w:bookmarkEnd w:id="13"/>
      <w:bookmarkEnd w:id="14"/>
    </w:p>
    <w:p w14:paraId="0B5DB8D5">
      <w:pPr>
        <w:spacing w:after="0" w:line="480" w:lineRule="exact"/>
        <w:outlineLvl w:val="9"/>
        <w:rPr>
          <w:rFonts w:ascii="宋体" w:hAnsi="宋体" w:eastAsia="宋体" w:cs="宋体"/>
          <w:b/>
          <w:bCs/>
          <w:sz w:val="24"/>
          <w:szCs w:val="24"/>
        </w:rPr>
      </w:pPr>
      <w:bookmarkStart w:id="15" w:name="_Toc22849"/>
      <w:bookmarkStart w:id="16" w:name="_Toc25888"/>
      <w:bookmarkStart w:id="17" w:name="_Toc6430"/>
      <w:bookmarkStart w:id="18" w:name="_Toc27213"/>
      <w:bookmarkStart w:id="19" w:name="_Toc11425"/>
      <w:r>
        <w:rPr>
          <w:rFonts w:hint="eastAsia" w:ascii="宋体" w:hAnsi="宋体" w:eastAsia="宋体" w:cs="宋体"/>
          <w:b/>
          <w:bCs/>
          <w:sz w:val="24"/>
          <w:szCs w:val="24"/>
        </w:rPr>
        <w:t>3.1 招标文件涉及术语的内涵及解释</w:t>
      </w:r>
      <w:bookmarkEnd w:id="15"/>
      <w:bookmarkEnd w:id="16"/>
      <w:bookmarkEnd w:id="17"/>
      <w:bookmarkEnd w:id="18"/>
      <w:bookmarkEnd w:id="19"/>
    </w:p>
    <w:p w14:paraId="3CF619B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1)“政府采购当事人”是指在政府采购活动中享有权利和承担义务的各类主体，包括采购人、供应商和采购代理机构等。</w:t>
      </w:r>
    </w:p>
    <w:p w14:paraId="419A9601">
      <w:pPr>
        <w:adjustRightInd/>
        <w:snapToGrid/>
        <w:spacing w:after="0" w:line="480" w:lineRule="exact"/>
        <w:ind w:firstLine="480" w:firstLineChars="200"/>
        <w:jc w:val="both"/>
        <w:textAlignment w:val="baseline"/>
        <w:outlineLvl w:val="9"/>
        <w:rPr>
          <w:rFonts w:ascii="宋体" w:hAnsi="宋体" w:eastAsia="宋体" w:cs="宋体"/>
          <w:b/>
          <w:kern w:val="2"/>
          <w:sz w:val="24"/>
          <w:szCs w:val="24"/>
        </w:rPr>
      </w:pPr>
      <w:r>
        <w:rPr>
          <w:rFonts w:hint="eastAsia" w:ascii="宋体" w:hAnsi="宋体" w:eastAsia="宋体" w:cs="宋体"/>
          <w:kern w:val="2"/>
          <w:sz w:val="24"/>
          <w:szCs w:val="24"/>
        </w:rPr>
        <w:t>2)“采购人”和“需方”是指</w:t>
      </w:r>
      <w:r>
        <w:rPr>
          <w:rFonts w:hint="eastAsia" w:ascii="宋体" w:hAnsi="宋体" w:eastAsia="宋体" w:cs="宋体"/>
          <w:b/>
          <w:bCs/>
          <w:kern w:val="2"/>
          <w:sz w:val="24"/>
          <w:szCs w:val="24"/>
          <w:lang w:eastAsia="zh-CN"/>
        </w:rPr>
        <w:t>文县市场监督管理局</w:t>
      </w:r>
      <w:r>
        <w:rPr>
          <w:rFonts w:hint="eastAsia" w:ascii="宋体" w:hAnsi="宋体" w:eastAsia="宋体" w:cs="宋体"/>
          <w:kern w:val="2"/>
          <w:sz w:val="24"/>
          <w:szCs w:val="24"/>
        </w:rPr>
        <w:t>。</w:t>
      </w:r>
    </w:p>
    <w:p w14:paraId="2CB7C0D5">
      <w:pPr>
        <w:adjustRightInd/>
        <w:snapToGrid/>
        <w:spacing w:after="0" w:line="480" w:lineRule="exact"/>
        <w:ind w:firstLine="480" w:firstLineChars="200"/>
        <w:jc w:val="both"/>
        <w:textAlignment w:val="baseline"/>
        <w:outlineLvl w:val="9"/>
        <w:rPr>
          <w:rFonts w:ascii="宋体" w:hAnsi="宋体" w:eastAsia="宋体" w:cs="宋体"/>
          <w:kern w:val="2"/>
          <w:sz w:val="24"/>
          <w:szCs w:val="24"/>
          <w:u w:val="single"/>
        </w:rPr>
      </w:pPr>
      <w:r>
        <w:rPr>
          <w:rFonts w:hint="eastAsia" w:ascii="宋体" w:hAnsi="宋体" w:eastAsia="宋体" w:cs="宋体"/>
          <w:kern w:val="2"/>
          <w:sz w:val="24"/>
          <w:szCs w:val="24"/>
        </w:rPr>
        <w:t>3)“招标代理机构”是指</w:t>
      </w:r>
      <w:r>
        <w:rPr>
          <w:rFonts w:hint="eastAsia" w:ascii="宋体" w:hAnsi="宋体" w:eastAsia="宋体" w:cs="宋体"/>
          <w:b/>
          <w:bCs/>
          <w:kern w:val="2"/>
          <w:sz w:val="24"/>
          <w:szCs w:val="24"/>
          <w:lang w:eastAsia="zh-CN"/>
        </w:rPr>
        <w:t>陇南子午线招标代理有限公司</w:t>
      </w:r>
      <w:r>
        <w:rPr>
          <w:rFonts w:hint="eastAsia" w:ascii="宋体" w:hAnsi="宋体" w:eastAsia="宋体" w:cs="宋体"/>
          <w:kern w:val="2"/>
          <w:sz w:val="24"/>
          <w:szCs w:val="24"/>
        </w:rPr>
        <w:t>。</w:t>
      </w:r>
    </w:p>
    <w:p w14:paraId="16F8165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4)“投标人”是指向本次招标人提交投标文件的供应商。</w:t>
      </w:r>
    </w:p>
    <w:p w14:paraId="7A58C682">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5)“供应商”是指向采购人提供货物、工程或者服务的法人、其他组织或者自然人。</w:t>
      </w:r>
    </w:p>
    <w:p w14:paraId="58A2BF2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6)“招标文件”是指由招标人发出的文本、文件，包括全部章节和附件及答疑会议纪要。</w:t>
      </w:r>
    </w:p>
    <w:p w14:paraId="700BBA8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7)“投标文件”是指投标供应商根据本招标文件向招标代理机构提交的全部响应性文件。投标供应商必须保证投标文件所提供的全部资料真实可靠，并接受招标代理机构对其中任何资料进一步审查的要求。</w:t>
      </w:r>
    </w:p>
    <w:p w14:paraId="2452FD0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8)“采购文件”是指包括采购活动记录、采购预算、招标文件、投标文件、评标标准、评标报告、定标文件、合同文本、验收证明、质疑答复、投诉处理决定及其他有关文件、资料。</w:t>
      </w:r>
    </w:p>
    <w:p w14:paraId="75C989E2">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9)“货物”是指投标供应商中标后根据招标文件和合同的规定须向采购人提供的各种形态和种类的物品，包括原材料、燃料、设备等。</w:t>
      </w:r>
    </w:p>
    <w:p w14:paraId="41880B6F">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10）“工程”是指建设工程，包括建筑物和构筑物的新建、改建、扩建、装修、拆除、修缮等。</w:t>
      </w:r>
    </w:p>
    <w:p w14:paraId="0CB776F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11)“安装”是指投标人中标后按谈判文件和合同的规定在项目现场所进行的安装、调试、检验、验收及修补缺陷等内容。供方应对所有现场作业、所有全部安装的完备性、稳定性和安全性负责。</w:t>
      </w:r>
    </w:p>
    <w:p w14:paraId="4D1C9D9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12)“服务”是指供方根据招标文件和合同的规定承担与供货有关的服务，包括运输、仓储、保险以及其它的伴随服务，如售后、安装、集成、调试、培训、技术支持、维护和维修以及其它使货物正常运转所必需的服务，更换和应承担的其它义务。</w:t>
      </w:r>
    </w:p>
    <w:p w14:paraId="6A92BF6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13）“知识产权”是指通过签署投标函，投标供应商应确认其为所供硬件和软件的知识产权的合法所有人，或已经从其所有人那里得到了适当的授权。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如采用投标人所不拥有的知识产权，则在投标报价中必须包括合法获取该知识产权的相关费用。</w:t>
      </w:r>
    </w:p>
    <w:p w14:paraId="268814C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14）“自主创新产品”是指纳入财政部公布的《政府采购自主创新产品目录》的货物和服务。</w:t>
      </w:r>
    </w:p>
    <w:p w14:paraId="121C2486">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15）“节能产品”或者“环保产品”是指列入财政部、国家发展改革委制定的《节能产品政府采购品目清单》和财政部、国家环境保护总局制定的《环境标志产品政府采购清单》的产品并在产品认证证书有效期内的。</w:t>
      </w:r>
    </w:p>
    <w:p w14:paraId="5F406AC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16）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14:paraId="0FBEB24A">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14:paraId="4ECB5F1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根据《财政部民政部中国残疾人联合会关于促进残疾人就业政府采购政策的通知》（财库〔2017〕141号）的规定，残疾人福利性单位视同为小型、微型企业。</w:t>
      </w:r>
    </w:p>
    <w:p w14:paraId="19D680B2">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17）“进口产品”是指通过中国海关报关验收进入中国境内且产自关境外的产品。详见《关于政府采购进口产品管理有关问题的通知》(财库[2007]119号)。经财政监管部门审核管理，并经进口论证后方可采购进口产品。</w:t>
      </w:r>
    </w:p>
    <w:p w14:paraId="42A418E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18) “书面形式”是指任何手写、打印或印刷的各种函件，不包括电传、电报、传真、电子邮件。</w:t>
      </w:r>
    </w:p>
    <w:p w14:paraId="213DADDE">
      <w:pPr>
        <w:spacing w:after="0" w:line="480" w:lineRule="exact"/>
        <w:outlineLvl w:val="9"/>
        <w:rPr>
          <w:rFonts w:ascii="宋体" w:hAnsi="宋体" w:eastAsia="宋体" w:cs="宋体"/>
          <w:b/>
          <w:bCs/>
          <w:sz w:val="24"/>
          <w:szCs w:val="24"/>
        </w:rPr>
      </w:pPr>
      <w:bookmarkStart w:id="20" w:name="_Toc23428"/>
      <w:bookmarkStart w:id="21" w:name="_Toc13717"/>
      <w:bookmarkStart w:id="22" w:name="_Toc25226"/>
      <w:bookmarkStart w:id="23" w:name="_Toc29583"/>
      <w:bookmarkStart w:id="24" w:name="_Toc9091"/>
      <w:r>
        <w:rPr>
          <w:rFonts w:hint="eastAsia" w:ascii="宋体" w:hAnsi="宋体" w:eastAsia="宋体" w:cs="宋体"/>
          <w:b/>
          <w:bCs/>
          <w:sz w:val="24"/>
          <w:szCs w:val="24"/>
        </w:rPr>
        <w:t>3.2招标</w:t>
      </w:r>
      <w:bookmarkEnd w:id="20"/>
      <w:bookmarkEnd w:id="21"/>
      <w:bookmarkEnd w:id="22"/>
      <w:bookmarkEnd w:id="23"/>
      <w:bookmarkEnd w:id="24"/>
    </w:p>
    <w:p w14:paraId="422A3920">
      <w:pPr>
        <w:spacing w:after="0" w:line="480" w:lineRule="exact"/>
        <w:ind w:firstLine="482" w:firstLineChars="200"/>
        <w:outlineLvl w:val="9"/>
        <w:rPr>
          <w:rFonts w:ascii="宋体" w:hAnsi="宋体" w:eastAsia="宋体" w:cs="宋体"/>
          <w:b/>
          <w:bCs/>
          <w:sz w:val="24"/>
          <w:szCs w:val="24"/>
        </w:rPr>
      </w:pPr>
      <w:r>
        <w:rPr>
          <w:rFonts w:hint="eastAsia" w:ascii="宋体" w:hAnsi="宋体" w:eastAsia="宋体" w:cs="宋体"/>
          <w:b/>
          <w:bCs/>
          <w:sz w:val="24"/>
          <w:szCs w:val="24"/>
        </w:rPr>
        <w:t>3.2.1综合说明</w:t>
      </w:r>
    </w:p>
    <w:p w14:paraId="686FC360">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本项目按照《中华人民共和国政府采购法》及相关法规，已办理招标申请，并得到招标管理机构批准，现通过招标来择优选定货物服务的供应商。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其风险由投标人自行承担。</w:t>
      </w:r>
    </w:p>
    <w:p w14:paraId="49E379C5">
      <w:pPr>
        <w:spacing w:after="0" w:line="480" w:lineRule="exact"/>
        <w:ind w:firstLine="482" w:firstLineChars="200"/>
        <w:outlineLvl w:val="9"/>
        <w:rPr>
          <w:rFonts w:ascii="宋体" w:hAnsi="宋体" w:eastAsia="宋体" w:cs="宋体"/>
          <w:b/>
          <w:bCs/>
          <w:sz w:val="24"/>
          <w:szCs w:val="24"/>
        </w:rPr>
      </w:pPr>
      <w:r>
        <w:rPr>
          <w:rFonts w:hint="eastAsia" w:ascii="宋体" w:hAnsi="宋体" w:eastAsia="宋体" w:cs="宋体"/>
          <w:b/>
          <w:bCs/>
          <w:sz w:val="24"/>
          <w:szCs w:val="24"/>
        </w:rPr>
        <w:t>3.2.2招标文件的构成</w:t>
      </w:r>
    </w:p>
    <w:p w14:paraId="5FB0A19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招标文件用以阐明招标项目所需的资质、技术、服务及报价等要求、招标投标程序、有关规定和注意事项以及合同主要条款等。本招标文件包括以下内容：</w:t>
      </w:r>
    </w:p>
    <w:p w14:paraId="6C6B2BA4">
      <w:pPr>
        <w:numPr>
          <w:ilvl w:val="0"/>
          <w:numId w:val="1"/>
        </w:numPr>
        <w:adjustRightInd/>
        <w:snapToGrid/>
        <w:spacing w:after="0" w:line="480" w:lineRule="exact"/>
        <w:ind w:left="0" w:firstLine="480" w:firstLineChars="200"/>
        <w:jc w:val="both"/>
        <w:outlineLvl w:val="9"/>
        <w:rPr>
          <w:rFonts w:ascii="宋体" w:hAnsi="宋体" w:eastAsia="宋体" w:cs="宋体"/>
          <w:kern w:val="2"/>
          <w:sz w:val="24"/>
          <w:szCs w:val="24"/>
        </w:rPr>
      </w:pPr>
      <w:r>
        <w:rPr>
          <w:rFonts w:hint="eastAsia" w:ascii="宋体" w:hAnsi="宋体" w:eastAsia="宋体" w:cs="宋体"/>
          <w:kern w:val="2"/>
          <w:sz w:val="24"/>
          <w:szCs w:val="24"/>
        </w:rPr>
        <w:t>招标公告</w:t>
      </w:r>
    </w:p>
    <w:p w14:paraId="67F7C682">
      <w:pPr>
        <w:numPr>
          <w:ilvl w:val="0"/>
          <w:numId w:val="1"/>
        </w:numPr>
        <w:adjustRightInd/>
        <w:snapToGrid/>
        <w:spacing w:after="0" w:line="480" w:lineRule="exact"/>
        <w:ind w:left="0" w:firstLine="480" w:firstLineChars="200"/>
        <w:jc w:val="both"/>
        <w:outlineLvl w:val="9"/>
        <w:rPr>
          <w:rFonts w:ascii="宋体" w:hAnsi="宋体" w:eastAsia="宋体" w:cs="宋体"/>
          <w:kern w:val="2"/>
          <w:sz w:val="24"/>
          <w:szCs w:val="24"/>
        </w:rPr>
      </w:pPr>
      <w:r>
        <w:rPr>
          <w:rFonts w:hint="eastAsia" w:ascii="宋体" w:hAnsi="宋体" w:eastAsia="宋体" w:cs="宋体"/>
          <w:kern w:val="2"/>
          <w:sz w:val="24"/>
          <w:szCs w:val="24"/>
        </w:rPr>
        <w:t>投标人须知前附表</w:t>
      </w:r>
    </w:p>
    <w:p w14:paraId="236EDA17">
      <w:pPr>
        <w:numPr>
          <w:ilvl w:val="0"/>
          <w:numId w:val="1"/>
        </w:numPr>
        <w:adjustRightInd/>
        <w:snapToGrid/>
        <w:spacing w:after="0" w:line="480" w:lineRule="exact"/>
        <w:ind w:left="0" w:firstLine="480" w:firstLineChars="200"/>
        <w:jc w:val="both"/>
        <w:outlineLvl w:val="9"/>
        <w:rPr>
          <w:rFonts w:ascii="宋体" w:hAnsi="宋体" w:eastAsia="宋体" w:cs="宋体"/>
          <w:kern w:val="2"/>
          <w:sz w:val="24"/>
          <w:szCs w:val="24"/>
        </w:rPr>
      </w:pPr>
      <w:r>
        <w:rPr>
          <w:rFonts w:hint="eastAsia" w:ascii="宋体" w:hAnsi="宋体" w:eastAsia="宋体" w:cs="宋体"/>
          <w:kern w:val="2"/>
          <w:sz w:val="24"/>
          <w:szCs w:val="24"/>
        </w:rPr>
        <w:t>投标人须知</w:t>
      </w:r>
    </w:p>
    <w:p w14:paraId="3CA8D72E">
      <w:pPr>
        <w:numPr>
          <w:ilvl w:val="0"/>
          <w:numId w:val="1"/>
        </w:numPr>
        <w:adjustRightInd/>
        <w:snapToGrid/>
        <w:spacing w:after="0" w:line="480" w:lineRule="exact"/>
        <w:ind w:left="0" w:firstLine="480" w:firstLineChars="200"/>
        <w:jc w:val="both"/>
        <w:outlineLvl w:val="9"/>
        <w:rPr>
          <w:rFonts w:ascii="宋体" w:hAnsi="宋体" w:eastAsia="宋体" w:cs="宋体"/>
          <w:kern w:val="2"/>
          <w:sz w:val="24"/>
          <w:szCs w:val="24"/>
        </w:rPr>
      </w:pPr>
      <w:r>
        <w:rPr>
          <w:rFonts w:hint="eastAsia" w:ascii="宋体" w:hAnsi="宋体" w:eastAsia="宋体" w:cs="宋体"/>
          <w:kern w:val="2"/>
          <w:sz w:val="24"/>
          <w:szCs w:val="24"/>
        </w:rPr>
        <w:t>项目技术参数</w:t>
      </w:r>
    </w:p>
    <w:p w14:paraId="064B01AE">
      <w:pPr>
        <w:numPr>
          <w:ilvl w:val="0"/>
          <w:numId w:val="1"/>
        </w:numPr>
        <w:adjustRightInd/>
        <w:snapToGrid/>
        <w:spacing w:after="0" w:line="480" w:lineRule="exact"/>
        <w:ind w:left="0" w:firstLine="480" w:firstLineChars="200"/>
        <w:jc w:val="both"/>
        <w:outlineLvl w:val="9"/>
        <w:rPr>
          <w:rFonts w:ascii="宋体" w:hAnsi="宋体" w:eastAsia="宋体" w:cs="宋体"/>
          <w:kern w:val="2"/>
          <w:sz w:val="24"/>
          <w:szCs w:val="24"/>
        </w:rPr>
      </w:pPr>
      <w:r>
        <w:rPr>
          <w:rFonts w:hint="eastAsia" w:ascii="宋体" w:hAnsi="宋体" w:eastAsia="宋体" w:cs="宋体"/>
          <w:kern w:val="2"/>
          <w:sz w:val="24"/>
          <w:szCs w:val="24"/>
        </w:rPr>
        <w:t>评标原则及办法</w:t>
      </w:r>
    </w:p>
    <w:p w14:paraId="36FA86DA">
      <w:pPr>
        <w:numPr>
          <w:ilvl w:val="0"/>
          <w:numId w:val="1"/>
        </w:numPr>
        <w:adjustRightInd/>
        <w:snapToGrid/>
        <w:spacing w:after="0" w:line="480" w:lineRule="exact"/>
        <w:ind w:left="0" w:firstLine="480" w:firstLineChars="200"/>
        <w:jc w:val="both"/>
        <w:outlineLvl w:val="9"/>
        <w:rPr>
          <w:rFonts w:ascii="宋体" w:hAnsi="宋体" w:eastAsia="宋体" w:cs="宋体"/>
          <w:kern w:val="2"/>
          <w:sz w:val="24"/>
          <w:szCs w:val="24"/>
        </w:rPr>
      </w:pPr>
      <w:r>
        <w:rPr>
          <w:rFonts w:hint="eastAsia" w:ascii="宋体" w:hAnsi="宋体" w:eastAsia="宋体" w:cs="宋体"/>
          <w:kern w:val="2"/>
          <w:sz w:val="24"/>
          <w:szCs w:val="24"/>
        </w:rPr>
        <w:t>合同条款及格式</w:t>
      </w:r>
    </w:p>
    <w:p w14:paraId="4CCFAF01">
      <w:pPr>
        <w:numPr>
          <w:ilvl w:val="0"/>
          <w:numId w:val="1"/>
        </w:numPr>
        <w:adjustRightInd/>
        <w:snapToGrid/>
        <w:spacing w:after="0" w:line="480" w:lineRule="exact"/>
        <w:ind w:left="0" w:firstLine="480" w:firstLineChars="200"/>
        <w:jc w:val="both"/>
        <w:outlineLvl w:val="9"/>
        <w:rPr>
          <w:rFonts w:ascii="宋体" w:hAnsi="宋体" w:eastAsia="宋体" w:cs="宋体"/>
          <w:kern w:val="2"/>
          <w:sz w:val="24"/>
          <w:szCs w:val="24"/>
        </w:rPr>
      </w:pPr>
      <w:r>
        <w:rPr>
          <w:rFonts w:hint="eastAsia" w:ascii="宋体" w:hAnsi="宋体" w:eastAsia="宋体" w:cs="宋体"/>
          <w:kern w:val="2"/>
          <w:sz w:val="24"/>
          <w:szCs w:val="24"/>
        </w:rPr>
        <w:t>附件（投标文件格式）</w:t>
      </w:r>
    </w:p>
    <w:p w14:paraId="647F7FA5">
      <w:pPr>
        <w:spacing w:after="0" w:line="480" w:lineRule="exact"/>
        <w:ind w:firstLine="482" w:firstLineChars="200"/>
        <w:outlineLvl w:val="9"/>
        <w:rPr>
          <w:rFonts w:ascii="宋体" w:hAnsi="宋体" w:eastAsia="宋体" w:cs="宋体"/>
          <w:b/>
          <w:bCs/>
          <w:sz w:val="24"/>
          <w:szCs w:val="24"/>
        </w:rPr>
      </w:pPr>
      <w:r>
        <w:rPr>
          <w:rFonts w:hint="eastAsia" w:ascii="宋体" w:hAnsi="宋体" w:eastAsia="宋体" w:cs="宋体"/>
          <w:b/>
          <w:bCs/>
          <w:sz w:val="24"/>
          <w:szCs w:val="24"/>
        </w:rPr>
        <w:t>3.2.3 招标文件的修改与补充</w:t>
      </w:r>
    </w:p>
    <w:p w14:paraId="38CF4D5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投标截止日期3天前，无论出于何种原因，招标人（采购人）可主动地或在解答投标人提出的问题时对招标文件进行修改。</w:t>
      </w:r>
    </w:p>
    <w:p w14:paraId="789AD32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招标文件的修改将以书面形式或网上公告的形式通知所有购买招标文件的投标人，并对其具有约束力。投标人在被告知、收到上述公告、通知或答疑书后，应立即向招标人回函确认。未确认情况应当视为对招标文件修改的知晓，也将视为对修改内容接受的默认。对于未在投标文件中对修改内容做实质性响应的，对其产生的不利因素由未确认者自行承担。</w:t>
      </w:r>
    </w:p>
    <w:p w14:paraId="16B874AF">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为使投标人准备投标时有充分时间对招标文件的补充或修改内容进行考虑和研究或由于其他原因，招标人可决定是否延长投标文件递交截止时间和开标时间，并将此变更通知上述每一投标人。</w:t>
      </w:r>
    </w:p>
    <w:p w14:paraId="1AFE0B76">
      <w:pPr>
        <w:spacing w:after="0" w:line="480" w:lineRule="exact"/>
        <w:outlineLvl w:val="9"/>
        <w:rPr>
          <w:rFonts w:ascii="宋体" w:hAnsi="宋体" w:eastAsia="宋体" w:cs="宋体"/>
          <w:b/>
          <w:bCs/>
          <w:sz w:val="24"/>
          <w:szCs w:val="24"/>
        </w:rPr>
      </w:pPr>
      <w:bookmarkStart w:id="25" w:name="_Toc10065"/>
      <w:bookmarkStart w:id="26" w:name="_Toc11324"/>
      <w:bookmarkStart w:id="27" w:name="_Toc1264"/>
      <w:bookmarkStart w:id="28" w:name="_Toc26783"/>
      <w:bookmarkStart w:id="29" w:name="_Toc10431"/>
      <w:r>
        <w:rPr>
          <w:rFonts w:hint="eastAsia" w:ascii="宋体" w:hAnsi="宋体" w:eastAsia="宋体" w:cs="宋体"/>
          <w:b/>
          <w:bCs/>
          <w:sz w:val="24"/>
          <w:szCs w:val="24"/>
        </w:rPr>
        <w:t>3.3投标</w:t>
      </w:r>
      <w:bookmarkEnd w:id="25"/>
      <w:bookmarkEnd w:id="26"/>
      <w:bookmarkEnd w:id="27"/>
      <w:bookmarkEnd w:id="28"/>
      <w:bookmarkEnd w:id="29"/>
    </w:p>
    <w:p w14:paraId="150BBF28">
      <w:pPr>
        <w:spacing w:after="0" w:line="480" w:lineRule="exact"/>
        <w:ind w:firstLine="482" w:firstLineChars="200"/>
        <w:outlineLvl w:val="9"/>
        <w:rPr>
          <w:rFonts w:ascii="宋体" w:hAnsi="宋体" w:eastAsia="宋体" w:cs="宋体"/>
          <w:b/>
          <w:bCs/>
          <w:sz w:val="24"/>
          <w:szCs w:val="24"/>
        </w:rPr>
      </w:pPr>
      <w:r>
        <w:rPr>
          <w:rFonts w:hint="eastAsia" w:ascii="宋体" w:hAnsi="宋体" w:eastAsia="宋体" w:cs="宋体"/>
          <w:b/>
          <w:bCs/>
          <w:sz w:val="24"/>
          <w:szCs w:val="24"/>
        </w:rPr>
        <w:t>3.3.1投标综合要求及说明</w:t>
      </w:r>
    </w:p>
    <w:p w14:paraId="73F6534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1）投标人投标应按照招标人标书要求有分包的按分包投标，且每包只能报一个方案进行投标，否则按无效投标处理；</w:t>
      </w:r>
    </w:p>
    <w:p w14:paraId="03E7530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2）投标人对投标产品技术性能的描述因欠缺或漏报而影响对投标人投标文件的评比，不利后果由投标人承担；</w:t>
      </w:r>
    </w:p>
    <w:p w14:paraId="762CCCF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3）投标人在投标文件中所列出的所有货物、材料、人工、机械等均视为包含在投标项目以及报价中；</w:t>
      </w:r>
    </w:p>
    <w:p w14:paraId="04696D9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投标人在本次项目中所提供的建设项目，对于招标文件中的技术参数要求必须满足，必须符合国家相关规定的要求，对国标、省标和行业标准以及企业标准的满足在个案中标书内给予确认，否则视为无效投标；</w:t>
      </w:r>
    </w:p>
    <w:p w14:paraId="219BA5DF">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招标人发现具有《中华人民共和国政府采购法》第七十七条中第一至五项情形之一的，有权宣布投标程序和结果无效，在涉标的公证性与违法问题的调查或检查中，中标供应商如拒绝有关部门的监督检查，视其情节，招标人也有权宣布中标结果视同无效。招标人同时报备同级财政部门确认，并对投、中标人的损失不承担任何责任；</w:t>
      </w:r>
    </w:p>
    <w:p w14:paraId="123A2227">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6）招标人可视投标品目价格情况适当增加或减少采购数量，并保留拆包或取消采购某些品目的权力；</w:t>
      </w:r>
    </w:p>
    <w:p w14:paraId="497B188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7）投标人应自行承担所有与准备和参加投标有关的费用。不论投标的结果如何，招标人和需方均无义务和责任承担这些费用。</w:t>
      </w:r>
    </w:p>
    <w:p w14:paraId="1728C0F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8）本项目不接受联合体投标。</w:t>
      </w:r>
    </w:p>
    <w:p w14:paraId="58FB866B">
      <w:pPr>
        <w:spacing w:after="0" w:line="480" w:lineRule="exact"/>
        <w:ind w:firstLine="482" w:firstLineChars="200"/>
        <w:outlineLvl w:val="9"/>
        <w:rPr>
          <w:rFonts w:ascii="宋体" w:hAnsi="宋体" w:eastAsia="宋体" w:cs="宋体"/>
          <w:b/>
          <w:bCs/>
          <w:sz w:val="24"/>
          <w:szCs w:val="24"/>
        </w:rPr>
      </w:pPr>
      <w:r>
        <w:rPr>
          <w:rFonts w:hint="eastAsia" w:ascii="宋体" w:hAnsi="宋体" w:eastAsia="宋体" w:cs="宋体"/>
          <w:b/>
          <w:bCs/>
          <w:sz w:val="24"/>
          <w:szCs w:val="24"/>
        </w:rPr>
        <w:t>3.3.2 投标文件的制作</w:t>
      </w:r>
    </w:p>
    <w:p w14:paraId="727A13C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投标人须按招标文件的要求制作投标文件。制作投标文件须编制目录、页码。</w:t>
      </w:r>
    </w:p>
    <w:p w14:paraId="20097F5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1）投标文件封面格式</w:t>
      </w:r>
    </w:p>
    <w:p w14:paraId="0A8F9C1A">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2）投标函</w:t>
      </w:r>
    </w:p>
    <w:p w14:paraId="24D75ABD">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3）法定代表人身份证明</w:t>
      </w:r>
    </w:p>
    <w:p w14:paraId="4F602F9B">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4）法人授权委托函</w:t>
      </w:r>
    </w:p>
    <w:p w14:paraId="621B7F75">
      <w:pPr>
        <w:tabs>
          <w:tab w:val="left" w:pos="945"/>
        </w:tabs>
        <w:adjustRightInd/>
        <w:snapToGrid/>
        <w:spacing w:after="0" w:line="480" w:lineRule="exact"/>
        <w:ind w:firstLine="480" w:firstLineChars="200"/>
        <w:jc w:val="both"/>
        <w:textAlignment w:val="baseline"/>
        <w:outlineLvl w:val="9"/>
        <w:rPr>
          <w:rFonts w:ascii="宋体" w:hAnsi="宋体" w:eastAsia="宋体" w:cs="宋体"/>
          <w:b/>
          <w:kern w:val="2"/>
          <w:sz w:val="24"/>
          <w:szCs w:val="24"/>
        </w:rPr>
      </w:pPr>
      <w:r>
        <w:rPr>
          <w:rFonts w:hint="eastAsia" w:ascii="宋体" w:hAnsi="宋体" w:eastAsia="宋体" w:cs="宋体"/>
          <w:kern w:val="2"/>
          <w:sz w:val="24"/>
          <w:szCs w:val="24"/>
        </w:rPr>
        <w:t>5）投标报价表</w:t>
      </w:r>
    </w:p>
    <w:p w14:paraId="4FAA09BF">
      <w:pPr>
        <w:tabs>
          <w:tab w:val="left" w:pos="945"/>
        </w:tabs>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6）投标材料真实性保证承诺书</w:t>
      </w:r>
    </w:p>
    <w:p w14:paraId="2D9E33B8">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7）投标人资质证明文件及认为有必要的其他相关证明材料</w:t>
      </w:r>
    </w:p>
    <w:p w14:paraId="346550C7">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8）商务偏离表</w:t>
      </w:r>
    </w:p>
    <w:p w14:paraId="64E1709D">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bookmarkStart w:id="30" w:name="_Toc18320"/>
      <w:bookmarkStart w:id="31" w:name="_Toc20633"/>
      <w:bookmarkStart w:id="32" w:name="_Toc6809"/>
      <w:r>
        <w:rPr>
          <w:rFonts w:hint="eastAsia" w:ascii="宋体" w:hAnsi="宋体" w:eastAsia="宋体" w:cs="宋体"/>
          <w:kern w:val="2"/>
          <w:sz w:val="24"/>
          <w:szCs w:val="24"/>
        </w:rPr>
        <w:t>9）技术偏离表</w:t>
      </w:r>
      <w:bookmarkEnd w:id="30"/>
      <w:bookmarkEnd w:id="31"/>
      <w:bookmarkEnd w:id="32"/>
    </w:p>
    <w:p w14:paraId="54BC165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10) 优惠条件承诺书</w:t>
      </w:r>
    </w:p>
    <w:p w14:paraId="03182AED">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11）售后服务承诺</w:t>
      </w:r>
    </w:p>
    <w:p w14:paraId="1F6FD0A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12）无重大违法记录声明</w:t>
      </w:r>
    </w:p>
    <w:p w14:paraId="4426D5C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13）中小企业声明函</w:t>
      </w:r>
    </w:p>
    <w:p w14:paraId="2B9488B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14）同意招标文件条款声明</w:t>
      </w:r>
    </w:p>
    <w:p w14:paraId="2A46EB4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15）虚假应标承担责任声明</w:t>
      </w:r>
    </w:p>
    <w:p w14:paraId="62C1F46B">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16）代理服务费确认书</w:t>
      </w:r>
    </w:p>
    <w:p w14:paraId="0B11E210">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17）残疾人福利性单位声明函</w:t>
      </w:r>
    </w:p>
    <w:p w14:paraId="773B88AA">
      <w:pPr>
        <w:spacing w:after="0" w:line="480" w:lineRule="exact"/>
        <w:ind w:firstLine="482" w:firstLineChars="200"/>
        <w:outlineLvl w:val="9"/>
        <w:rPr>
          <w:rFonts w:ascii="宋体" w:hAnsi="宋体" w:eastAsia="宋体" w:cs="宋体"/>
          <w:b/>
          <w:bCs/>
          <w:sz w:val="24"/>
          <w:szCs w:val="24"/>
        </w:rPr>
      </w:pPr>
      <w:r>
        <w:rPr>
          <w:rFonts w:hint="eastAsia" w:ascii="宋体" w:hAnsi="宋体" w:eastAsia="宋体" w:cs="宋体"/>
          <w:b/>
          <w:bCs/>
          <w:sz w:val="24"/>
          <w:szCs w:val="24"/>
        </w:rPr>
        <w:t>3.3.3 有下列情形之一的，视为投标人串通投标，其投标无效：</w:t>
      </w:r>
    </w:p>
    <w:p w14:paraId="2933727F">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1）不同投标人的投标文件由同一单位或者个人编制；</w:t>
      </w:r>
    </w:p>
    <w:p w14:paraId="433CE6C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2）不同投标人委托同一单位或者个人办理投标事宜；</w:t>
      </w:r>
    </w:p>
    <w:p w14:paraId="0BB70A7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3）不同投标人的投标文件载明的项目管理成员或者联系人为同一人；</w:t>
      </w:r>
    </w:p>
    <w:p w14:paraId="7CE24198">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4）不同投标人的投标文件异常一致或者投标报价呈规律性差异；</w:t>
      </w:r>
    </w:p>
    <w:p w14:paraId="5C5B6FD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5）不同投标人的投标文件相互混装；</w:t>
      </w:r>
    </w:p>
    <w:p w14:paraId="56DB6C1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6）不同投标人的投标保证金从同一单位或者个人的账户转出。</w:t>
      </w:r>
    </w:p>
    <w:p w14:paraId="20EE0217">
      <w:pPr>
        <w:spacing w:after="0" w:line="480" w:lineRule="exact"/>
        <w:ind w:firstLine="482" w:firstLineChars="200"/>
        <w:outlineLvl w:val="9"/>
        <w:rPr>
          <w:rFonts w:ascii="宋体" w:hAnsi="宋体" w:eastAsia="宋体" w:cs="宋体"/>
          <w:b/>
          <w:bCs/>
          <w:sz w:val="24"/>
          <w:szCs w:val="24"/>
        </w:rPr>
      </w:pPr>
      <w:r>
        <w:rPr>
          <w:rFonts w:hint="eastAsia" w:ascii="宋体" w:hAnsi="宋体" w:eastAsia="宋体" w:cs="宋体"/>
          <w:b/>
          <w:bCs/>
          <w:sz w:val="24"/>
          <w:szCs w:val="24"/>
        </w:rPr>
        <w:t>3.3.4 投标报价</w:t>
      </w:r>
    </w:p>
    <w:p w14:paraId="1D891F85">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投标人应根据招标文件要求和范围报价，此次投标报价（须标明各品目报价及合计报价，否则视为无效投标）。投标价格应包括完成招标文件规定的招标范围全部内容所需的全部费用，并通过合格验收的全部价格，包括设备采购费用、运输费用和检测费用等。</w:t>
      </w:r>
      <w:r>
        <w:rPr>
          <w:rFonts w:hint="eastAsia" w:ascii="宋体" w:hAnsi="宋体" w:eastAsia="宋体" w:cs="宋体"/>
          <w:sz w:val="24"/>
          <w:szCs w:val="24"/>
        </w:rPr>
        <w:t>除非招标文件另有规定，</w:t>
      </w:r>
      <w:r>
        <w:rPr>
          <w:rFonts w:hint="eastAsia" w:ascii="宋体" w:hAnsi="宋体" w:eastAsia="宋体" w:cs="宋体"/>
          <w:kern w:val="2"/>
          <w:sz w:val="24"/>
          <w:szCs w:val="24"/>
        </w:rPr>
        <w:t>投标</w:t>
      </w:r>
      <w:r>
        <w:rPr>
          <w:rFonts w:hint="eastAsia" w:ascii="宋体" w:hAnsi="宋体" w:eastAsia="宋体" w:cs="宋体"/>
          <w:sz w:val="24"/>
          <w:szCs w:val="24"/>
        </w:rPr>
        <w:t>报价应包括所需货物、检测、保险、利润、税金、劳保统筹、政策性文件规定及合同包含的所有风险、优惠率、责任等各项应有费用。</w:t>
      </w:r>
    </w:p>
    <w:p w14:paraId="21C2BC9B">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投标价格采用唯一价格，即不得为某一范围价格。投标货币为</w:t>
      </w:r>
      <w:r>
        <w:rPr>
          <w:rFonts w:hint="eastAsia" w:ascii="宋体" w:hAnsi="宋体" w:eastAsia="宋体" w:cs="宋体"/>
          <w:b/>
          <w:kern w:val="2"/>
          <w:sz w:val="24"/>
          <w:szCs w:val="24"/>
        </w:rPr>
        <w:t>人民币</w:t>
      </w:r>
      <w:r>
        <w:rPr>
          <w:rFonts w:hint="eastAsia" w:ascii="宋体" w:hAnsi="宋体" w:eastAsia="宋体" w:cs="宋体"/>
          <w:kern w:val="2"/>
          <w:sz w:val="24"/>
          <w:szCs w:val="24"/>
        </w:rPr>
        <w:t>。</w:t>
      </w:r>
    </w:p>
    <w:p w14:paraId="02A45CA3">
      <w:pPr>
        <w:spacing w:after="0" w:line="48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3.3.5投标有效期</w:t>
      </w:r>
    </w:p>
    <w:p w14:paraId="50BF529F">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投标文件在正式递交之日起60日内有效。</w:t>
      </w:r>
    </w:p>
    <w:p w14:paraId="7655BD2C">
      <w:pPr>
        <w:spacing w:after="0" w:line="48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3.3.6 投标保证金</w:t>
      </w:r>
    </w:p>
    <w:p w14:paraId="7BFF8577">
      <w:pPr>
        <w:spacing w:after="0" w:line="48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本项目不设立保证金</w:t>
      </w:r>
    </w:p>
    <w:p w14:paraId="30EB3DEA">
      <w:pPr>
        <w:spacing w:after="0" w:line="480" w:lineRule="exact"/>
        <w:ind w:firstLine="480" w:firstLineChars="200"/>
        <w:outlineLvl w:val="9"/>
        <w:rPr>
          <w:rFonts w:ascii="宋体" w:hAnsi="宋体" w:eastAsia="宋体" w:cs="宋体"/>
          <w:sz w:val="24"/>
          <w:szCs w:val="24"/>
          <w:lang w:val="zh-CN"/>
        </w:rPr>
      </w:pPr>
      <w:r>
        <w:rPr>
          <w:rFonts w:hint="eastAsia" w:ascii="宋体" w:hAnsi="宋体" w:eastAsia="宋体" w:cs="宋体"/>
          <w:sz w:val="24"/>
          <w:szCs w:val="24"/>
          <w:lang w:val="zh-CN"/>
        </w:rPr>
        <w:t>3.3.7投标文件的签署</w:t>
      </w:r>
    </w:p>
    <w:p w14:paraId="407FC5BD">
      <w:pPr>
        <w:adjustRightInd/>
        <w:snapToGrid/>
        <w:spacing w:after="0" w:line="480" w:lineRule="exact"/>
        <w:ind w:firstLine="480" w:firstLineChars="200"/>
        <w:jc w:val="both"/>
        <w:textAlignment w:val="baseline"/>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本项目采用网上开评标，投标文件中除要求由投标人法定代表人或被授权人签字的内容必须签字、盖章外，其他每页也须签字（印章）并加盖公章，副本可由正本复印而成 。 由被授权人签字或盖章的《投标文件》 中须同时提交“法 定代表人授权函 ” 。除投标人对错误处须修改外，全套《投标文件》应无涂改或行间插字 和增删。如有修改，修改处应由投标人加盖投标人的印章或由《投标文件》签字人签字或盖章</w:t>
      </w:r>
      <w:r>
        <w:rPr>
          <w:rFonts w:hint="eastAsia" w:ascii="宋体" w:hAnsi="宋体" w:eastAsia="宋体" w:cs="宋体"/>
          <w:kern w:val="2"/>
          <w:sz w:val="24"/>
          <w:szCs w:val="24"/>
          <w:lang w:eastAsia="zh-CN"/>
        </w:rPr>
        <w:t>。</w:t>
      </w:r>
    </w:p>
    <w:p w14:paraId="7A1CAF87">
      <w:pPr>
        <w:spacing w:after="0" w:line="480" w:lineRule="exact"/>
        <w:ind w:firstLine="482" w:firstLineChars="200"/>
        <w:outlineLvl w:val="9"/>
        <w:rPr>
          <w:rFonts w:ascii="宋体" w:hAnsi="宋体" w:eastAsia="宋体" w:cs="宋体"/>
          <w:b/>
          <w:bCs/>
          <w:sz w:val="24"/>
          <w:szCs w:val="24"/>
          <w:lang w:val="zh-CN"/>
        </w:rPr>
      </w:pPr>
      <w:r>
        <w:rPr>
          <w:rFonts w:hint="eastAsia" w:ascii="宋体" w:hAnsi="宋体" w:eastAsia="宋体" w:cs="宋体"/>
          <w:b/>
          <w:bCs/>
          <w:sz w:val="24"/>
          <w:szCs w:val="24"/>
          <w:lang w:val="zh-CN"/>
        </w:rPr>
        <w:t>3.3.8 投标文件格式</w:t>
      </w:r>
    </w:p>
    <w:p w14:paraId="58CDB148">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招标文件提供的规定格式见附件1—附件18。</w:t>
      </w:r>
    </w:p>
    <w:p w14:paraId="48643184">
      <w:pPr>
        <w:spacing w:after="0" w:line="480" w:lineRule="exact"/>
        <w:ind w:firstLine="482" w:firstLineChars="200"/>
        <w:outlineLvl w:val="9"/>
        <w:rPr>
          <w:rFonts w:ascii="宋体" w:hAnsi="宋体" w:eastAsia="宋体" w:cs="宋体"/>
          <w:b/>
          <w:bCs/>
          <w:sz w:val="24"/>
          <w:szCs w:val="24"/>
          <w:lang w:val="zh-CN"/>
        </w:rPr>
      </w:pPr>
      <w:r>
        <w:rPr>
          <w:rFonts w:hint="eastAsia" w:ascii="宋体" w:hAnsi="宋体" w:eastAsia="宋体" w:cs="宋体"/>
          <w:b/>
          <w:bCs/>
          <w:sz w:val="24"/>
          <w:szCs w:val="24"/>
          <w:lang w:val="zh-CN"/>
        </w:rPr>
        <w:t>3.3.9 投标文件的上传</w:t>
      </w:r>
    </w:p>
    <w:p w14:paraId="315734BF">
      <w:pPr>
        <w:adjustRightInd/>
        <w:snapToGrid/>
        <w:spacing w:after="0" w:line="480" w:lineRule="exact"/>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本项目采用网上电子投标方式，不接受投标人递交的纸质投标文件，（详见投标人须知前附表2.21）。对迟于投标截止时间提交的电子投标文件将不予接受。</w:t>
      </w:r>
    </w:p>
    <w:p w14:paraId="41235074">
      <w:pPr>
        <w:spacing w:after="0" w:line="480" w:lineRule="exact"/>
        <w:ind w:firstLine="482" w:firstLineChars="200"/>
        <w:outlineLvl w:val="9"/>
        <w:rPr>
          <w:rFonts w:ascii="宋体" w:hAnsi="宋体" w:eastAsia="宋体" w:cs="宋体"/>
          <w:b/>
          <w:bCs/>
          <w:sz w:val="24"/>
          <w:szCs w:val="24"/>
          <w:lang w:val="zh-CN"/>
        </w:rPr>
      </w:pPr>
      <w:r>
        <w:rPr>
          <w:rFonts w:hint="eastAsia" w:ascii="宋体" w:hAnsi="宋体" w:eastAsia="宋体" w:cs="宋体"/>
          <w:b/>
          <w:bCs/>
          <w:sz w:val="24"/>
          <w:szCs w:val="24"/>
          <w:lang w:val="zh-CN"/>
        </w:rPr>
        <w:t>3.3.10 投标文件递交</w:t>
      </w:r>
    </w:p>
    <w:p w14:paraId="50325A1C">
      <w:pPr>
        <w:adjustRightInd/>
        <w:snapToGrid/>
        <w:spacing w:after="0" w:line="480" w:lineRule="exact"/>
        <w:ind w:firstLine="480" w:firstLineChars="200"/>
        <w:jc w:val="both"/>
        <w:textAlignment w:val="baseline"/>
        <w:outlineLvl w:val="9"/>
        <w:rPr>
          <w:rFonts w:ascii="宋体" w:hAnsi="宋体" w:eastAsia="宋体" w:cs="宋体"/>
          <w:kern w:val="2"/>
          <w:sz w:val="24"/>
          <w:szCs w:val="24"/>
          <w:lang w:bidi="zh-CN"/>
        </w:rPr>
      </w:pPr>
      <w:r>
        <w:rPr>
          <w:rFonts w:hint="eastAsia" w:ascii="宋体" w:hAnsi="宋体" w:eastAsia="宋体" w:cs="宋体"/>
          <w:kern w:val="2"/>
          <w:sz w:val="24"/>
          <w:szCs w:val="24"/>
          <w:lang w:bidi="zh-CN"/>
        </w:rPr>
        <w:t>中标人在开标之后按投标须知前附表中投标文件份数及要求将</w:t>
      </w:r>
      <w:r>
        <w:rPr>
          <w:rFonts w:hint="eastAsia" w:ascii="宋体" w:hAnsi="宋体" w:eastAsia="宋体" w:cs="宋体"/>
          <w:b/>
          <w:kern w:val="2"/>
          <w:sz w:val="24"/>
          <w:szCs w:val="24"/>
          <w:lang w:bidi="zh-CN"/>
        </w:rPr>
        <w:t>与上传投标文件一致的投标文件纸质版和电子版</w:t>
      </w:r>
      <w:r>
        <w:rPr>
          <w:rFonts w:hint="eastAsia" w:ascii="宋体" w:hAnsi="宋体" w:eastAsia="宋体" w:cs="宋体"/>
          <w:kern w:val="2"/>
          <w:sz w:val="24"/>
          <w:szCs w:val="24"/>
          <w:lang w:bidi="zh-CN"/>
        </w:rPr>
        <w:t>邮寄至陇南子午线招标代理有限公司存档。</w:t>
      </w:r>
    </w:p>
    <w:p w14:paraId="2109CAD3">
      <w:pPr>
        <w:spacing w:after="0" w:line="480" w:lineRule="exact"/>
        <w:ind w:firstLine="482" w:firstLineChars="200"/>
        <w:outlineLvl w:val="9"/>
        <w:rPr>
          <w:rFonts w:ascii="宋体" w:hAnsi="宋体" w:eastAsia="宋体" w:cs="宋体"/>
          <w:b/>
          <w:bCs/>
          <w:sz w:val="24"/>
          <w:szCs w:val="24"/>
          <w:lang w:val="zh-CN"/>
        </w:rPr>
      </w:pPr>
      <w:r>
        <w:rPr>
          <w:rFonts w:hint="eastAsia" w:ascii="宋体" w:hAnsi="宋体" w:eastAsia="宋体" w:cs="宋体"/>
          <w:b/>
          <w:bCs/>
          <w:sz w:val="24"/>
          <w:szCs w:val="24"/>
          <w:lang w:val="zh-CN"/>
        </w:rPr>
        <w:t>3.3.11 投标截止时间</w:t>
      </w:r>
    </w:p>
    <w:p w14:paraId="466E1D50">
      <w:pPr>
        <w:adjustRightInd/>
        <w:snapToGrid/>
        <w:spacing w:after="0" w:line="480" w:lineRule="exact"/>
        <w:ind w:firstLine="480" w:firstLineChars="200"/>
        <w:jc w:val="both"/>
        <w:textAlignment w:val="baseline"/>
        <w:outlineLvl w:val="9"/>
        <w:rPr>
          <w:rFonts w:ascii="宋体" w:hAnsi="宋体" w:eastAsia="宋体" w:cs="宋体"/>
          <w:b/>
          <w:color w:val="auto"/>
          <w:kern w:val="2"/>
          <w:sz w:val="24"/>
          <w:szCs w:val="24"/>
        </w:rPr>
      </w:pPr>
      <w:r>
        <w:rPr>
          <w:rFonts w:hint="eastAsia" w:ascii="宋体" w:hAnsi="宋体" w:eastAsia="宋体" w:cs="宋体"/>
          <w:kern w:val="2"/>
          <w:sz w:val="24"/>
          <w:szCs w:val="24"/>
        </w:rPr>
        <w:t>投标截止时</w:t>
      </w:r>
      <w:r>
        <w:rPr>
          <w:rFonts w:hint="eastAsia" w:ascii="宋体" w:hAnsi="宋体" w:eastAsia="宋体" w:cs="宋体"/>
          <w:color w:val="auto"/>
          <w:kern w:val="2"/>
          <w:sz w:val="24"/>
          <w:szCs w:val="24"/>
        </w:rPr>
        <w:t>间为：2024年</w:t>
      </w:r>
      <w:r>
        <w:rPr>
          <w:rFonts w:hint="eastAsia" w:ascii="宋体" w:hAnsi="宋体" w:eastAsia="宋体" w:cs="宋体"/>
          <w:color w:val="auto"/>
          <w:kern w:val="2"/>
          <w:sz w:val="24"/>
          <w:szCs w:val="24"/>
          <w:lang w:val="en-US" w:eastAsia="zh-CN"/>
        </w:rPr>
        <w:t>12</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02</w:t>
      </w:r>
      <w:r>
        <w:rPr>
          <w:rFonts w:hint="eastAsia" w:ascii="宋体" w:hAnsi="宋体" w:eastAsia="宋体" w:cs="宋体"/>
          <w:color w:val="auto"/>
          <w:kern w:val="2"/>
          <w:sz w:val="24"/>
          <w:szCs w:val="24"/>
        </w:rPr>
        <w:t>日</w:t>
      </w:r>
      <w:r>
        <w:rPr>
          <w:rFonts w:hint="eastAsia" w:ascii="宋体" w:hAnsi="宋体" w:eastAsia="宋体" w:cs="宋体"/>
          <w:color w:val="auto"/>
          <w:kern w:val="2"/>
          <w:sz w:val="24"/>
          <w:szCs w:val="24"/>
          <w:lang w:eastAsia="zh-CN"/>
        </w:rPr>
        <w:t>下</w:t>
      </w:r>
      <w:r>
        <w:rPr>
          <w:rFonts w:hint="eastAsia" w:ascii="宋体" w:hAnsi="宋体" w:eastAsia="宋体" w:cs="宋体"/>
          <w:color w:val="auto"/>
          <w:kern w:val="2"/>
          <w:sz w:val="24"/>
          <w:szCs w:val="24"/>
        </w:rPr>
        <w:t>午</w:t>
      </w:r>
      <w:r>
        <w:rPr>
          <w:rFonts w:hint="eastAsia" w:ascii="宋体" w:hAnsi="宋体" w:eastAsia="宋体" w:cs="宋体"/>
          <w:color w:val="auto"/>
          <w:kern w:val="2"/>
          <w:sz w:val="24"/>
          <w:szCs w:val="24"/>
          <w:lang w:val="en-US" w:eastAsia="zh-CN"/>
        </w:rPr>
        <w:t>15</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rPr>
        <w:t>0</w:t>
      </w:r>
      <w:r>
        <w:rPr>
          <w:rFonts w:hint="eastAsia" w:ascii="宋体" w:hAnsi="宋体" w:eastAsia="宋体" w:cs="宋体"/>
          <w:color w:val="auto"/>
          <w:kern w:val="2"/>
          <w:sz w:val="24"/>
          <w:szCs w:val="24"/>
          <w:lang w:eastAsia="zh-CN"/>
        </w:rPr>
        <w:t>时</w:t>
      </w:r>
      <w:r>
        <w:rPr>
          <w:rFonts w:hint="eastAsia" w:ascii="宋体" w:hAnsi="宋体" w:eastAsia="宋体" w:cs="宋体"/>
          <w:b/>
          <w:color w:val="auto"/>
          <w:kern w:val="2"/>
          <w:sz w:val="24"/>
          <w:szCs w:val="24"/>
        </w:rPr>
        <w:t>（北京时间）</w:t>
      </w:r>
      <w:r>
        <w:rPr>
          <w:rFonts w:hint="eastAsia" w:ascii="宋体" w:hAnsi="宋体" w:eastAsia="宋体" w:cs="宋体"/>
          <w:color w:val="auto"/>
          <w:kern w:val="2"/>
          <w:sz w:val="24"/>
          <w:szCs w:val="24"/>
        </w:rPr>
        <w:t>。</w:t>
      </w:r>
    </w:p>
    <w:p w14:paraId="72A25BAA">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color w:val="auto"/>
          <w:kern w:val="2"/>
          <w:sz w:val="24"/>
          <w:szCs w:val="24"/>
        </w:rPr>
        <w:t>招标人可以补充通知的方式，酌情延长投标截止时间。在上述情况下，招标人与投标人以前在投标截止</w:t>
      </w:r>
      <w:r>
        <w:rPr>
          <w:rFonts w:hint="eastAsia" w:ascii="宋体" w:hAnsi="宋体" w:eastAsia="宋体" w:cs="宋体"/>
          <w:kern w:val="2"/>
          <w:sz w:val="24"/>
          <w:szCs w:val="24"/>
        </w:rPr>
        <w:t>期方面的全部权力、责任和义务，将适用于延长后新的投标截止时间。</w:t>
      </w:r>
    </w:p>
    <w:p w14:paraId="1A881F8B">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3.3.12 投标文件的修改与撤回</w:t>
      </w:r>
    </w:p>
    <w:p w14:paraId="1C7ED0A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在开标时间到达之前，投标人可以多次在线提交或修改电子投标文件，以最后一次上传的为准；在开标时间到达之前，可在线撤回投标。</w:t>
      </w:r>
    </w:p>
    <w:p w14:paraId="56FA20B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在投标截止时间之后，投标人不得对其提交的电子投标文件做任何修改或撤回投标。 </w:t>
      </w:r>
    </w:p>
    <w:p w14:paraId="5B648684">
      <w:pPr>
        <w:adjustRightInd/>
        <w:snapToGrid/>
        <w:spacing w:after="0" w:line="480" w:lineRule="exact"/>
        <w:jc w:val="both"/>
        <w:textAlignment w:val="baseline"/>
        <w:outlineLvl w:val="9"/>
        <w:rPr>
          <w:rFonts w:ascii="宋体" w:hAnsi="宋体" w:eastAsia="宋体" w:cs="宋体"/>
          <w:b/>
          <w:kern w:val="2"/>
          <w:sz w:val="24"/>
          <w:szCs w:val="24"/>
        </w:rPr>
      </w:pPr>
      <w:bookmarkStart w:id="33" w:name="_Toc18151"/>
      <w:bookmarkStart w:id="34" w:name="_Toc2286"/>
      <w:bookmarkStart w:id="35" w:name="_Toc25204"/>
      <w:bookmarkStart w:id="36" w:name="_Toc10980"/>
      <w:bookmarkStart w:id="37" w:name="_Toc29539"/>
      <w:r>
        <w:rPr>
          <w:rFonts w:hint="eastAsia" w:ascii="宋体" w:hAnsi="宋体" w:eastAsia="宋体" w:cs="宋体"/>
          <w:b/>
          <w:kern w:val="2"/>
          <w:sz w:val="24"/>
          <w:szCs w:val="24"/>
        </w:rPr>
        <w:t>3.4开标</w:t>
      </w:r>
      <w:bookmarkEnd w:id="33"/>
      <w:bookmarkEnd w:id="34"/>
      <w:bookmarkEnd w:id="35"/>
      <w:bookmarkEnd w:id="36"/>
      <w:bookmarkEnd w:id="37"/>
    </w:p>
    <w:p w14:paraId="63AE5B3A">
      <w:pPr>
        <w:adjustRightInd/>
        <w:snapToGrid/>
        <w:spacing w:after="0" w:line="480" w:lineRule="exact"/>
        <w:ind w:firstLine="482" w:firstLineChars="200"/>
        <w:jc w:val="both"/>
        <w:textAlignment w:val="baseline"/>
        <w:outlineLvl w:val="9"/>
        <w:rPr>
          <w:rFonts w:ascii="宋体" w:hAnsi="宋体" w:eastAsia="宋体" w:cs="宋体"/>
          <w:bCs/>
          <w:color w:val="auto"/>
          <w:kern w:val="2"/>
          <w:sz w:val="24"/>
          <w:szCs w:val="24"/>
          <w:lang w:bidi="zh-CN"/>
        </w:rPr>
      </w:pPr>
      <w:r>
        <w:rPr>
          <w:rFonts w:hint="eastAsia" w:ascii="宋体" w:hAnsi="宋体" w:eastAsia="宋体" w:cs="宋体"/>
          <w:b/>
          <w:color w:val="auto"/>
          <w:kern w:val="2"/>
          <w:sz w:val="24"/>
          <w:szCs w:val="24"/>
          <w:lang w:bidi="zh-CN"/>
        </w:rPr>
        <w:t>开标地点：</w:t>
      </w:r>
      <w:r>
        <w:rPr>
          <w:rFonts w:hint="eastAsia" w:ascii="宋体" w:hAnsi="宋体" w:eastAsia="宋体" w:cs="宋体"/>
          <w:kern w:val="0"/>
          <w:sz w:val="24"/>
          <w:szCs w:val="24"/>
          <w:lang w:val="en-US" w:eastAsia="zh-CN" w:bidi="ar"/>
        </w:rPr>
        <w:t>文县市场监督管理局会议室</w:t>
      </w:r>
    </w:p>
    <w:p w14:paraId="79D29EF0">
      <w:pPr>
        <w:adjustRightInd/>
        <w:snapToGrid/>
        <w:spacing w:after="0" w:line="480" w:lineRule="exact"/>
        <w:ind w:firstLine="480" w:firstLineChars="200"/>
        <w:jc w:val="both"/>
        <w:textAlignment w:val="baseline"/>
        <w:outlineLvl w:val="9"/>
        <w:rPr>
          <w:rFonts w:ascii="宋体" w:hAnsi="宋体" w:eastAsia="宋体" w:cs="宋体"/>
          <w:kern w:val="2"/>
          <w:sz w:val="24"/>
          <w:szCs w:val="24"/>
          <w:lang w:bidi="zh-CN"/>
        </w:rPr>
      </w:pPr>
      <w:r>
        <w:rPr>
          <w:rFonts w:hint="eastAsia" w:ascii="宋体" w:hAnsi="宋体" w:eastAsia="宋体" w:cs="宋体"/>
          <w:color w:val="auto"/>
          <w:kern w:val="2"/>
          <w:sz w:val="24"/>
          <w:szCs w:val="24"/>
          <w:lang w:bidi="zh-CN"/>
        </w:rPr>
        <w:t>公开开标</w:t>
      </w:r>
      <w:r>
        <w:rPr>
          <w:rFonts w:hint="eastAsia" w:ascii="宋体" w:hAnsi="宋体" w:eastAsia="宋体" w:cs="宋体"/>
          <w:kern w:val="2"/>
          <w:sz w:val="24"/>
          <w:szCs w:val="24"/>
          <w:lang w:bidi="zh-CN"/>
        </w:rPr>
        <w:t>后，直到向中标的供应商授予合同时止，凡与审查、澄清、评价和比较投标的有关资料以及授标意见等均不得向供应商及与投标无关的其他人透露。</w:t>
      </w:r>
    </w:p>
    <w:p w14:paraId="6272B0D2">
      <w:pPr>
        <w:adjustRightInd/>
        <w:snapToGrid/>
        <w:spacing w:after="0" w:line="480" w:lineRule="exact"/>
        <w:jc w:val="both"/>
        <w:textAlignment w:val="baseline"/>
        <w:outlineLvl w:val="9"/>
        <w:rPr>
          <w:rFonts w:ascii="宋体" w:hAnsi="宋体" w:eastAsia="宋体" w:cs="宋体"/>
          <w:b/>
          <w:kern w:val="2"/>
          <w:sz w:val="24"/>
          <w:szCs w:val="24"/>
        </w:rPr>
      </w:pPr>
      <w:bookmarkStart w:id="38" w:name="_Toc32217"/>
      <w:bookmarkStart w:id="39" w:name="_Toc30551"/>
      <w:bookmarkStart w:id="40" w:name="_Toc23075"/>
      <w:bookmarkStart w:id="41" w:name="_Toc32138"/>
      <w:bookmarkStart w:id="42" w:name="_Toc26747"/>
      <w:r>
        <w:rPr>
          <w:rFonts w:hint="eastAsia" w:ascii="宋体" w:hAnsi="宋体" w:eastAsia="宋体" w:cs="宋体"/>
          <w:b/>
          <w:kern w:val="2"/>
          <w:sz w:val="24"/>
          <w:szCs w:val="24"/>
        </w:rPr>
        <w:t>3.5评标</w:t>
      </w:r>
      <w:bookmarkEnd w:id="38"/>
      <w:bookmarkEnd w:id="39"/>
      <w:bookmarkEnd w:id="40"/>
      <w:bookmarkEnd w:id="41"/>
      <w:bookmarkEnd w:id="42"/>
    </w:p>
    <w:p w14:paraId="6E99313F">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3.5.1评标流程</w:t>
      </w:r>
    </w:p>
    <w:p w14:paraId="58CE2E97">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评标工作由招标人依法组建的评标委员会负责。</w:t>
      </w:r>
    </w:p>
    <w:p w14:paraId="7D36A8E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评标流程详见第五章评标原则及办法5.3。</w:t>
      </w:r>
    </w:p>
    <w:p w14:paraId="61A12F6B">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3.5.2注意事项</w:t>
      </w:r>
    </w:p>
    <w:p w14:paraId="52A88A3D">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在评标期间，评标过程严格保密。评标委员会可要求投标人对其投标文件中非实质性的有关问题进行澄清、说明或者补正。有关澄清、说明或者补正的要求和答复应以书面形式提交。投标人的澄清、说明或者补正不得超出投标文件的范围或者改变投标文件实质性内容。</w:t>
      </w:r>
    </w:p>
    <w:p w14:paraId="177031C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如果投标文件没有实质性响应招标文件的要求，评标委员会将予以拒绝。</w:t>
      </w:r>
    </w:p>
    <w:p w14:paraId="1891E95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评标委员会只对确定为实质性响应招标文件要求的投标文件，根据招标文件的要求采用相同的评标程序、评分办法及标准进行评价和比较。</w:t>
      </w:r>
    </w:p>
    <w:p w14:paraId="7491C8C2">
      <w:pPr>
        <w:adjustRightInd/>
        <w:snapToGrid/>
        <w:spacing w:after="0" w:line="480" w:lineRule="exact"/>
        <w:jc w:val="both"/>
        <w:textAlignment w:val="baseline"/>
        <w:outlineLvl w:val="9"/>
        <w:rPr>
          <w:rFonts w:ascii="宋体" w:hAnsi="宋体" w:eastAsia="宋体" w:cs="宋体"/>
          <w:b/>
          <w:kern w:val="2"/>
          <w:sz w:val="24"/>
          <w:szCs w:val="24"/>
        </w:rPr>
      </w:pPr>
      <w:bookmarkStart w:id="43" w:name="_Toc19396"/>
      <w:bookmarkStart w:id="44" w:name="_Toc18743"/>
      <w:bookmarkStart w:id="45" w:name="_Toc23613"/>
      <w:bookmarkStart w:id="46" w:name="_Toc20335"/>
      <w:bookmarkStart w:id="47" w:name="_Toc30142"/>
      <w:r>
        <w:rPr>
          <w:rFonts w:hint="eastAsia" w:ascii="宋体" w:hAnsi="宋体" w:eastAsia="宋体" w:cs="宋体"/>
          <w:b/>
          <w:kern w:val="2"/>
          <w:sz w:val="24"/>
          <w:szCs w:val="24"/>
        </w:rPr>
        <w:t>3.6定标</w:t>
      </w:r>
      <w:bookmarkEnd w:id="43"/>
      <w:bookmarkEnd w:id="44"/>
      <w:bookmarkEnd w:id="45"/>
      <w:bookmarkEnd w:id="46"/>
      <w:bookmarkEnd w:id="47"/>
    </w:p>
    <w:p w14:paraId="7A51EE62">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3.6.1定标原则</w:t>
      </w:r>
    </w:p>
    <w:p w14:paraId="5629878A">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采购人根据评标委员会推荐的中标候选人名单，按顺序确定中标人。</w:t>
      </w:r>
    </w:p>
    <w:p w14:paraId="793D9BBB">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3.6.2定标程序</w:t>
      </w:r>
    </w:p>
    <w:p w14:paraId="2D4BC5F9">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采购人或者采购代理机构应当自中标人确定之日起2个工作日内，给参加此次招标的所有供应商发布中标结果。</w:t>
      </w:r>
    </w:p>
    <w:p w14:paraId="70800E58">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中标结果公告内容应当包括采购人及其委托的采购代理机构的名称、地址、联系方式，项目名称和</w:t>
      </w:r>
      <w:r>
        <w:rPr>
          <w:rFonts w:hint="eastAsia" w:ascii="宋体" w:hAnsi="宋体" w:eastAsia="宋体" w:cs="宋体"/>
          <w:kern w:val="2"/>
          <w:sz w:val="24"/>
          <w:szCs w:val="24"/>
          <w:lang w:eastAsia="zh-CN"/>
        </w:rPr>
        <w:t>招标编号</w:t>
      </w:r>
      <w:r>
        <w:rPr>
          <w:rFonts w:hint="eastAsia" w:ascii="宋体" w:hAnsi="宋体" w:eastAsia="宋体" w:cs="宋体"/>
          <w:kern w:val="2"/>
          <w:sz w:val="24"/>
          <w:szCs w:val="24"/>
        </w:rPr>
        <w:t>，中标人名称、地址和中标金额，主要中标标的的名称、规格型号、品牌、数量、单价，中标公告期限以及评审专家名单。</w:t>
      </w:r>
    </w:p>
    <w:p w14:paraId="305AEF00">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中标公告期限为1个工作日。</w:t>
      </w:r>
    </w:p>
    <w:p w14:paraId="2B67BEAD">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邀请招标采购人采用书面推荐方式产生符合资格条件的潜在投标人的，还应当将所有被推荐供应商名单和推荐理由随中标结果同时公告。</w:t>
      </w:r>
    </w:p>
    <w:p w14:paraId="3B40CD2C">
      <w:pPr>
        <w:adjustRightInd/>
        <w:snapToGrid/>
        <w:spacing w:after="0" w:line="480" w:lineRule="exact"/>
        <w:jc w:val="both"/>
        <w:textAlignment w:val="baseline"/>
        <w:outlineLvl w:val="9"/>
        <w:rPr>
          <w:rFonts w:ascii="宋体" w:hAnsi="宋体" w:eastAsia="宋体" w:cs="宋体"/>
          <w:b/>
          <w:kern w:val="2"/>
          <w:sz w:val="24"/>
          <w:szCs w:val="24"/>
        </w:rPr>
      </w:pPr>
      <w:bookmarkStart w:id="48" w:name="_Toc19134"/>
      <w:bookmarkStart w:id="49" w:name="_Toc5023"/>
      <w:bookmarkStart w:id="50" w:name="_Toc14278"/>
      <w:bookmarkStart w:id="51" w:name="_Toc6891"/>
      <w:bookmarkStart w:id="52" w:name="_Toc17774"/>
      <w:r>
        <w:rPr>
          <w:rFonts w:hint="eastAsia" w:ascii="宋体" w:hAnsi="宋体" w:eastAsia="宋体" w:cs="宋体"/>
          <w:b/>
          <w:kern w:val="2"/>
          <w:sz w:val="24"/>
          <w:szCs w:val="24"/>
        </w:rPr>
        <w:t>3.7中标通知书</w:t>
      </w:r>
      <w:bookmarkEnd w:id="48"/>
      <w:bookmarkEnd w:id="49"/>
      <w:bookmarkEnd w:id="50"/>
      <w:bookmarkEnd w:id="51"/>
      <w:bookmarkEnd w:id="52"/>
    </w:p>
    <w:p w14:paraId="00C13870">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在发布中标结果的同时，采购人或者采购代理机构应当向中标人发出中标通知书；对未通过资格审查的投标人，应当告知其未通过的原因；采用综合评分法评审的，还应当告知未中标人本人的评审得分与排序。</w:t>
      </w:r>
    </w:p>
    <w:p w14:paraId="372649D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中标通知书对采购人和中标人均具有法律效力。中标通知书发出后，采购人改变中标结果，或者中标人无正当理由放弃中标的，应当承担相应的法律责任。</w:t>
      </w:r>
    </w:p>
    <w:p w14:paraId="6AE4D672">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人的投标文件本应作为无效投标处理或者有政府采购法律法规规章制度规定的中标无效情形的，采购人应当宣布发出的中标通知书无效，并收回发出的中标通知书（中标人也应当交回），依法重新确定中标人或者重新开展采购活动。</w:t>
      </w:r>
    </w:p>
    <w:p w14:paraId="28FDE4CE">
      <w:pPr>
        <w:adjustRightInd/>
        <w:snapToGrid/>
        <w:spacing w:after="0" w:line="480" w:lineRule="exact"/>
        <w:jc w:val="both"/>
        <w:textAlignment w:val="baseline"/>
        <w:outlineLvl w:val="9"/>
        <w:rPr>
          <w:rFonts w:ascii="宋体" w:hAnsi="宋体" w:eastAsia="宋体" w:cs="宋体"/>
          <w:b/>
          <w:kern w:val="2"/>
          <w:sz w:val="24"/>
          <w:szCs w:val="24"/>
        </w:rPr>
      </w:pPr>
      <w:bookmarkStart w:id="53" w:name="_Toc12761"/>
      <w:bookmarkStart w:id="54" w:name="_Toc4933"/>
      <w:bookmarkStart w:id="55" w:name="_Toc12529"/>
      <w:bookmarkStart w:id="56" w:name="_Toc7448"/>
      <w:bookmarkStart w:id="57" w:name="_Toc9476"/>
      <w:r>
        <w:rPr>
          <w:rFonts w:hint="eastAsia" w:ascii="宋体" w:hAnsi="宋体" w:eastAsia="宋体" w:cs="宋体"/>
          <w:b/>
          <w:kern w:val="2"/>
          <w:sz w:val="24"/>
          <w:szCs w:val="24"/>
        </w:rPr>
        <w:t>3.8签订政府采购合同</w:t>
      </w:r>
      <w:bookmarkEnd w:id="53"/>
      <w:bookmarkEnd w:id="54"/>
      <w:bookmarkEnd w:id="55"/>
      <w:bookmarkEnd w:id="56"/>
      <w:bookmarkEnd w:id="57"/>
    </w:p>
    <w:p w14:paraId="169ABAEA">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3.8.1合同授予原则</w:t>
      </w:r>
    </w:p>
    <w:p w14:paraId="7346E57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招标人将把合同授予经评标委员会评议推荐采购人确认的投标人。若因中标人违约或因不可抗力等原因不能被授予合同，则合同将授予排序在该投标人之后的下一个投标人。</w:t>
      </w:r>
    </w:p>
    <w:p w14:paraId="72D4BF7A">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招标人保留在签订合同时调整方案需求和变动所购货物数量的权力。</w:t>
      </w:r>
    </w:p>
    <w:p w14:paraId="0B1C3555">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3.8.2合同的签署、履约及验收</w:t>
      </w:r>
    </w:p>
    <w:p w14:paraId="7EF19AA3">
      <w:pPr>
        <w:adjustRightInd/>
        <w:snapToGrid/>
        <w:spacing w:after="0" w:line="480" w:lineRule="exact"/>
        <w:ind w:firstLine="482" w:firstLineChars="200"/>
        <w:jc w:val="both"/>
        <w:textAlignment w:val="baseline"/>
        <w:outlineLvl w:val="9"/>
        <w:rPr>
          <w:rFonts w:ascii="宋体" w:hAnsi="宋体" w:eastAsia="宋体" w:cs="宋体"/>
          <w:kern w:val="2"/>
          <w:sz w:val="24"/>
          <w:szCs w:val="24"/>
        </w:rPr>
      </w:pPr>
      <w:r>
        <w:rPr>
          <w:rFonts w:hint="eastAsia" w:ascii="宋体" w:hAnsi="宋体" w:eastAsia="宋体" w:cs="宋体"/>
          <w:b/>
          <w:kern w:val="2"/>
          <w:sz w:val="24"/>
          <w:szCs w:val="24"/>
        </w:rPr>
        <w:t>签署：</w:t>
      </w:r>
      <w:r>
        <w:rPr>
          <w:rFonts w:hint="eastAsia" w:ascii="宋体" w:hAnsi="宋体" w:eastAsia="宋体" w:cs="宋体"/>
          <w:kern w:val="2"/>
          <w:sz w:val="24"/>
          <w:szCs w:val="24"/>
        </w:rPr>
        <w:t>中标人于中标通知书中发出之日起10日内，按中标通知书指定的时间、地点与采购人签订政府采购合同。招标文件、中标人的投标文件均为签订合同的依据，需方与中标人是合同权利与义务的直接、全部责任承担人。招标人所发出的中标通知书对需方和中标供应商具有同等法律效力。</w:t>
      </w:r>
    </w:p>
    <w:p w14:paraId="3F6ADFD1">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通知书发出后，需方拒绝签订供货合同或擅自改变中标内容，按照《中华人民共和国民法典》定金罚则及损害赔偿的原则处罚并办理。若中标人不能在规定时间内与需方签订合同，或拒签、变相签订合同，招标人依监督职能可采取取消其中标资格并没收其投标保证金等措施，并可按照财政部令【2017】第87号第七十一条、第七十二条、第七十三条及《中华人民共和国政府采购法实施条例》第七十二条规定办理。此时可由招标人按照排名顺序与下一投标人签订合同或重新组织招标。</w:t>
      </w:r>
    </w:p>
    <w:p w14:paraId="1AC6CF60">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如果中标人在规定的合同签订时间内，没有按照招标文件的规定交纳履约保证金，且又无正当理由的，将视为放弃中标，其交纳的投标保证金不予退还。</w:t>
      </w:r>
    </w:p>
    <w:p w14:paraId="62BDC239">
      <w:pPr>
        <w:adjustRightInd/>
        <w:snapToGrid/>
        <w:spacing w:after="0" w:line="480" w:lineRule="exact"/>
        <w:ind w:firstLine="482" w:firstLineChars="200"/>
        <w:jc w:val="both"/>
        <w:textAlignment w:val="baseline"/>
        <w:outlineLvl w:val="9"/>
        <w:rPr>
          <w:rFonts w:ascii="宋体" w:hAnsi="宋体" w:eastAsia="宋体" w:cs="宋体"/>
          <w:kern w:val="2"/>
          <w:sz w:val="24"/>
          <w:szCs w:val="24"/>
        </w:rPr>
      </w:pPr>
      <w:r>
        <w:rPr>
          <w:rFonts w:hint="eastAsia" w:ascii="宋体" w:hAnsi="宋体" w:eastAsia="宋体" w:cs="宋体"/>
          <w:b/>
          <w:kern w:val="2"/>
          <w:sz w:val="24"/>
          <w:szCs w:val="24"/>
        </w:rPr>
        <w:t>履约：</w:t>
      </w:r>
      <w:r>
        <w:rPr>
          <w:rFonts w:hint="eastAsia" w:ascii="宋体" w:hAnsi="宋体" w:eastAsia="宋体" w:cs="宋体"/>
          <w:kern w:val="2"/>
          <w:sz w:val="24"/>
          <w:szCs w:val="24"/>
        </w:rPr>
        <w:t>中标人与采购人签订合同后，合同双方应严格执行合同条款，履行合同规定的义务，保证合同的顺利完成。</w:t>
      </w:r>
    </w:p>
    <w:p w14:paraId="440CBEF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在合同履行过程中，如发生合同纠纷，合同双方应按照《民法典》的有关规定进行处理。</w:t>
      </w:r>
    </w:p>
    <w:p w14:paraId="080E24BB">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验收：</w:t>
      </w:r>
    </w:p>
    <w:p w14:paraId="2C99D51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（一）验收依据：招标文件、投标文件、服务合同及国家有关的标准规定，均为验收依据。</w:t>
      </w:r>
    </w:p>
    <w:p w14:paraId="02970859">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（二）供应商必须按要求提供完整的验收资料并办理必要的相关手续。</w:t>
      </w:r>
    </w:p>
    <w:p w14:paraId="0A344B1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（三）乙方按照合同规定时限要求完成项目建设后，向甲方提出书面验收申请，由甲方组织人员进行现场核查验收。</w:t>
      </w:r>
    </w:p>
    <w:p w14:paraId="748C4839">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（四）如主要项目服务关键技术性能指标达不到招标文件中规定的指标要求，甲方除部分或全部扣除乙方质量保证金外，还将保留继续向乙方进一步索赔有关直接或间接经济损失的权力。</w:t>
      </w:r>
    </w:p>
    <w:p w14:paraId="4EE16C3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（五）验收结束后，验收主要负责人应当在采购验收书上签署验收小组的验收意见。《政府采购项目验收单》一式四份，采购人、供应商、政府采购办、采购代理机构执一份。</w:t>
      </w:r>
    </w:p>
    <w:p w14:paraId="307899B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（六）供应商不符合以上要求，则采购人有权取消供应商的中标资格，供应商须退回采购人已付的支付款及承当相应的法律责任。</w:t>
      </w:r>
    </w:p>
    <w:p w14:paraId="5B440522">
      <w:pPr>
        <w:adjustRightInd/>
        <w:snapToGrid/>
        <w:spacing w:after="0" w:line="480" w:lineRule="exact"/>
        <w:jc w:val="both"/>
        <w:textAlignment w:val="baseline"/>
        <w:outlineLvl w:val="9"/>
        <w:rPr>
          <w:rFonts w:ascii="宋体" w:hAnsi="宋体" w:eastAsia="宋体" w:cs="宋体"/>
          <w:b/>
          <w:kern w:val="2"/>
          <w:sz w:val="24"/>
          <w:szCs w:val="24"/>
        </w:rPr>
      </w:pPr>
      <w:bookmarkStart w:id="58" w:name="_Toc21357"/>
      <w:bookmarkStart w:id="59" w:name="_Toc18017"/>
      <w:bookmarkStart w:id="60" w:name="_Toc20880"/>
      <w:bookmarkStart w:id="61" w:name="_Toc5455"/>
      <w:bookmarkStart w:id="62" w:name="_Toc18826"/>
      <w:r>
        <w:rPr>
          <w:rFonts w:hint="eastAsia" w:ascii="宋体" w:hAnsi="宋体" w:eastAsia="宋体" w:cs="宋体"/>
          <w:b/>
          <w:kern w:val="2"/>
          <w:sz w:val="24"/>
          <w:szCs w:val="24"/>
        </w:rPr>
        <w:t>3.9其他</w:t>
      </w:r>
      <w:bookmarkEnd w:id="58"/>
      <w:bookmarkEnd w:id="59"/>
      <w:bookmarkEnd w:id="60"/>
      <w:bookmarkEnd w:id="61"/>
      <w:bookmarkEnd w:id="62"/>
    </w:p>
    <w:p w14:paraId="1BEA25B7">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中标后招标文件和投标文件未尽事宜另行商定。本招标文件由招标人负责解释。</w:t>
      </w:r>
    </w:p>
    <w:p w14:paraId="4506E741">
      <w:pPr>
        <w:adjustRightInd/>
        <w:snapToGrid/>
        <w:spacing w:after="0" w:line="480" w:lineRule="exact"/>
        <w:jc w:val="both"/>
        <w:textAlignment w:val="baseline"/>
        <w:outlineLvl w:val="9"/>
        <w:rPr>
          <w:rFonts w:ascii="宋体" w:hAnsi="宋体" w:eastAsia="宋体" w:cs="宋体"/>
          <w:b/>
          <w:kern w:val="2"/>
          <w:sz w:val="24"/>
          <w:szCs w:val="24"/>
        </w:rPr>
      </w:pPr>
      <w:bookmarkStart w:id="63" w:name="_Toc32002"/>
      <w:bookmarkStart w:id="64" w:name="_Toc4665"/>
      <w:bookmarkStart w:id="65" w:name="_Toc4601"/>
      <w:bookmarkStart w:id="66" w:name="_Toc4820"/>
      <w:bookmarkStart w:id="67" w:name="_Toc1010"/>
      <w:r>
        <w:rPr>
          <w:rFonts w:hint="eastAsia" w:ascii="宋体" w:hAnsi="宋体" w:eastAsia="宋体" w:cs="宋体"/>
          <w:b/>
          <w:kern w:val="2"/>
          <w:sz w:val="24"/>
          <w:szCs w:val="24"/>
        </w:rPr>
        <w:t>3.10澄清与质疑</w:t>
      </w:r>
      <w:bookmarkEnd w:id="63"/>
      <w:bookmarkEnd w:id="64"/>
      <w:bookmarkEnd w:id="65"/>
      <w:bookmarkEnd w:id="66"/>
      <w:bookmarkEnd w:id="67"/>
    </w:p>
    <w:p w14:paraId="00351EF0">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3.10.1综合说明</w:t>
      </w:r>
    </w:p>
    <w:p w14:paraId="28303E6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供应商对政府采购活动事项有疑问的，可以向招标人提出询问，招标人应当及时予以答复，但答复的内容不得涉及商业秘密。供应商认为招标文件、招标过程或中标结果使自己权益受到损害的，可以在规定期限内，以书面形式向招标人提出质疑。供应商质疑实行实名制，质疑应当有事实根据，不得进行虚假、恶意质疑，干扰政府采购正常工作秩序。</w:t>
      </w:r>
    </w:p>
    <w:p w14:paraId="38B2FDE8">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3.10.2澄清或质疑答复的时限</w:t>
      </w:r>
    </w:p>
    <w:p w14:paraId="19FDACF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（1）潜在供应商对政府采购活动事项有疑问的，可以向采购人或采购代理机构提出询问，采购人或采购代理机构将在3个工作日内作出答复。</w:t>
      </w:r>
    </w:p>
    <w:p w14:paraId="305E3FF0">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（2）供应商若认为采购文件、采购过程、中标或成交结果使自己的权益受到损害的，应当在下列时间内以书面形式向采购人或采购代理机构提出：</w:t>
      </w:r>
    </w:p>
    <w:p w14:paraId="0B463020">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①关于招标文件的质疑，应在收到招标文件之日或者招标文件公告期限届满之日起7个工作日内提出。</w:t>
      </w:r>
    </w:p>
    <w:p w14:paraId="575608ED">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② 关于采购过程的质疑，应在采购程序环节结束之日起7个工作日内提出。</w:t>
      </w:r>
    </w:p>
    <w:p w14:paraId="0470C67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③ 关于中标结果的质疑，应在中标结果信息发布后7个工作日内提出。</w:t>
      </w:r>
    </w:p>
    <w:p w14:paraId="7A2327DB">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（3）采购人应当在收到供应商的书面质疑后7个工作日内作出答复。</w:t>
      </w:r>
    </w:p>
    <w:p w14:paraId="5E37397E">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3.10.3供应商提起质疑应当符合下列条件：</w:t>
      </w:r>
    </w:p>
    <w:p w14:paraId="0ABE917D">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（1）必须是参与被质疑项目的投标人；</w:t>
      </w:r>
    </w:p>
    <w:p w14:paraId="383C55A5">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（2）必须在规定的质疑有效期内提起质疑；</w:t>
      </w:r>
    </w:p>
    <w:p w14:paraId="6A2E048A">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（3）政府采购监督管理部门规定的其他条件。</w:t>
      </w:r>
    </w:p>
    <w:p w14:paraId="5994C3F6">
      <w:pPr>
        <w:adjustRightInd/>
        <w:snapToGrid/>
        <w:spacing w:after="0" w:line="480" w:lineRule="exact"/>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3.10.4 质疑函的递交及地点</w:t>
      </w:r>
    </w:p>
    <w:p w14:paraId="15277C7F">
      <w:pPr>
        <w:adjustRightInd/>
        <w:snapToGrid/>
        <w:spacing w:after="0" w:line="480" w:lineRule="exact"/>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（1）供应商提出质疑应当提交质疑函和必要的证明材料，质疑函应当包括下列主要内容：</w:t>
      </w:r>
    </w:p>
    <w:p w14:paraId="44364665">
      <w:pPr>
        <w:numPr>
          <w:ilvl w:val="0"/>
          <w:numId w:val="2"/>
        </w:numPr>
        <w:adjustRightInd/>
        <w:snapToGrid/>
        <w:spacing w:after="0" w:line="480" w:lineRule="exact"/>
        <w:jc w:val="both"/>
        <w:outlineLvl w:val="9"/>
        <w:rPr>
          <w:rFonts w:ascii="宋体" w:hAnsi="宋体" w:eastAsia="宋体" w:cs="宋体"/>
          <w:kern w:val="2"/>
          <w:sz w:val="24"/>
          <w:szCs w:val="24"/>
        </w:rPr>
      </w:pPr>
      <w:r>
        <w:rPr>
          <w:rFonts w:hint="eastAsia" w:ascii="宋体" w:hAnsi="宋体" w:eastAsia="宋体" w:cs="宋体"/>
          <w:kern w:val="2"/>
          <w:sz w:val="24"/>
          <w:szCs w:val="24"/>
        </w:rPr>
        <w:t>供应商的姓名或者名称、地址、邮编、联系人及联系电话；</w:t>
      </w:r>
    </w:p>
    <w:p w14:paraId="12D0DD13">
      <w:pPr>
        <w:numPr>
          <w:ilvl w:val="0"/>
          <w:numId w:val="2"/>
        </w:numPr>
        <w:adjustRightInd/>
        <w:snapToGrid/>
        <w:spacing w:after="0" w:line="480" w:lineRule="exact"/>
        <w:jc w:val="both"/>
        <w:outlineLvl w:val="9"/>
        <w:rPr>
          <w:rFonts w:ascii="宋体" w:hAnsi="宋体" w:eastAsia="宋体" w:cs="宋体"/>
          <w:kern w:val="2"/>
          <w:sz w:val="24"/>
          <w:szCs w:val="24"/>
        </w:rPr>
      </w:pPr>
      <w:r>
        <w:rPr>
          <w:rFonts w:hint="eastAsia" w:ascii="宋体" w:hAnsi="宋体" w:eastAsia="宋体" w:cs="宋体"/>
          <w:kern w:val="2"/>
          <w:sz w:val="24"/>
          <w:szCs w:val="24"/>
        </w:rPr>
        <w:t>质疑项目的名称、编号；</w:t>
      </w:r>
    </w:p>
    <w:p w14:paraId="2510424C">
      <w:pPr>
        <w:numPr>
          <w:ilvl w:val="0"/>
          <w:numId w:val="2"/>
        </w:numPr>
        <w:adjustRightInd/>
        <w:snapToGrid/>
        <w:spacing w:after="0" w:line="480" w:lineRule="exact"/>
        <w:jc w:val="both"/>
        <w:outlineLvl w:val="9"/>
        <w:rPr>
          <w:rFonts w:ascii="宋体" w:hAnsi="宋体" w:eastAsia="宋体" w:cs="宋体"/>
          <w:kern w:val="2"/>
          <w:sz w:val="24"/>
          <w:szCs w:val="24"/>
        </w:rPr>
      </w:pPr>
      <w:r>
        <w:rPr>
          <w:rFonts w:hint="eastAsia" w:ascii="宋体" w:hAnsi="宋体" w:eastAsia="宋体" w:cs="宋体"/>
          <w:kern w:val="2"/>
          <w:sz w:val="24"/>
          <w:szCs w:val="24"/>
        </w:rPr>
        <w:t>具体、明确的质疑事项和与质疑事项相关的请求；</w:t>
      </w:r>
    </w:p>
    <w:p w14:paraId="1E7E477C">
      <w:pPr>
        <w:numPr>
          <w:ilvl w:val="0"/>
          <w:numId w:val="2"/>
        </w:numPr>
        <w:adjustRightInd/>
        <w:snapToGrid/>
        <w:spacing w:after="0" w:line="480" w:lineRule="exact"/>
        <w:jc w:val="both"/>
        <w:outlineLvl w:val="9"/>
        <w:rPr>
          <w:rFonts w:ascii="宋体" w:hAnsi="宋体" w:eastAsia="宋体" w:cs="宋体"/>
          <w:kern w:val="2"/>
          <w:sz w:val="24"/>
          <w:szCs w:val="24"/>
        </w:rPr>
      </w:pPr>
      <w:r>
        <w:rPr>
          <w:rFonts w:hint="eastAsia" w:ascii="宋体" w:hAnsi="宋体" w:eastAsia="宋体" w:cs="宋体"/>
          <w:kern w:val="2"/>
          <w:sz w:val="24"/>
          <w:szCs w:val="24"/>
        </w:rPr>
        <w:t>事实依据；</w:t>
      </w:r>
    </w:p>
    <w:p w14:paraId="07060775">
      <w:pPr>
        <w:numPr>
          <w:ilvl w:val="0"/>
          <w:numId w:val="2"/>
        </w:numPr>
        <w:adjustRightInd/>
        <w:snapToGrid/>
        <w:spacing w:after="0" w:line="480" w:lineRule="exact"/>
        <w:jc w:val="both"/>
        <w:outlineLvl w:val="9"/>
        <w:rPr>
          <w:rFonts w:ascii="宋体" w:hAnsi="宋体" w:eastAsia="宋体" w:cs="宋体"/>
          <w:kern w:val="2"/>
          <w:sz w:val="24"/>
          <w:szCs w:val="24"/>
        </w:rPr>
      </w:pPr>
      <w:r>
        <w:rPr>
          <w:rFonts w:hint="eastAsia" w:ascii="宋体" w:hAnsi="宋体" w:eastAsia="宋体" w:cs="宋体"/>
          <w:kern w:val="2"/>
          <w:sz w:val="24"/>
          <w:szCs w:val="24"/>
        </w:rPr>
        <w:t>必要的法律依据；</w:t>
      </w:r>
    </w:p>
    <w:p w14:paraId="3D106CA2">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⑥ 提出质疑的日期。</w:t>
      </w:r>
    </w:p>
    <w:p w14:paraId="23B8B30C">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质疑函应当由投标人法定代表人或其授权的代理人签字并加盖投标人单位公章，质疑函由授权的代理人签字的应附投标人法定代表人委托授权书。</w:t>
      </w:r>
    </w:p>
    <w:p w14:paraId="04F9F10D">
      <w:pPr>
        <w:adjustRightInd/>
        <w:snapToGrid/>
        <w:spacing w:after="0" w:line="480" w:lineRule="exact"/>
        <w:ind w:firstLine="480" w:firstLineChars="200"/>
        <w:jc w:val="both"/>
        <w:textAlignment w:val="baseline"/>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质疑函递交地点：</w:t>
      </w:r>
      <w:r>
        <w:rPr>
          <w:rFonts w:hint="eastAsia" w:ascii="宋体" w:hAnsi="宋体" w:eastAsia="宋体" w:cs="宋体"/>
          <w:kern w:val="2"/>
          <w:sz w:val="24"/>
          <w:szCs w:val="24"/>
          <w:lang w:eastAsia="zh-CN"/>
        </w:rPr>
        <w:t>陇南子午线招标代理有限公司</w:t>
      </w:r>
    </w:p>
    <w:p w14:paraId="0619079F">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 xml:space="preserve">（2）质疑函的递交应当采取当面递交的形式。 </w:t>
      </w:r>
    </w:p>
    <w:p w14:paraId="2224451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宋体" w:hAnsi="宋体" w:eastAsia="宋体" w:cs="宋体"/>
          <w:bCs/>
          <w:kern w:val="2"/>
          <w:sz w:val="24"/>
          <w:szCs w:val="24"/>
        </w:rPr>
        <w:t>XXX</w:t>
      </w:r>
      <w:r>
        <w:rPr>
          <w:rFonts w:hint="eastAsia" w:ascii="宋体" w:hAnsi="宋体" w:eastAsia="宋体" w:cs="宋体"/>
          <w:kern w:val="2"/>
          <w:sz w:val="24"/>
          <w:szCs w:val="24"/>
        </w:rPr>
        <w:t>项目质疑使用”字样，并由身份证持有人签字确认。上述资料均须加盖公章。</w:t>
      </w:r>
    </w:p>
    <w:p w14:paraId="2A165A01">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（3）采购人或采购代理机构收到质疑函后，应当向质疑供应商签收回执。</w:t>
      </w:r>
    </w:p>
    <w:p w14:paraId="13D7829E">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3.10.5 对供应商质疑的答复</w:t>
      </w:r>
    </w:p>
    <w:p w14:paraId="3D858192">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招标人应在收到质疑函7个工作日内根据澄清或质疑函的具体内容相应作出答复或不予答复，答复内容不得涉及商业秘密。作出答复的将以书面形式通知提出澄清或质疑的投标人和其他有关投标人，或在指定媒体上予以公布。</w:t>
      </w:r>
    </w:p>
    <w:p w14:paraId="3B194E2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递交质疑的供应商和其他有关供应商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2748F1A6">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供应商对评审过程、中标或者成交结果提出质疑的，采购人、采购代理机构可以组织原评标委员会、谈判小组、询价小组或者竞争性投标小组协助答复质疑。</w:t>
      </w:r>
    </w:p>
    <w:p w14:paraId="3B630172">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质疑答复应当包括下列内容：</w:t>
      </w:r>
    </w:p>
    <w:p w14:paraId="79941AA8">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（1）质疑供应商的姓名或者名称；</w:t>
      </w:r>
    </w:p>
    <w:p w14:paraId="68B7EE8E">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（2）收到质疑函的日期、质疑项目名称及编号；</w:t>
      </w:r>
    </w:p>
    <w:p w14:paraId="3649B998">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（3）质疑事项、质疑答复的具体内容、事实依据和法律依据；</w:t>
      </w:r>
    </w:p>
    <w:p w14:paraId="4789023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（4）告知质疑供应商依法投诉的权利；</w:t>
      </w:r>
    </w:p>
    <w:p w14:paraId="5BB456B4">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（5）质疑答复人名称；</w:t>
      </w:r>
    </w:p>
    <w:p w14:paraId="71B8CBDF">
      <w:pPr>
        <w:adjustRightInd/>
        <w:snapToGrid/>
        <w:spacing w:after="0" w:line="480" w:lineRule="exact"/>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（6）答复质疑的日期。</w:t>
      </w:r>
    </w:p>
    <w:p w14:paraId="5B864298">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3.10.6澄清或质疑不予受理的情况</w:t>
      </w:r>
    </w:p>
    <w:p w14:paraId="20A88C23">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sz w:val="24"/>
          <w:szCs w:val="24"/>
        </w:rPr>
        <w:t>有下列情形之一的，属于无效质疑，被质疑人不予受理，</w:t>
      </w:r>
      <w:r>
        <w:rPr>
          <w:rFonts w:hint="eastAsia" w:ascii="宋体" w:hAnsi="宋体" w:eastAsia="宋体" w:cs="宋体"/>
          <w:kern w:val="2"/>
          <w:sz w:val="24"/>
          <w:szCs w:val="24"/>
        </w:rPr>
        <w:t>由此产生的影响由供应商自行承担</w:t>
      </w:r>
      <w:r>
        <w:rPr>
          <w:rFonts w:hint="eastAsia" w:ascii="宋体" w:hAnsi="宋体" w:eastAsia="宋体" w:cs="宋体"/>
          <w:sz w:val="24"/>
          <w:szCs w:val="24"/>
        </w:rPr>
        <w:t>：</w:t>
      </w:r>
    </w:p>
    <w:p w14:paraId="5C50B3B1">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（1）</w:t>
      </w:r>
      <w:r>
        <w:rPr>
          <w:rFonts w:hint="eastAsia" w:ascii="宋体" w:hAnsi="宋体" w:eastAsia="宋体" w:cs="宋体"/>
          <w:sz w:val="24"/>
          <w:szCs w:val="24"/>
        </w:rPr>
        <w:t>不是参与该政府采购项目活动供应商的；</w:t>
      </w:r>
    </w:p>
    <w:p w14:paraId="69F70362">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（2）</w:t>
      </w:r>
      <w:r>
        <w:rPr>
          <w:rFonts w:hint="eastAsia" w:ascii="宋体" w:hAnsi="宋体" w:eastAsia="宋体" w:cs="宋体"/>
          <w:sz w:val="24"/>
          <w:szCs w:val="24"/>
        </w:rPr>
        <w:t>被质疑人为采购人或政府采购代理机构之外的；</w:t>
      </w:r>
    </w:p>
    <w:p w14:paraId="0CE2F011">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（3）</w:t>
      </w:r>
      <w:r>
        <w:rPr>
          <w:rFonts w:hint="eastAsia" w:ascii="宋体" w:hAnsi="宋体" w:eastAsia="宋体" w:cs="宋体"/>
          <w:sz w:val="24"/>
          <w:szCs w:val="24"/>
        </w:rPr>
        <w:t>所有质疑事项超过质疑有效期的；</w:t>
      </w:r>
    </w:p>
    <w:p w14:paraId="1C9C77F5">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（4）</w:t>
      </w:r>
      <w:r>
        <w:rPr>
          <w:rFonts w:hint="eastAsia" w:ascii="宋体" w:hAnsi="宋体" w:eastAsia="宋体" w:cs="宋体"/>
          <w:sz w:val="24"/>
          <w:szCs w:val="24"/>
        </w:rPr>
        <w:t>以具有法律效力的文书送达之外方式提出的；</w:t>
      </w:r>
    </w:p>
    <w:p w14:paraId="62347BF3">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（5）未按上述规定递交澄清或质疑函的</w:t>
      </w:r>
      <w:r>
        <w:rPr>
          <w:rFonts w:hint="eastAsia" w:ascii="宋体" w:hAnsi="宋体" w:eastAsia="宋体" w:cs="宋体"/>
          <w:sz w:val="24"/>
          <w:szCs w:val="24"/>
        </w:rPr>
        <w:t>；</w:t>
      </w:r>
    </w:p>
    <w:p w14:paraId="0C8728DF">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kern w:val="2"/>
          <w:sz w:val="24"/>
          <w:szCs w:val="24"/>
        </w:rPr>
        <w:t>（6）</w:t>
      </w:r>
      <w:r>
        <w:rPr>
          <w:rFonts w:hint="eastAsia" w:ascii="宋体" w:hAnsi="宋体" w:eastAsia="宋体" w:cs="宋体"/>
          <w:sz w:val="24"/>
          <w:szCs w:val="24"/>
        </w:rPr>
        <w:t>其它不符合受理条件的情形。</w:t>
      </w:r>
    </w:p>
    <w:p w14:paraId="7538B2E8">
      <w:pPr>
        <w:adjustRightInd/>
        <w:snapToGrid/>
        <w:spacing w:after="0" w:line="480" w:lineRule="exact"/>
        <w:ind w:firstLine="482" w:firstLineChars="200"/>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3.10.7 投诉</w:t>
      </w:r>
    </w:p>
    <w:p w14:paraId="47052F77">
      <w:pPr>
        <w:adjustRightInd/>
        <w:snapToGrid/>
        <w:spacing w:after="0" w:line="480" w:lineRule="exact"/>
        <w:ind w:firstLine="480" w:firstLineChars="200"/>
        <w:jc w:val="both"/>
        <w:textAlignment w:val="baseline"/>
        <w:outlineLvl w:val="9"/>
        <w:rPr>
          <w:rFonts w:ascii="宋体" w:hAnsi="宋体" w:eastAsia="宋体" w:cs="宋体"/>
          <w:sz w:val="24"/>
          <w:szCs w:val="24"/>
        </w:rPr>
      </w:pPr>
      <w:r>
        <w:rPr>
          <w:rFonts w:hint="eastAsia" w:ascii="宋体" w:hAnsi="宋体" w:eastAsia="宋体" w:cs="宋体"/>
          <w:sz w:val="24"/>
          <w:szCs w:val="24"/>
        </w:rPr>
        <w:t>质疑供应商对采购人或采购代理机构的答复不满意，或采购人或采购代理机构未在规定的期限作出答复的，可在答复期满后15个工作日内，按政府采购相关法律法规规章的规定及程序，向同级财政部门提出投诉，15个工作日过后视为放弃投诉。</w:t>
      </w:r>
    </w:p>
    <w:p w14:paraId="4D527383">
      <w:pPr>
        <w:adjustRightInd/>
        <w:snapToGrid/>
        <w:spacing w:after="0" w:line="480" w:lineRule="exact"/>
        <w:ind w:firstLine="480" w:firstLineChars="200"/>
        <w:jc w:val="both"/>
        <w:textAlignment w:val="baseline"/>
        <w:outlineLvl w:val="9"/>
        <w:rPr>
          <w:rFonts w:ascii="宋体" w:hAnsi="宋体" w:eastAsia="宋体" w:cs="宋体"/>
          <w:kern w:val="2"/>
          <w:sz w:val="24"/>
          <w:szCs w:val="24"/>
        </w:rPr>
        <w:sectPr>
          <w:pgSz w:w="11906" w:h="16838"/>
          <w:pgMar w:top="1417" w:right="1361" w:bottom="1417" w:left="1417" w:header="851" w:footer="851" w:gutter="0"/>
          <w:cols w:space="720" w:num="1"/>
          <w:titlePg/>
          <w:docGrid w:linePitch="312" w:charSpace="0"/>
        </w:sectPr>
      </w:pPr>
    </w:p>
    <w:p w14:paraId="048D3294">
      <w:pPr>
        <w:numPr>
          <w:ilvl w:val="0"/>
          <w:numId w:val="3"/>
        </w:numPr>
        <w:adjustRightInd/>
        <w:snapToGrid/>
        <w:spacing w:after="0" w:line="360" w:lineRule="auto"/>
        <w:jc w:val="center"/>
        <w:textAlignment w:val="baseline"/>
        <w:outlineLvl w:val="0"/>
        <w:rPr>
          <w:rFonts w:ascii="宋体" w:hAnsi="宋体" w:eastAsia="宋体" w:cs="Times New Roman"/>
          <w:b/>
          <w:bCs/>
          <w:kern w:val="44"/>
          <w:sz w:val="30"/>
        </w:rPr>
      </w:pPr>
      <w:bookmarkStart w:id="68" w:name="_Toc18864"/>
      <w:r>
        <w:rPr>
          <w:rFonts w:hint="eastAsia" w:ascii="宋体" w:hAnsi="宋体" w:eastAsia="宋体" w:cs="Times New Roman"/>
          <w:b/>
          <w:bCs/>
          <w:kern w:val="44"/>
          <w:sz w:val="30"/>
        </w:rPr>
        <w:t>磋商内容及要求</w:t>
      </w:r>
      <w:bookmarkEnd w:id="68"/>
    </w:p>
    <w:p w14:paraId="5721DAF3">
      <w:pPr>
        <w:numPr>
          <w:ilvl w:val="0"/>
          <w:numId w:val="4"/>
        </w:numPr>
        <w:kinsoku w:val="0"/>
        <w:autoSpaceDE w:val="0"/>
        <w:autoSpaceDN w:val="0"/>
        <w:spacing w:before="65" w:after="0" w:line="227" w:lineRule="auto"/>
        <w:ind w:left="228"/>
        <w:jc w:val="left"/>
        <w:textAlignment w:val="baseline"/>
        <w:outlineLvl w:val="9"/>
        <w:rPr>
          <w:rFonts w:ascii="宋体" w:hAnsi="宋体" w:eastAsia="宋体" w:cs="宋体"/>
          <w:snapToGrid w:val="0"/>
          <w:color w:val="auto"/>
          <w:spacing w:val="9"/>
          <w:kern w:val="0"/>
          <w:sz w:val="24"/>
          <w:szCs w:val="24"/>
          <w:lang w:eastAsia="en-US"/>
        </w:rPr>
      </w:pPr>
      <w:bookmarkStart w:id="69" w:name="_Toc282"/>
      <w:bookmarkStart w:id="70" w:name="_Toc1335"/>
      <w:bookmarkStart w:id="71" w:name="_Toc5271"/>
      <w:bookmarkStart w:id="72" w:name="_Toc9260"/>
      <w:bookmarkStart w:id="73" w:name="_Toc30123"/>
      <w:bookmarkStart w:id="74" w:name="_Toc21374"/>
      <w:r>
        <w:rPr>
          <w:rFonts w:ascii="宋体" w:hAnsi="宋体" w:eastAsia="宋体" w:cs="宋体"/>
          <w:snapToGrid w:val="0"/>
          <w:color w:val="auto"/>
          <w:spacing w:val="9"/>
          <w:kern w:val="0"/>
          <w:sz w:val="24"/>
          <w:szCs w:val="24"/>
          <w:lang w:eastAsia="en-US"/>
        </w:rPr>
        <w:t>招标货物技术参数</w:t>
      </w:r>
    </w:p>
    <w:p w14:paraId="49E7B751">
      <w:pPr>
        <w:kinsoku w:val="0"/>
        <w:autoSpaceDE w:val="0"/>
        <w:autoSpaceDN w:val="0"/>
        <w:spacing w:after="0" w:line="34" w:lineRule="exact"/>
        <w:jc w:val="left"/>
        <w:textAlignment w:val="baseline"/>
        <w:outlineLvl w:val="9"/>
        <w:rPr>
          <w:rFonts w:ascii="Arial" w:hAnsi="Arial" w:eastAsia="Arial" w:cs="Arial"/>
          <w:snapToGrid w:val="0"/>
          <w:color w:val="FF0000"/>
          <w:kern w:val="0"/>
          <w:sz w:val="24"/>
          <w:szCs w:val="24"/>
          <w:lang w:eastAsia="en-US"/>
        </w:rPr>
      </w:pPr>
    </w:p>
    <w:tbl>
      <w:tblPr>
        <w:tblStyle w:val="27"/>
        <w:tblW w:w="8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6"/>
        <w:gridCol w:w="3844"/>
      </w:tblGrid>
      <w:tr w14:paraId="2D21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8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r>
      <w:tr w14:paraId="2F62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1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儿童玩具</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D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105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6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婴幼儿产品</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5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D0B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F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6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CD5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9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燃气调压器</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FB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1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电暖毯</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E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688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D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儿童内衣</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A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670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5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安全帽、头盔</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7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DFE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0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3B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运动鞋（旅游鞋）</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4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0A9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2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0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C48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7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地膜</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5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882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E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床上用品</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CAA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E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眼镜</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C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7B1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4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煤炭</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751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B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成人纸尿裤</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2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AD4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2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杯子</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73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B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拖鞋</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4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EF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D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B1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8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燃气灶</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1E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B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儿童服装</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5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E7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E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女性用品</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5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ACB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C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餐饮具</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5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4F8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F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电热水壶</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3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33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0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热水袋</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F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93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3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电动车专用充电器</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39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B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4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69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D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燃气输送用不锈钢波纹管</w:t>
            </w:r>
          </w:p>
        </w:tc>
        <w:tc>
          <w:tcPr>
            <w:tcW w:w="3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43DC5E70">
      <w:pPr>
        <w:adjustRightInd/>
        <w:spacing w:after="0" w:line="360" w:lineRule="auto"/>
        <w:ind w:firstLine="480" w:firstLineChars="200"/>
        <w:jc w:val="both"/>
        <w:textAlignment w:val="baseline"/>
        <w:outlineLvl w:val="9"/>
        <w:rPr>
          <w:rFonts w:hint="eastAsia" w:ascii="宋体" w:hAnsi="宋体" w:eastAsia="宋体" w:cs="宋体"/>
          <w:kern w:val="2"/>
          <w:sz w:val="24"/>
          <w:szCs w:val="24"/>
          <w:lang w:val="en-US" w:eastAsia="en-US"/>
        </w:rPr>
      </w:pPr>
    </w:p>
    <w:p w14:paraId="3D41F0DA">
      <w:pPr>
        <w:adjustRightInd/>
        <w:spacing w:after="0" w:line="360" w:lineRule="auto"/>
        <w:ind w:firstLine="480" w:firstLineChars="200"/>
        <w:jc w:val="both"/>
        <w:textAlignment w:val="baseline"/>
        <w:outlineLvl w:val="9"/>
        <w:rPr>
          <w:rFonts w:hint="eastAsia" w:ascii="宋体" w:hAnsi="宋体" w:eastAsia="宋体" w:cs="宋体"/>
          <w:kern w:val="2"/>
          <w:sz w:val="24"/>
          <w:szCs w:val="24"/>
          <w:lang w:val="en-US" w:eastAsia="en-US"/>
        </w:rPr>
      </w:pPr>
      <w:r>
        <w:rPr>
          <w:rFonts w:hint="eastAsia" w:ascii="宋体" w:hAnsi="宋体" w:eastAsia="宋体" w:cs="宋体"/>
          <w:kern w:val="2"/>
          <w:sz w:val="24"/>
          <w:szCs w:val="24"/>
          <w:lang w:val="en-US" w:eastAsia="en-US"/>
        </w:rPr>
        <w:t>二、</w:t>
      </w:r>
      <w:r>
        <w:rPr>
          <w:rFonts w:hint="eastAsia" w:ascii="宋体" w:hAnsi="宋体" w:eastAsia="宋体" w:cs="宋体"/>
          <w:kern w:val="2"/>
          <w:sz w:val="24"/>
          <w:szCs w:val="24"/>
          <w:lang w:val="en-US" w:eastAsia="zh-CN"/>
        </w:rPr>
        <w:t>服务</w:t>
      </w:r>
      <w:r>
        <w:rPr>
          <w:rFonts w:hint="eastAsia" w:ascii="宋体" w:hAnsi="宋体" w:eastAsia="宋体" w:cs="宋体"/>
          <w:kern w:val="2"/>
          <w:sz w:val="24"/>
          <w:szCs w:val="24"/>
          <w:lang w:val="en-US" w:eastAsia="en-US"/>
        </w:rPr>
        <w:t xml:space="preserve">期：  </w:t>
      </w:r>
    </w:p>
    <w:p w14:paraId="3A2574F2">
      <w:pPr>
        <w:adjustRightInd/>
        <w:spacing w:after="0" w:line="360" w:lineRule="auto"/>
        <w:ind w:firstLine="480" w:firstLineChars="200"/>
        <w:jc w:val="both"/>
        <w:textAlignment w:val="baseline"/>
        <w:outlineLvl w:val="9"/>
        <w:rPr>
          <w:rFonts w:hint="eastAsia" w:ascii="宋体" w:hAnsi="宋体" w:eastAsia="宋体" w:cs="宋体"/>
          <w:kern w:val="2"/>
          <w:sz w:val="24"/>
          <w:szCs w:val="24"/>
          <w:lang w:val="en-US" w:eastAsia="en-US"/>
        </w:rPr>
      </w:pPr>
      <w:r>
        <w:rPr>
          <w:rFonts w:hint="eastAsia" w:ascii="宋体" w:hAnsi="宋体" w:eastAsia="宋体" w:cs="宋体"/>
          <w:color w:val="auto"/>
          <w:kern w:val="2"/>
          <w:sz w:val="24"/>
          <w:szCs w:val="24"/>
          <w:highlight w:val="none"/>
          <w:lang w:val="en-US" w:eastAsia="en-US"/>
        </w:rPr>
        <w:t>合同签订后30日内完成。</w:t>
      </w:r>
      <w:r>
        <w:rPr>
          <w:rFonts w:hint="eastAsia" w:ascii="宋体" w:hAnsi="宋体" w:eastAsia="宋体" w:cs="宋体"/>
          <w:color w:val="auto"/>
          <w:kern w:val="2"/>
          <w:sz w:val="24"/>
          <w:szCs w:val="24"/>
          <w:lang w:val="en-US" w:eastAsia="en-US"/>
        </w:rPr>
        <w:t xml:space="preserve"> </w:t>
      </w:r>
      <w:r>
        <w:rPr>
          <w:rFonts w:hint="eastAsia" w:ascii="宋体" w:hAnsi="宋体" w:eastAsia="宋体" w:cs="宋体"/>
          <w:kern w:val="2"/>
          <w:sz w:val="24"/>
          <w:szCs w:val="24"/>
          <w:lang w:val="en-US" w:eastAsia="en-US"/>
        </w:rPr>
        <w:t xml:space="preserve">  </w:t>
      </w:r>
    </w:p>
    <w:p w14:paraId="4A0CBCB5">
      <w:pPr>
        <w:adjustRightInd/>
        <w:spacing w:after="0" w:line="360" w:lineRule="auto"/>
        <w:ind w:firstLine="480" w:firstLineChars="200"/>
        <w:jc w:val="both"/>
        <w:textAlignment w:val="baseline"/>
        <w:outlineLvl w:val="9"/>
        <w:rPr>
          <w:rFonts w:hint="eastAsia" w:ascii="宋体" w:hAnsi="宋体" w:eastAsia="宋体" w:cs="宋体"/>
          <w:kern w:val="2"/>
          <w:sz w:val="24"/>
          <w:szCs w:val="24"/>
          <w:lang w:val="en-US" w:eastAsia="en-US"/>
        </w:rPr>
      </w:pPr>
      <w:r>
        <w:rPr>
          <w:rFonts w:hint="eastAsia" w:ascii="宋体" w:hAnsi="宋体" w:eastAsia="宋体" w:cs="宋体"/>
          <w:kern w:val="2"/>
          <w:sz w:val="24"/>
          <w:szCs w:val="24"/>
          <w:lang w:val="en-US" w:eastAsia="en-US"/>
        </w:rPr>
        <w:t xml:space="preserve">三、招标货物付款资金说明：具体以签订合同为准。 </w:t>
      </w:r>
    </w:p>
    <w:p w14:paraId="70E5ED5A">
      <w:pPr>
        <w:pStyle w:val="11"/>
        <w:rPr>
          <w:rFonts w:hint="eastAsia" w:ascii="宋体" w:hAnsi="宋体" w:cs="宋体"/>
          <w:color w:val="000000"/>
          <w:kern w:val="0"/>
          <w:sz w:val="24"/>
          <w:szCs w:val="24"/>
          <w:highlight w:val="yellow"/>
          <w:lang w:bidi="ar"/>
        </w:rPr>
      </w:pPr>
    </w:p>
    <w:p w14:paraId="22A1CC58">
      <w:pPr>
        <w:pStyle w:val="11"/>
        <w:rPr>
          <w:rFonts w:hint="eastAsia" w:ascii="宋体" w:hAnsi="宋体" w:cs="宋体"/>
          <w:color w:val="000000"/>
          <w:kern w:val="0"/>
          <w:sz w:val="24"/>
          <w:szCs w:val="24"/>
          <w:highlight w:val="yellow"/>
          <w:lang w:bidi="ar"/>
        </w:rPr>
      </w:pPr>
    </w:p>
    <w:p w14:paraId="396EE153">
      <w:pPr>
        <w:pStyle w:val="11"/>
        <w:rPr>
          <w:rFonts w:hint="eastAsia" w:ascii="宋体" w:hAnsi="宋体" w:cs="宋体"/>
          <w:color w:val="000000"/>
          <w:kern w:val="0"/>
          <w:sz w:val="24"/>
          <w:szCs w:val="24"/>
          <w:highlight w:val="yellow"/>
          <w:lang w:bidi="ar"/>
        </w:rPr>
      </w:pPr>
    </w:p>
    <w:p w14:paraId="509E5916">
      <w:pPr>
        <w:pStyle w:val="11"/>
        <w:rPr>
          <w:rFonts w:hint="eastAsia" w:ascii="宋体" w:hAnsi="宋体" w:cs="宋体"/>
          <w:color w:val="000000"/>
          <w:kern w:val="0"/>
          <w:sz w:val="24"/>
          <w:szCs w:val="24"/>
          <w:highlight w:val="yellow"/>
          <w:lang w:bidi="ar"/>
        </w:rPr>
      </w:pPr>
    </w:p>
    <w:p w14:paraId="638143BB">
      <w:pPr>
        <w:pStyle w:val="11"/>
        <w:rPr>
          <w:rFonts w:hint="eastAsia" w:ascii="宋体" w:hAnsi="宋体" w:cs="宋体"/>
          <w:color w:val="000000"/>
          <w:kern w:val="0"/>
          <w:sz w:val="24"/>
          <w:szCs w:val="24"/>
          <w:highlight w:val="yellow"/>
          <w:lang w:bidi="ar"/>
        </w:rPr>
      </w:pPr>
    </w:p>
    <w:p w14:paraId="37F2EC71">
      <w:pPr>
        <w:pStyle w:val="11"/>
        <w:rPr>
          <w:rFonts w:hint="eastAsia" w:ascii="宋体" w:hAnsi="宋体" w:cs="宋体"/>
          <w:color w:val="000000"/>
          <w:kern w:val="0"/>
          <w:sz w:val="24"/>
          <w:szCs w:val="24"/>
          <w:highlight w:val="yellow"/>
          <w:lang w:bidi="ar"/>
        </w:rPr>
      </w:pPr>
    </w:p>
    <w:p w14:paraId="5D530C8E">
      <w:pPr>
        <w:pStyle w:val="11"/>
        <w:rPr>
          <w:rFonts w:hint="eastAsia" w:ascii="宋体" w:hAnsi="宋体" w:cs="宋体"/>
          <w:color w:val="000000"/>
          <w:kern w:val="0"/>
          <w:sz w:val="24"/>
          <w:szCs w:val="24"/>
          <w:highlight w:val="yellow"/>
          <w:lang w:bidi="ar"/>
        </w:rPr>
      </w:pPr>
    </w:p>
    <w:p w14:paraId="006B6DF3">
      <w:pPr>
        <w:pStyle w:val="11"/>
        <w:rPr>
          <w:rFonts w:hint="eastAsia" w:ascii="宋体" w:hAnsi="宋体" w:cs="宋体"/>
          <w:color w:val="000000"/>
          <w:kern w:val="0"/>
          <w:sz w:val="24"/>
          <w:szCs w:val="24"/>
          <w:highlight w:val="yellow"/>
          <w:lang w:bidi="ar"/>
        </w:rPr>
      </w:pPr>
    </w:p>
    <w:p w14:paraId="354C17D1">
      <w:pPr>
        <w:pStyle w:val="11"/>
        <w:rPr>
          <w:rFonts w:hint="eastAsia" w:ascii="宋体" w:hAnsi="宋体" w:cs="宋体"/>
          <w:color w:val="000000"/>
          <w:kern w:val="0"/>
          <w:sz w:val="24"/>
          <w:szCs w:val="24"/>
          <w:highlight w:val="yellow"/>
          <w:lang w:bidi="ar"/>
        </w:rPr>
      </w:pPr>
    </w:p>
    <w:p w14:paraId="136CE66F">
      <w:pPr>
        <w:pStyle w:val="11"/>
        <w:rPr>
          <w:rFonts w:hint="eastAsia" w:ascii="宋体" w:hAnsi="宋体" w:cs="宋体"/>
          <w:color w:val="000000"/>
          <w:kern w:val="0"/>
          <w:sz w:val="24"/>
          <w:szCs w:val="24"/>
          <w:highlight w:val="yellow"/>
          <w:lang w:bidi="ar"/>
        </w:rPr>
      </w:pPr>
    </w:p>
    <w:p w14:paraId="4E26C710">
      <w:pPr>
        <w:pStyle w:val="11"/>
        <w:rPr>
          <w:rFonts w:hint="eastAsia" w:ascii="宋体" w:hAnsi="宋体" w:cs="宋体"/>
          <w:color w:val="000000"/>
          <w:kern w:val="0"/>
          <w:sz w:val="24"/>
          <w:szCs w:val="24"/>
          <w:highlight w:val="yellow"/>
          <w:lang w:bidi="ar"/>
        </w:rPr>
      </w:pPr>
    </w:p>
    <w:p w14:paraId="36759D4E">
      <w:pPr>
        <w:pStyle w:val="11"/>
        <w:rPr>
          <w:rFonts w:hint="eastAsia" w:ascii="宋体" w:hAnsi="宋体" w:cs="宋体"/>
          <w:color w:val="000000"/>
          <w:kern w:val="0"/>
          <w:sz w:val="24"/>
          <w:szCs w:val="24"/>
          <w:highlight w:val="yellow"/>
          <w:lang w:bidi="ar"/>
        </w:rPr>
      </w:pPr>
    </w:p>
    <w:p w14:paraId="5EB38AFB">
      <w:pPr>
        <w:pStyle w:val="11"/>
        <w:rPr>
          <w:rFonts w:hint="eastAsia" w:ascii="宋体" w:hAnsi="宋体" w:cs="宋体"/>
          <w:color w:val="000000"/>
          <w:kern w:val="0"/>
          <w:sz w:val="24"/>
          <w:szCs w:val="24"/>
          <w:highlight w:val="yellow"/>
          <w:lang w:bidi="ar"/>
        </w:rPr>
      </w:pPr>
    </w:p>
    <w:p w14:paraId="20EE4F88">
      <w:pPr>
        <w:pStyle w:val="11"/>
        <w:rPr>
          <w:rFonts w:hint="eastAsia" w:ascii="宋体" w:hAnsi="宋体" w:cs="宋体"/>
          <w:color w:val="000000"/>
          <w:kern w:val="0"/>
          <w:sz w:val="24"/>
          <w:szCs w:val="24"/>
          <w:highlight w:val="yellow"/>
          <w:lang w:bidi="ar"/>
        </w:rPr>
      </w:pPr>
    </w:p>
    <w:p w14:paraId="27C31B4A">
      <w:pPr>
        <w:pStyle w:val="11"/>
        <w:rPr>
          <w:rFonts w:hint="eastAsia" w:ascii="宋体" w:hAnsi="宋体" w:cs="宋体"/>
          <w:color w:val="000000"/>
          <w:kern w:val="0"/>
          <w:sz w:val="24"/>
          <w:szCs w:val="24"/>
          <w:highlight w:val="yellow"/>
          <w:lang w:bidi="ar"/>
        </w:rPr>
      </w:pPr>
    </w:p>
    <w:p w14:paraId="669A8B87">
      <w:pPr>
        <w:pStyle w:val="11"/>
        <w:rPr>
          <w:rFonts w:hint="eastAsia" w:ascii="宋体" w:hAnsi="宋体" w:cs="宋体"/>
          <w:color w:val="000000"/>
          <w:kern w:val="0"/>
          <w:sz w:val="24"/>
          <w:szCs w:val="24"/>
          <w:highlight w:val="yellow"/>
          <w:lang w:bidi="ar"/>
        </w:rPr>
      </w:pPr>
    </w:p>
    <w:p w14:paraId="10506475">
      <w:pPr>
        <w:pStyle w:val="11"/>
        <w:rPr>
          <w:rFonts w:hint="eastAsia" w:ascii="宋体" w:hAnsi="宋体" w:cs="宋体"/>
          <w:color w:val="000000"/>
          <w:kern w:val="0"/>
          <w:sz w:val="24"/>
          <w:szCs w:val="24"/>
          <w:highlight w:val="yellow"/>
          <w:lang w:bidi="ar"/>
        </w:rPr>
      </w:pPr>
    </w:p>
    <w:p w14:paraId="6C157898">
      <w:pPr>
        <w:pStyle w:val="11"/>
        <w:rPr>
          <w:rFonts w:hint="eastAsia" w:ascii="宋体" w:hAnsi="宋体" w:cs="宋体"/>
          <w:color w:val="000000"/>
          <w:kern w:val="0"/>
          <w:sz w:val="24"/>
          <w:szCs w:val="24"/>
          <w:highlight w:val="yellow"/>
          <w:lang w:bidi="ar"/>
        </w:rPr>
      </w:pPr>
    </w:p>
    <w:p w14:paraId="34229C70">
      <w:pPr>
        <w:pStyle w:val="11"/>
        <w:rPr>
          <w:rFonts w:hint="eastAsia" w:ascii="宋体" w:hAnsi="宋体" w:cs="宋体"/>
          <w:color w:val="000000"/>
          <w:kern w:val="0"/>
          <w:sz w:val="24"/>
          <w:szCs w:val="24"/>
          <w:highlight w:val="yellow"/>
          <w:lang w:bidi="ar"/>
        </w:rPr>
      </w:pPr>
    </w:p>
    <w:p w14:paraId="7E24B81E">
      <w:pPr>
        <w:pStyle w:val="11"/>
        <w:rPr>
          <w:rFonts w:hint="eastAsia" w:ascii="宋体" w:hAnsi="宋体" w:cs="宋体"/>
          <w:color w:val="000000"/>
          <w:kern w:val="0"/>
          <w:sz w:val="24"/>
          <w:szCs w:val="24"/>
          <w:highlight w:val="yellow"/>
          <w:lang w:bidi="ar"/>
        </w:rPr>
      </w:pPr>
    </w:p>
    <w:p w14:paraId="12C17E5E">
      <w:pPr>
        <w:pStyle w:val="11"/>
        <w:rPr>
          <w:rFonts w:hint="eastAsia" w:ascii="宋体" w:hAnsi="宋体" w:cs="宋体"/>
          <w:color w:val="000000"/>
          <w:kern w:val="0"/>
          <w:sz w:val="24"/>
          <w:szCs w:val="24"/>
          <w:highlight w:val="yellow"/>
          <w:lang w:bidi="ar"/>
        </w:rPr>
      </w:pPr>
    </w:p>
    <w:p w14:paraId="0D57C960">
      <w:pPr>
        <w:pStyle w:val="11"/>
        <w:rPr>
          <w:rFonts w:hint="eastAsia" w:ascii="宋体" w:hAnsi="宋体" w:cs="宋体"/>
          <w:color w:val="000000"/>
          <w:kern w:val="0"/>
          <w:sz w:val="24"/>
          <w:szCs w:val="24"/>
          <w:highlight w:val="yellow"/>
          <w:lang w:bidi="ar"/>
        </w:rPr>
      </w:pPr>
    </w:p>
    <w:p w14:paraId="59B43DE0">
      <w:pPr>
        <w:pStyle w:val="11"/>
        <w:rPr>
          <w:rFonts w:hint="eastAsia" w:ascii="宋体" w:hAnsi="宋体" w:cs="宋体"/>
          <w:color w:val="000000"/>
          <w:kern w:val="0"/>
          <w:sz w:val="24"/>
          <w:szCs w:val="24"/>
          <w:highlight w:val="yellow"/>
          <w:lang w:bidi="ar"/>
        </w:rPr>
      </w:pPr>
    </w:p>
    <w:p w14:paraId="191C16E5">
      <w:pPr>
        <w:pStyle w:val="11"/>
        <w:rPr>
          <w:rFonts w:hint="eastAsia" w:ascii="宋体" w:hAnsi="宋体" w:cs="宋体"/>
          <w:color w:val="000000"/>
          <w:kern w:val="0"/>
          <w:sz w:val="24"/>
          <w:szCs w:val="24"/>
          <w:highlight w:val="yellow"/>
          <w:lang w:bidi="ar"/>
        </w:rPr>
      </w:pPr>
    </w:p>
    <w:p w14:paraId="09547551">
      <w:pPr>
        <w:jc w:val="center"/>
        <w:outlineLvl w:val="9"/>
        <w:rPr>
          <w:rFonts w:hint="eastAsia" w:ascii="宋体" w:hAnsi="宋体" w:eastAsia="宋体" w:cs="Times New Roman"/>
          <w:b/>
          <w:bCs/>
          <w:kern w:val="44"/>
          <w:sz w:val="30"/>
        </w:rPr>
      </w:pPr>
    </w:p>
    <w:p w14:paraId="41D7551A">
      <w:pPr>
        <w:jc w:val="center"/>
        <w:outlineLvl w:val="0"/>
        <w:rPr>
          <w:rFonts w:ascii="宋体" w:hAnsi="宋体" w:eastAsia="宋体" w:cs="仿宋"/>
          <w:b/>
          <w:bCs/>
          <w:sz w:val="36"/>
          <w:szCs w:val="36"/>
        </w:rPr>
      </w:pPr>
      <w:r>
        <w:rPr>
          <w:rFonts w:hint="eastAsia" w:ascii="宋体" w:hAnsi="宋体" w:eastAsia="宋体" w:cs="Times New Roman"/>
          <w:b/>
          <w:bCs/>
          <w:kern w:val="44"/>
          <w:sz w:val="30"/>
        </w:rPr>
        <w:t>第五章</w:t>
      </w:r>
      <w:bookmarkEnd w:id="69"/>
      <w:r>
        <w:rPr>
          <w:rFonts w:hint="eastAsia" w:ascii="宋体" w:hAnsi="宋体" w:eastAsia="宋体" w:cs="Times New Roman"/>
          <w:b/>
          <w:bCs/>
          <w:kern w:val="44"/>
          <w:sz w:val="30"/>
        </w:rPr>
        <w:t>、</w:t>
      </w:r>
      <w:bookmarkStart w:id="75" w:name="_Toc9413"/>
      <w:r>
        <w:rPr>
          <w:rFonts w:hint="eastAsia" w:ascii="宋体" w:hAnsi="宋体" w:eastAsia="宋体" w:cs="Times New Roman"/>
          <w:b/>
          <w:bCs/>
          <w:kern w:val="44"/>
          <w:sz w:val="30"/>
        </w:rPr>
        <w:t>评标原则及办法</w:t>
      </w:r>
      <w:bookmarkEnd w:id="70"/>
      <w:bookmarkEnd w:id="71"/>
      <w:bookmarkEnd w:id="75"/>
    </w:p>
    <w:p w14:paraId="02E89DD2">
      <w:pPr>
        <w:outlineLvl w:val="9"/>
        <w:rPr>
          <w:rFonts w:ascii="宋体" w:hAnsi="宋体" w:eastAsia="宋体" w:cs="宋体"/>
          <w:b/>
          <w:bCs/>
          <w:sz w:val="24"/>
          <w:szCs w:val="24"/>
        </w:rPr>
      </w:pPr>
      <w:bookmarkStart w:id="76" w:name="_Toc5229"/>
      <w:bookmarkStart w:id="77" w:name="_Toc10095"/>
      <w:r>
        <w:rPr>
          <w:rFonts w:hint="eastAsia" w:ascii="宋体" w:hAnsi="宋体" w:eastAsia="宋体" w:cs="宋体"/>
          <w:b/>
          <w:bCs/>
          <w:sz w:val="24"/>
          <w:szCs w:val="24"/>
        </w:rPr>
        <w:t>5.1 评标工作中的原则及组织</w:t>
      </w:r>
      <w:bookmarkEnd w:id="72"/>
      <w:bookmarkEnd w:id="73"/>
      <w:bookmarkEnd w:id="74"/>
      <w:bookmarkEnd w:id="76"/>
      <w:bookmarkEnd w:id="77"/>
    </w:p>
    <w:p w14:paraId="43B7F914">
      <w:pPr>
        <w:adjustRightInd/>
        <w:snapToGrid/>
        <w:spacing w:after="0" w:line="360" w:lineRule="auto"/>
        <w:ind w:firstLine="236" w:firstLineChars="98"/>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5.1.1 原则</w:t>
      </w:r>
    </w:p>
    <w:p w14:paraId="6C145A9B">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招标人组织评标，在监督部门监督下,根据《中华人民共和国政府采购法》组建评标委员会，成员人数应当为3人以上单数（包含3人），由采购人代表和评标专家共同组成，评标委员会成员应坚持“公开、公平、公正”的宗旨,认真细致地做好评标工作。</w:t>
      </w:r>
    </w:p>
    <w:p w14:paraId="2B0F4D38">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1）评标委员会成员人数为单数，其中技术、经济等方面的专家不少于成员总数的三分之二。</w:t>
      </w:r>
    </w:p>
    <w:p w14:paraId="05160A19">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2）评标委员会成员应当客观、公正的履行职责，遵守职业道德，对所提出的评审意见承担个人责任。</w:t>
      </w:r>
    </w:p>
    <w:p w14:paraId="1F7CA97B">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3)评标委员会成员和与评标活动有关的工作人员不得透露对投标文件的评审和比较、中标候选人的推荐情况以及与评标有关的其他情况。</w:t>
      </w:r>
    </w:p>
    <w:p w14:paraId="3D9B8174">
      <w:pPr>
        <w:adjustRightInd/>
        <w:spacing w:after="0" w:line="360" w:lineRule="auto"/>
        <w:ind w:firstLine="236" w:firstLineChars="98"/>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5.1.2 组织</w:t>
      </w:r>
    </w:p>
    <w:p w14:paraId="5AF98EB1">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1）评标委员会：由采购人代表从政府采购地方专家库抽取的专家组成评标委员会。评标委员会根据招标文件要求负责投标文件的商务审核和技术评价。</w:t>
      </w:r>
    </w:p>
    <w:p w14:paraId="5281077E">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2）招标代理机构：由</w:t>
      </w:r>
      <w:r>
        <w:rPr>
          <w:rFonts w:hint="eastAsia" w:ascii="宋体" w:hAnsi="宋体" w:eastAsia="宋体" w:cs="宋体"/>
          <w:kern w:val="2"/>
          <w:sz w:val="24"/>
          <w:szCs w:val="24"/>
          <w:lang w:eastAsia="zh-CN"/>
        </w:rPr>
        <w:t>陇南子午线招标代理有限公司</w:t>
      </w:r>
      <w:r>
        <w:rPr>
          <w:rFonts w:hint="eastAsia" w:ascii="宋体" w:hAnsi="宋体" w:eastAsia="宋体" w:cs="宋体"/>
          <w:kern w:val="2"/>
          <w:sz w:val="24"/>
          <w:szCs w:val="24"/>
        </w:rPr>
        <w:t>工作人员组成，负责招标文件的制作，对外联系，开标、评标的会务工作,整理并向评标组分发招标资料、招标文件；做好招标开标和评标会议记录；对评标过程中的原始文件进行归档；随时印发需要的文件资料,对各种咨询函件及档案文件的统收统发，负责对评标委员会推荐的拟中标结果进行审核。</w:t>
      </w:r>
    </w:p>
    <w:p w14:paraId="35BE951F">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3）监督部门：由本级人民政府财政局政府采购办等有关监督部门组成，根据国家有关法律、法规及招标文件的规定,对整个评标过程进行监督,保证评标的公正性,防止违法行为的产生。</w:t>
      </w:r>
    </w:p>
    <w:p w14:paraId="36A11CF9">
      <w:pPr>
        <w:outlineLvl w:val="9"/>
        <w:rPr>
          <w:rFonts w:ascii="宋体" w:hAnsi="宋体" w:eastAsia="宋体" w:cs="宋体"/>
          <w:b/>
          <w:bCs/>
          <w:sz w:val="24"/>
          <w:szCs w:val="24"/>
        </w:rPr>
      </w:pPr>
      <w:bookmarkStart w:id="78" w:name="_Toc32421"/>
      <w:bookmarkStart w:id="79" w:name="_Toc5628"/>
      <w:bookmarkStart w:id="80" w:name="_Toc8959"/>
      <w:bookmarkStart w:id="81" w:name="_Toc17638"/>
      <w:bookmarkStart w:id="82" w:name="_Toc16982"/>
      <w:r>
        <w:rPr>
          <w:rFonts w:hint="eastAsia" w:ascii="宋体" w:hAnsi="宋体" w:eastAsia="宋体" w:cs="宋体"/>
          <w:b/>
          <w:bCs/>
          <w:sz w:val="24"/>
          <w:szCs w:val="24"/>
        </w:rPr>
        <w:t>5.2 评标内容及标准</w:t>
      </w:r>
      <w:bookmarkEnd w:id="78"/>
      <w:bookmarkEnd w:id="79"/>
      <w:bookmarkEnd w:id="80"/>
      <w:bookmarkEnd w:id="81"/>
      <w:bookmarkEnd w:id="82"/>
    </w:p>
    <w:p w14:paraId="4B2CB071">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评标委员会将审查投标书是否完整、有无计算上的错误、是否提交了投标保证金、文件签署是否合格、投标文件的总体编排是否有序。</w:t>
      </w:r>
    </w:p>
    <w:p w14:paraId="02BC879C">
      <w:pPr>
        <w:adjustRightInd/>
        <w:spacing w:after="0" w:line="360" w:lineRule="auto"/>
        <w:ind w:firstLine="48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lang w:val="zh-CN"/>
        </w:rPr>
        <w:t>招标人将组织评标委员会审查投标文件是否完整，审查投标人提供的资格证明文件，评估投标人的财务、技术和生产能力。如果评标委员会认定投标人未完全响应招标文件，其投标将被视为无效投标。</w:t>
      </w:r>
    </w:p>
    <w:p w14:paraId="22AE45F7">
      <w:pPr>
        <w:tabs>
          <w:tab w:val="left" w:pos="8640"/>
        </w:tabs>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评标委员会可以对确定为实质上响应招标文件要求的投标文件进行校核，修正错误的标准如下：</w:t>
      </w:r>
    </w:p>
    <w:p w14:paraId="12B0F771">
      <w:pPr>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1）大写金额和小写金额不一致的，以大写金额为准；</w:t>
      </w:r>
    </w:p>
    <w:p w14:paraId="7F5F7AE3">
      <w:pPr>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2）投标文件中开标一览表（报价表）内容与投标文件中相应内容不一致的，以开标一览表（报价表）为准；</w:t>
      </w:r>
    </w:p>
    <w:p w14:paraId="2E4CAAE6">
      <w:pPr>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3）总价金额与按单价汇总金额不一致的，以单价金额计算结果为准；</w:t>
      </w:r>
    </w:p>
    <w:p w14:paraId="60EFD81E">
      <w:pPr>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4）单价金额小数点或者百分比有明显错位的，以开标一览表的总价为准，并修改单价。</w:t>
      </w:r>
    </w:p>
    <w:p w14:paraId="3BF93220">
      <w:pPr>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如果投标人不接受对其错误的更正，其投标将被视为无效投标。</w:t>
      </w:r>
    </w:p>
    <w:p w14:paraId="5866A270">
      <w:pPr>
        <w:tabs>
          <w:tab w:val="left" w:pos="8640"/>
        </w:tabs>
        <w:adjustRightInd/>
        <w:spacing w:after="0" w:line="360" w:lineRule="auto"/>
        <w:ind w:firstLine="48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lang w:val="zh-CN"/>
        </w:rPr>
        <w:t>5）对于投标文件中不构成实质性偏差的小的不正规、不一致或不规则，评标委员会可以接受，但这种接受不能损害或影响任何投标人的相对排序。</w:t>
      </w:r>
    </w:p>
    <w:p w14:paraId="1BC9E29B">
      <w:pPr>
        <w:adjustRightInd/>
        <w:spacing w:after="0" w:line="360" w:lineRule="auto"/>
        <w:ind w:firstLine="48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lang w:val="zh-CN"/>
        </w:rPr>
        <w:t>6）评标委员会审查每份投标文件是否实质上响应了招标文件的要求。实质上响应的投标文件应该与招标文件要求的全部条款、条件和规格相符，没有重大偏离。评标委员会决定投标文件的响应性只根据投标文件本身的内容，而不寻求外部的证据。</w:t>
      </w:r>
    </w:p>
    <w:p w14:paraId="129B7AB3">
      <w:pPr>
        <w:tabs>
          <w:tab w:val="left" w:pos="8640"/>
        </w:tabs>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7）如果投标文件实质上没有响应招标文件的要求，其投标将被视为无效投标，投标人不得通过修正或撤消不符合要求的偏离从而使其投标成为实质上响应的投标。</w:t>
      </w:r>
    </w:p>
    <w:p w14:paraId="7CA039F2">
      <w:pPr>
        <w:outlineLvl w:val="9"/>
        <w:rPr>
          <w:rFonts w:ascii="宋体" w:hAnsi="宋体" w:eastAsia="宋体" w:cs="宋体"/>
          <w:b/>
          <w:bCs/>
          <w:sz w:val="24"/>
          <w:szCs w:val="24"/>
        </w:rPr>
      </w:pPr>
      <w:bookmarkStart w:id="83" w:name="_Toc28881"/>
      <w:bookmarkStart w:id="84" w:name="_Toc10496"/>
      <w:bookmarkStart w:id="85" w:name="_Toc19513"/>
      <w:bookmarkStart w:id="86" w:name="_Toc3335"/>
      <w:bookmarkStart w:id="87" w:name="_Toc559"/>
      <w:r>
        <w:rPr>
          <w:rFonts w:hint="eastAsia" w:ascii="宋体" w:hAnsi="宋体" w:eastAsia="宋体" w:cs="宋体"/>
          <w:b/>
          <w:bCs/>
          <w:sz w:val="24"/>
          <w:szCs w:val="24"/>
        </w:rPr>
        <w:t>5.3 评标的程序和方法</w:t>
      </w:r>
      <w:bookmarkEnd w:id="83"/>
      <w:bookmarkEnd w:id="84"/>
      <w:bookmarkEnd w:id="85"/>
      <w:bookmarkEnd w:id="86"/>
      <w:bookmarkEnd w:id="87"/>
    </w:p>
    <w:p w14:paraId="2121E111">
      <w:pPr>
        <w:adjustRightInd/>
        <w:spacing w:after="0" w:line="360" w:lineRule="auto"/>
        <w:ind w:firstLine="236" w:firstLineChars="98"/>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5.3.1 评标程序</w:t>
      </w:r>
    </w:p>
    <w:p w14:paraId="62346E55">
      <w:pPr>
        <w:adjustRightInd/>
        <w:spacing w:after="0" w:line="360" w:lineRule="auto"/>
        <w:ind w:firstLine="480" w:firstLineChars="200"/>
        <w:jc w:val="both"/>
        <w:textAlignment w:val="baseline"/>
        <w:outlineLvl w:val="9"/>
        <w:rPr>
          <w:rFonts w:ascii="宋体" w:hAnsi="宋体" w:eastAsia="宋体" w:cs="宋体"/>
          <w:b/>
          <w:kern w:val="2"/>
          <w:sz w:val="24"/>
          <w:szCs w:val="24"/>
        </w:rPr>
      </w:pPr>
      <w:r>
        <w:rPr>
          <w:rFonts w:hint="eastAsia" w:ascii="宋体" w:hAnsi="宋体" w:eastAsia="宋体" w:cs="宋体"/>
          <w:kern w:val="2"/>
          <w:sz w:val="24"/>
          <w:szCs w:val="24"/>
          <w:lang w:val="zh-CN"/>
        </w:rPr>
        <w:t>1、采购人或评标委员会对投标人的投标文件进行资质审查，依据招标文件的规定，对投标文件中提供的资格证明材料进行审查，审查合格者进入符合性审查，审查不合格者将被宣布其为无效投标。</w:t>
      </w:r>
    </w:p>
    <w:p w14:paraId="5B81C82A">
      <w:pPr>
        <w:adjustRightInd/>
        <w:spacing w:after="0" w:line="360" w:lineRule="auto"/>
        <w:ind w:firstLine="48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2、评标委员会对资格审查合格的投标文件进行符合性审查。依据招标文件的规定，对投标文件的有效性、完整性和对招标文件规定的格式响应程度进行审查，以确定是否对招标文件做出实质性的响应。对于未响应招标文件的投标商将不再进行商务和技术部分评价；</w:t>
      </w:r>
    </w:p>
    <w:p w14:paraId="7750B672">
      <w:pPr>
        <w:adjustRightIn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lang w:val="zh-CN"/>
        </w:rPr>
        <w:t>3、经</w:t>
      </w:r>
      <w:r>
        <w:rPr>
          <w:rFonts w:hint="eastAsia" w:ascii="宋体" w:hAnsi="宋体" w:eastAsia="宋体" w:cs="宋体"/>
          <w:kern w:val="2"/>
          <w:sz w:val="24"/>
          <w:szCs w:val="24"/>
        </w:rPr>
        <w:t>资质审查和符合性审查合格的投标文件（供应商不得少于3家），</w:t>
      </w:r>
      <w:r>
        <w:rPr>
          <w:rFonts w:hint="eastAsia" w:ascii="宋体" w:hAnsi="宋体" w:eastAsia="宋体"/>
          <w:sz w:val="24"/>
          <w:szCs w:val="28"/>
        </w:rPr>
        <w:t>进行第二轮的报价</w:t>
      </w:r>
      <w:r>
        <w:rPr>
          <w:rFonts w:hint="eastAsia" w:ascii="宋体" w:hAnsi="宋体" w:eastAsia="宋体"/>
          <w:sz w:val="24"/>
          <w:szCs w:val="28"/>
          <w:lang w:eastAsia="zh-CN"/>
        </w:rPr>
        <w:t>。</w:t>
      </w:r>
      <w:r>
        <w:rPr>
          <w:rFonts w:hint="eastAsia" w:ascii="宋体" w:hAnsi="宋体" w:eastAsia="宋体" w:cs="宋体"/>
          <w:kern w:val="2"/>
          <w:sz w:val="24"/>
          <w:szCs w:val="24"/>
        </w:rPr>
        <w:t>评标委员会将对其商务和技术部分作进一步的综合比较和评价，以综合得分最高的投标人作为中标候选供应商或者中标供应商。得分相同的，按投标报价由低到高顺序排列。得分且投标报价相同的并列。投标文件满足招标文件全部实质性要求，且按照评审因素的量化指标评审得分最高的投标人为排名第一的中标候选人。</w:t>
      </w:r>
    </w:p>
    <w:p w14:paraId="58E18B2D">
      <w:pPr>
        <w:adjustRightIn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4、评标委员会对确定为实质上响应的投标进行政策功能评价，如涉及以下内容，具体标准为：</w:t>
      </w:r>
    </w:p>
    <w:p w14:paraId="16D908AA">
      <w:pPr>
        <w:adjustRightIn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1） 评标委员会对于节能、环保产品或小型、微型企业或监狱企业的价格扣除，审核投标人填写的《政府采购政策情况表》。</w:t>
      </w:r>
    </w:p>
    <w:p w14:paraId="7F35C409">
      <w:pPr>
        <w:adjustRightIn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2） 对于非专门面向中小微企业、监狱企业、残疾人福利性单位采购的项目，依照《政府采购促进中小企业发展管理办法》及《财政部关于进一步加大政府采购支持中小企业力度的通知》的规定，凡符合要求的有效投标人，按照10%比例给予相应的价格扣除。</w:t>
      </w:r>
    </w:p>
    <w:p w14:paraId="6A38C8B2">
      <w:pPr>
        <w:adjustRightIn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评标价＝总投标报价—小型和微型企业产品的价格×10%</w:t>
      </w:r>
    </w:p>
    <w:p w14:paraId="6E44A27A">
      <w:pPr>
        <w:adjustRightInd/>
        <w:spacing w:after="0" w:line="360" w:lineRule="auto"/>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注：① 上述评标价仅用于计算价格评分，中标金额以实际投标价为准。</w:t>
      </w:r>
    </w:p>
    <w:p w14:paraId="720840D0">
      <w:pPr>
        <w:adjustRightIn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② 小微企业、监狱企业、残疾人福利性单位是指投标人及其所投产品的制造商均为小微企业、监狱企业、残疾人福利性单位。</w:t>
      </w:r>
    </w:p>
    <w:p w14:paraId="532B44A9">
      <w:pPr>
        <w:adjustRightIn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③ 在技术、服务等指标同等条件下，结合具有环境标志、节能、自主创新的产品报价占总项目的比例，优先采购具有环境标志、节能、自主创新的产品。环境标志产品是指由财政部、国家环境保护总局制定的《环境标志产品政府采购品目清单》的产品在产品认证证书有效期内的；节能产品是指列入财政部、国家发展改革委制定的《节能产品政府采购品目清单》中的有效期内的产品；自主创新产品是指纳入财政部公布的《政府采购自主创新产品目录》中的有效期内的货物和服务。</w:t>
      </w:r>
    </w:p>
    <w:p w14:paraId="23CE9B68">
      <w:pPr>
        <w:adjustRightInd/>
        <w:spacing w:after="0" w:line="360" w:lineRule="auto"/>
        <w:ind w:firstLine="482"/>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DE9654">
      <w:pPr>
        <w:adjustRightInd/>
        <w:spacing w:after="0" w:line="360" w:lineRule="auto"/>
        <w:ind w:firstLine="235" w:firstLineChars="9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5.3.2评标方法</w:t>
      </w:r>
    </w:p>
    <w:p w14:paraId="5BAC137B">
      <w:pPr>
        <w:numPr>
          <w:ilvl w:val="0"/>
          <w:numId w:val="5"/>
        </w:numPr>
        <w:spacing w:line="560" w:lineRule="exact"/>
        <w:ind w:firstLine="480" w:firstLineChars="200"/>
        <w:outlineLvl w:val="9"/>
        <w:rPr>
          <w:rFonts w:hint="eastAsia" w:ascii="宋体" w:hAnsi="宋体" w:eastAsia="宋体"/>
          <w:sz w:val="24"/>
          <w:szCs w:val="28"/>
        </w:rPr>
      </w:pPr>
      <w:r>
        <w:rPr>
          <w:rFonts w:hint="eastAsia" w:ascii="宋体" w:hAnsi="宋体" w:eastAsia="宋体"/>
          <w:sz w:val="24"/>
          <w:szCs w:val="28"/>
        </w:rPr>
        <w:t>通过资格性和符合性审查的投标人在进行第二轮的报价后，采用“综合评分法”，即是指在最大限度地满足招标文件实质性要求前提下，按照招标文件中规定的各项因素进行综合评审后，以评标总得分最高的投标人作为拟中标供应商。综合评分法中的价格分统一采用低价优先法计算，即满足招标文件要求且投标最低的投标报价（优惠率最高）为评标基准价，其价格分为满分。其他投标人的价格分统一按照下列公式计算：</w:t>
      </w:r>
      <w:r>
        <w:rPr>
          <w:rFonts w:hint="eastAsia" w:ascii="宋体" w:hAnsi="宋体" w:eastAsia="宋体"/>
          <w:b/>
          <w:sz w:val="24"/>
          <w:szCs w:val="28"/>
        </w:rPr>
        <w:t>投标报价得分＝（评标基准价</w:t>
      </w:r>
      <w:r>
        <w:rPr>
          <w:rFonts w:ascii="宋体" w:hAnsi="宋体" w:eastAsia="宋体"/>
          <w:b/>
          <w:sz w:val="24"/>
          <w:szCs w:val="28"/>
        </w:rPr>
        <w:t>/</w:t>
      </w:r>
      <w:r>
        <w:rPr>
          <w:rFonts w:hint="eastAsia" w:ascii="宋体" w:hAnsi="宋体" w:eastAsia="宋体"/>
          <w:b/>
          <w:sz w:val="24"/>
          <w:szCs w:val="28"/>
        </w:rPr>
        <w:t>投标报价）×价格权值×</w:t>
      </w:r>
      <w:r>
        <w:rPr>
          <w:rFonts w:ascii="宋体" w:hAnsi="宋体" w:eastAsia="宋体"/>
          <w:b/>
          <w:sz w:val="24"/>
          <w:szCs w:val="28"/>
        </w:rPr>
        <w:t>100</w:t>
      </w:r>
      <w:r>
        <w:rPr>
          <w:rFonts w:hint="eastAsia" w:ascii="宋体" w:hAnsi="宋体" w:eastAsia="宋体"/>
          <w:b/>
          <w:sz w:val="24"/>
          <w:szCs w:val="28"/>
        </w:rPr>
        <w:t>。</w:t>
      </w:r>
      <w:r>
        <w:rPr>
          <w:rFonts w:hint="eastAsia" w:ascii="宋体" w:hAnsi="宋体" w:eastAsia="宋体"/>
          <w:sz w:val="24"/>
          <w:szCs w:val="28"/>
        </w:rPr>
        <w:t>若总得分相等时，投标报价得分最高者优先；若总得分和投标报价得分均相同时，由招标人自行确定。</w:t>
      </w:r>
    </w:p>
    <w:tbl>
      <w:tblPr>
        <w:tblStyle w:val="27"/>
        <w:tblW w:w="9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594"/>
        <w:gridCol w:w="6379"/>
        <w:gridCol w:w="773"/>
      </w:tblGrid>
      <w:tr w14:paraId="050F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3BC7402A">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6A9A4E7E">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评审因素</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140C6F7">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标准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71367E9">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权重</w:t>
            </w:r>
          </w:p>
        </w:tc>
      </w:tr>
      <w:tr w14:paraId="3B0A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516B7FB8">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一</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5CF7A1F5">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价格部分</w:t>
            </w:r>
          </w:p>
          <w:p w14:paraId="7D6DFD8A">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AC07DFF">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综合评分法中的价格分统一采用低价优先法计算，既满足磋商文件要求且经磋商后的最终投标报价最低的为评标基准价，其价格分为满分。其他供应商的价格分统一按照下列公式计算</w:t>
            </w:r>
            <w:r>
              <w:rPr>
                <w:rFonts w:hint="eastAsia" w:hAnsi="宋体" w:cs="宋体"/>
                <w:snapToGrid/>
                <w:color w:val="auto"/>
                <w:kern w:val="0"/>
                <w:sz w:val="24"/>
                <w:szCs w:val="24"/>
                <w:lang w:val="en-US" w:eastAsia="zh-CN" w:bidi="ar"/>
              </w:rPr>
              <w:t>：</w:t>
            </w:r>
            <w:r>
              <w:rPr>
                <w:rFonts w:hint="eastAsia" w:ascii="宋体" w:hAnsi="宋体" w:eastAsia="宋体" w:cs="宋体"/>
                <w:snapToGrid/>
                <w:color w:val="auto"/>
                <w:kern w:val="0"/>
                <w:sz w:val="24"/>
                <w:szCs w:val="24"/>
                <w:lang w:val="en-US" w:eastAsia="zh-CN" w:bidi="ar"/>
              </w:rPr>
              <w:t>磋商报价得分=(磋商基准价/最后磋商报价)*价格权值*100</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066711A">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10</w:t>
            </w:r>
          </w:p>
        </w:tc>
      </w:tr>
      <w:tr w14:paraId="3FF4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2438676A">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二</w:t>
            </w:r>
          </w:p>
        </w:tc>
        <w:tc>
          <w:tcPr>
            <w:tcW w:w="8746" w:type="dxa"/>
            <w:gridSpan w:val="3"/>
            <w:tcBorders>
              <w:top w:val="single" w:color="auto" w:sz="4" w:space="0"/>
              <w:left w:val="single" w:color="auto" w:sz="4" w:space="0"/>
              <w:bottom w:val="single" w:color="auto" w:sz="4" w:space="0"/>
              <w:right w:val="single" w:color="auto" w:sz="4" w:space="0"/>
            </w:tcBorders>
            <w:noWrap w:val="0"/>
            <w:vAlign w:val="center"/>
          </w:tcPr>
          <w:p w14:paraId="55C3D275">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商务部分（</w:t>
            </w:r>
            <w:r>
              <w:rPr>
                <w:rFonts w:hint="eastAsia" w:hAnsi="宋体" w:cs="宋体"/>
                <w:b/>
                <w:bCs w:val="0"/>
                <w:snapToGrid/>
                <w:color w:val="auto"/>
                <w:kern w:val="0"/>
                <w:sz w:val="24"/>
                <w:szCs w:val="24"/>
                <w:lang w:val="en-US" w:eastAsia="zh-CN" w:bidi="ar"/>
              </w:rPr>
              <w:t>8</w:t>
            </w:r>
            <w:r>
              <w:rPr>
                <w:rFonts w:hint="eastAsia" w:ascii="宋体" w:hAnsi="宋体" w:eastAsia="宋体" w:cs="宋体"/>
                <w:b/>
                <w:bCs w:val="0"/>
                <w:snapToGrid/>
                <w:color w:val="auto"/>
                <w:kern w:val="0"/>
                <w:sz w:val="24"/>
                <w:szCs w:val="24"/>
                <w:lang w:val="en-US" w:eastAsia="zh-CN" w:bidi="ar"/>
              </w:rPr>
              <w:t>分）</w:t>
            </w:r>
          </w:p>
        </w:tc>
      </w:tr>
      <w:tr w14:paraId="7891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4328E51A">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1</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7BC9F0ED">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default" w:ascii="宋体" w:hAnsi="宋体" w:eastAsia="宋体" w:cs="宋体"/>
                <w:color w:val="auto"/>
                <w:sz w:val="24"/>
                <w:szCs w:val="24"/>
                <w:lang w:val="en-US"/>
              </w:rPr>
            </w:pPr>
            <w:r>
              <w:rPr>
                <w:rFonts w:hint="eastAsia" w:hAnsi="宋体" w:cs="宋体"/>
                <w:snapToGrid/>
                <w:color w:val="auto"/>
                <w:kern w:val="0"/>
                <w:sz w:val="24"/>
                <w:szCs w:val="24"/>
                <w:lang w:val="en-US" w:eastAsia="zh-CN" w:bidi="ar"/>
              </w:rPr>
              <w:t>同类业绩</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938011B">
            <w:pPr>
              <w:pStyle w:val="2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120" w:afterAutospacing="0" w:line="240" w:lineRule="auto"/>
              <w:ind w:left="0" w:leftChars="0" w:right="0"/>
              <w:jc w:val="left"/>
              <w:textAlignment w:val="auto"/>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供应商每提供一份</w:t>
            </w:r>
            <w:r>
              <w:rPr>
                <w:rFonts w:hint="eastAsia" w:cs="宋体"/>
                <w:snapToGrid/>
                <w:color w:val="auto"/>
                <w:kern w:val="0"/>
                <w:sz w:val="24"/>
                <w:szCs w:val="24"/>
                <w:lang w:val="en-US" w:eastAsia="zh-CN" w:bidi="ar"/>
              </w:rPr>
              <w:t>市</w:t>
            </w:r>
            <w:r>
              <w:rPr>
                <w:rFonts w:hint="eastAsia" w:ascii="宋体" w:hAnsi="宋体" w:eastAsia="宋体" w:cs="宋体"/>
                <w:snapToGrid/>
                <w:color w:val="auto"/>
                <w:kern w:val="0"/>
                <w:sz w:val="24"/>
                <w:szCs w:val="24"/>
                <w:lang w:val="en-US" w:eastAsia="zh-CN" w:bidi="ar"/>
              </w:rPr>
              <w:t>级及以上同类业绩委托合同的得2分，此项最多得 10 分(202</w:t>
            </w:r>
            <w:r>
              <w:rPr>
                <w:rFonts w:hint="eastAsia" w:cs="宋体"/>
                <w:snapToGrid/>
                <w:color w:val="auto"/>
                <w:kern w:val="0"/>
                <w:sz w:val="24"/>
                <w:szCs w:val="24"/>
                <w:lang w:val="en-US" w:eastAsia="zh-CN" w:bidi="ar"/>
              </w:rPr>
              <w:t>1</w:t>
            </w:r>
            <w:r>
              <w:rPr>
                <w:rFonts w:hint="eastAsia" w:ascii="宋体" w:hAnsi="宋体" w:eastAsia="宋体" w:cs="宋体"/>
                <w:snapToGrid/>
                <w:color w:val="auto"/>
                <w:kern w:val="0"/>
                <w:sz w:val="24"/>
                <w:szCs w:val="24"/>
                <w:lang w:val="en-US" w:eastAsia="zh-CN" w:bidi="ar"/>
              </w:rPr>
              <w:t>年1月至今类似业绩</w:t>
            </w:r>
            <w:r>
              <w:rPr>
                <w:rFonts w:hint="eastAsia" w:cs="宋体"/>
                <w:snapToGrid/>
                <w:color w:val="auto"/>
                <w:kern w:val="0"/>
                <w:sz w:val="24"/>
                <w:szCs w:val="24"/>
                <w:lang w:val="en-US" w:eastAsia="zh-CN" w:bidi="ar"/>
              </w:rPr>
              <w:t>，</w:t>
            </w:r>
            <w:r>
              <w:rPr>
                <w:rFonts w:hint="eastAsia" w:ascii="宋体" w:hAnsi="宋体" w:eastAsia="宋体" w:cs="宋体"/>
                <w:snapToGrid/>
                <w:color w:val="auto"/>
                <w:kern w:val="0"/>
                <w:sz w:val="24"/>
                <w:szCs w:val="24"/>
                <w:lang w:val="en-US" w:eastAsia="zh-CN" w:bidi="ar"/>
              </w:rPr>
              <w:t>以网上中标通知书、合同为准，提供原件扫描件)</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1845C05">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default"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10</w:t>
            </w:r>
          </w:p>
        </w:tc>
      </w:tr>
      <w:tr w14:paraId="7FEA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495" w:type="dxa"/>
            <w:tcBorders>
              <w:top w:val="single" w:color="auto" w:sz="4" w:space="0"/>
              <w:left w:val="single" w:color="auto" w:sz="4" w:space="0"/>
              <w:right w:val="single" w:color="auto" w:sz="4" w:space="0"/>
            </w:tcBorders>
            <w:noWrap w:val="0"/>
            <w:vAlign w:val="center"/>
          </w:tcPr>
          <w:p w14:paraId="6C5E2E1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94" w:type="dxa"/>
            <w:tcBorders>
              <w:top w:val="single" w:color="auto" w:sz="4" w:space="0"/>
              <w:left w:val="single" w:color="auto" w:sz="4" w:space="0"/>
              <w:right w:val="single" w:color="auto" w:sz="4" w:space="0"/>
            </w:tcBorders>
            <w:noWrap w:val="0"/>
            <w:vAlign w:val="center"/>
          </w:tcPr>
          <w:p w14:paraId="6B433CA3">
            <w:pPr>
              <w:spacing w:line="240" w:lineRule="auto"/>
              <w:jc w:val="center"/>
              <w:rPr>
                <w:rFonts w:hint="eastAsia" w:ascii="宋体" w:hAnsi="宋体" w:eastAsia="宋体" w:cs="宋体"/>
                <w:sz w:val="24"/>
                <w:szCs w:val="24"/>
                <w:lang w:eastAsia="zh-CN"/>
              </w:rPr>
            </w:pPr>
            <w:r>
              <w:rPr>
                <w:rFonts w:hint="eastAsia" w:hAnsi="宋体" w:cs="宋体"/>
                <w:sz w:val="24"/>
                <w:szCs w:val="24"/>
                <w:lang w:val="en-US" w:eastAsia="zh-CN"/>
              </w:rPr>
              <w:t>体系认证</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40A4818">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投标人具有在有效期内的质量管理体系认证证书、职业健康安全管理体系认证证书、环境管理体系认证证书的，得</w:t>
            </w:r>
            <w:r>
              <w:rPr>
                <w:rFonts w:hint="eastAsia" w:hAnsi="宋体" w:cs="宋体"/>
                <w:snapToGrid/>
                <w:color w:val="auto"/>
                <w:kern w:val="0"/>
                <w:sz w:val="24"/>
                <w:szCs w:val="24"/>
                <w:lang w:val="en-US" w:eastAsia="zh-CN" w:bidi="ar"/>
              </w:rPr>
              <w:t>3</w:t>
            </w:r>
            <w:r>
              <w:rPr>
                <w:rFonts w:hint="eastAsia" w:ascii="宋体" w:hAnsi="宋体" w:eastAsia="宋体" w:cs="宋体"/>
                <w:snapToGrid/>
                <w:color w:val="auto"/>
                <w:kern w:val="0"/>
                <w:sz w:val="24"/>
                <w:szCs w:val="24"/>
                <w:lang w:val="en-US" w:eastAsia="zh-CN" w:bidi="ar"/>
              </w:rPr>
              <w:t>分</w:t>
            </w:r>
            <w:r>
              <w:rPr>
                <w:rFonts w:hint="eastAsia" w:hAnsi="宋体" w:cs="宋体"/>
                <w:snapToGrid/>
                <w:color w:val="auto"/>
                <w:kern w:val="0"/>
                <w:sz w:val="24"/>
                <w:szCs w:val="24"/>
                <w:lang w:val="en-US" w:eastAsia="zh-CN" w:bidi="ar"/>
              </w:rPr>
              <w:t>。</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FF9C76B">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3</w:t>
            </w:r>
          </w:p>
        </w:tc>
      </w:tr>
      <w:tr w14:paraId="6973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178B873B">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三</w:t>
            </w:r>
          </w:p>
        </w:tc>
        <w:tc>
          <w:tcPr>
            <w:tcW w:w="7973" w:type="dxa"/>
            <w:gridSpan w:val="2"/>
            <w:tcBorders>
              <w:top w:val="single" w:color="auto" w:sz="4" w:space="0"/>
              <w:left w:val="single" w:color="auto" w:sz="4" w:space="0"/>
              <w:bottom w:val="single" w:color="auto" w:sz="4" w:space="0"/>
              <w:right w:val="single" w:color="auto" w:sz="4" w:space="0"/>
            </w:tcBorders>
            <w:noWrap w:val="0"/>
            <w:vAlign w:val="center"/>
          </w:tcPr>
          <w:p w14:paraId="694164E7">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b/>
                <w:bCs w:val="0"/>
                <w:color w:val="auto"/>
                <w:sz w:val="24"/>
                <w:szCs w:val="24"/>
                <w:lang w:val="en-US"/>
              </w:rPr>
            </w:pPr>
            <w:r>
              <w:rPr>
                <w:rFonts w:hint="eastAsia" w:ascii="宋体" w:hAnsi="宋体" w:eastAsia="宋体" w:cs="宋体"/>
                <w:b/>
                <w:bCs w:val="0"/>
                <w:snapToGrid/>
                <w:color w:val="auto"/>
                <w:kern w:val="0"/>
                <w:sz w:val="24"/>
                <w:szCs w:val="24"/>
                <w:lang w:val="en-US" w:eastAsia="zh-CN" w:bidi="ar"/>
              </w:rPr>
              <w:t>技术及服务部分（</w:t>
            </w:r>
            <w:r>
              <w:rPr>
                <w:rFonts w:hint="eastAsia" w:hAnsi="宋体" w:cs="宋体"/>
                <w:b/>
                <w:bCs w:val="0"/>
                <w:snapToGrid/>
                <w:color w:val="auto"/>
                <w:kern w:val="0"/>
                <w:sz w:val="24"/>
                <w:szCs w:val="24"/>
                <w:lang w:val="en-US" w:eastAsia="zh-CN" w:bidi="ar"/>
              </w:rPr>
              <w:t>82</w:t>
            </w:r>
            <w:r>
              <w:rPr>
                <w:rFonts w:hint="eastAsia" w:ascii="宋体" w:hAnsi="宋体" w:eastAsia="宋体" w:cs="宋体"/>
                <w:b/>
                <w:bCs w:val="0"/>
                <w:snapToGrid/>
                <w:color w:val="auto"/>
                <w:kern w:val="0"/>
                <w:sz w:val="24"/>
                <w:szCs w:val="24"/>
                <w:lang w:val="en-US" w:eastAsia="zh-CN" w:bidi="ar"/>
              </w:rPr>
              <w:t>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CE75607">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snapToGrid/>
                <w:color w:val="auto"/>
                <w:kern w:val="0"/>
                <w:sz w:val="24"/>
                <w:szCs w:val="24"/>
                <w:lang w:val="en-US" w:eastAsia="zh-CN" w:bidi="ar"/>
              </w:rPr>
            </w:pPr>
          </w:p>
        </w:tc>
      </w:tr>
      <w:tr w14:paraId="336A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49513E6A">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4993025F">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人员配置方案</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DC51F49">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投标人拟投入本项目的人员：</w:t>
            </w:r>
          </w:p>
          <w:p w14:paraId="0BAAA074">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1.具有副高级及以上技术职称的每个得2分，本项最高得6分；</w:t>
            </w:r>
          </w:p>
          <w:p w14:paraId="4BB05CC6">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注：同一人员只计取最高分，以上人员需提供职称证原件扫描件及劳动合同原件扫描件；退休返聘人员提供退休证、返聘合同扫描件。</w:t>
            </w:r>
          </w:p>
          <w:p w14:paraId="4A3DA39A">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2.组建了专门抽检队伍并且人数在20人（含）以上的得4分，15人（含）-20人（不含）得2分，10人（含）-15人（不含）得4分，10人（不含）以下得1分。</w:t>
            </w:r>
          </w:p>
          <w:p w14:paraId="4B052C9B">
            <w:pPr>
              <w:keepNext w:val="0"/>
              <w:keepLines w:val="0"/>
              <w:widowControl/>
              <w:suppressLineNumbers w:val="0"/>
              <w:kinsoku/>
              <w:autoSpaceDE/>
              <w:autoSpaceDN w:val="0"/>
              <w:adjustRightInd/>
              <w:snapToGrid/>
              <w:spacing w:before="0" w:beforeAutospacing="0" w:after="0" w:afterAutospacing="0" w:line="240" w:lineRule="auto"/>
              <w:ind w:left="0" w:right="0"/>
              <w:jc w:val="left"/>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注：以上人员需提供资格证书原件扫描件和劳动合同原件扫描件。</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E180C4D">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default"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10</w:t>
            </w:r>
          </w:p>
        </w:tc>
      </w:tr>
      <w:tr w14:paraId="22ED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9" w:hRule="atLeast"/>
          <w:jc w:val="center"/>
        </w:trPr>
        <w:tc>
          <w:tcPr>
            <w:tcW w:w="495" w:type="dxa"/>
            <w:tcBorders>
              <w:top w:val="single" w:color="auto" w:sz="4" w:space="0"/>
              <w:left w:val="single" w:color="auto" w:sz="4" w:space="0"/>
              <w:bottom w:val="single" w:color="000000" w:sz="8" w:space="0"/>
              <w:right w:val="single" w:color="auto" w:sz="4" w:space="0"/>
            </w:tcBorders>
            <w:noWrap w:val="0"/>
            <w:vAlign w:val="center"/>
          </w:tcPr>
          <w:p w14:paraId="24F6552B">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94" w:type="dxa"/>
            <w:tcBorders>
              <w:top w:val="single" w:color="auto" w:sz="4" w:space="0"/>
              <w:left w:val="single" w:color="auto" w:sz="4" w:space="0"/>
              <w:bottom w:val="single" w:color="000000" w:sz="8" w:space="0"/>
              <w:right w:val="single" w:color="auto" w:sz="4" w:space="0"/>
            </w:tcBorders>
            <w:noWrap w:val="0"/>
            <w:vAlign w:val="center"/>
          </w:tcPr>
          <w:p w14:paraId="03290FFC">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实验室环境设施及仪器设备情况</w:t>
            </w:r>
          </w:p>
        </w:tc>
        <w:tc>
          <w:tcPr>
            <w:tcW w:w="6379" w:type="dxa"/>
            <w:tcBorders>
              <w:top w:val="single" w:color="auto" w:sz="4" w:space="0"/>
              <w:left w:val="single" w:color="auto" w:sz="4" w:space="0"/>
              <w:right w:val="single" w:color="auto" w:sz="4" w:space="0"/>
            </w:tcBorders>
            <w:noWrap w:val="0"/>
            <w:vAlign w:val="center"/>
          </w:tcPr>
          <w:p w14:paraId="5F896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1、有可供独立支配使用的实验室，实验室面积在 2000 平米以上得 9分；实验室面积在 1000（含）-2000（不含）平米的得 6分；实验室面积在 1000以下的得2分；没有不得分；（需要提供场地租赁合同）；</w:t>
            </w:r>
          </w:p>
          <w:p w14:paraId="7B8A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2、相关仪器设备完善得7分；仪器设备基本完善，得5 分仪器设备不完善，得2分（需提供仪器设备检定或校准证书，未提供的不得分）；</w:t>
            </w:r>
          </w:p>
        </w:tc>
        <w:tc>
          <w:tcPr>
            <w:tcW w:w="773" w:type="dxa"/>
            <w:tcBorders>
              <w:top w:val="single" w:color="auto" w:sz="4" w:space="0"/>
              <w:left w:val="single" w:color="auto" w:sz="4" w:space="0"/>
              <w:bottom w:val="single" w:color="000000" w:sz="8" w:space="0"/>
              <w:right w:val="single" w:color="auto" w:sz="4" w:space="0"/>
            </w:tcBorders>
            <w:noWrap w:val="0"/>
            <w:vAlign w:val="center"/>
          </w:tcPr>
          <w:p w14:paraId="46ADF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r>
      <w:tr w14:paraId="657F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1F9D0C58">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75D6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zh-CN" w:eastAsia="zh-CN"/>
              </w:rPr>
              <w:t>项目质量的保障措施</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7D1AC">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项目质量的保障措施合理、可行、科学性高得8分； </w:t>
            </w:r>
          </w:p>
          <w:p w14:paraId="3A0C4E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项目质量的保障措施一般合理、一般可行得5分；</w:t>
            </w:r>
          </w:p>
          <w:p w14:paraId="093653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项目质量的保障措施不合理、不可行得1分；</w:t>
            </w:r>
          </w:p>
          <w:p w14:paraId="7F670F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不提供不得分。</w:t>
            </w:r>
          </w:p>
          <w:p w14:paraId="05BD1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2、响应人具有 4辆及以上专职样品运输抽检车辆得2分，4辆以下得1分，没有不得分：（需提供所有权为响应人的车辆行驶证及机动车登记证书；所有权为非响应人的需提供车辆租赁合同）</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5E75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14:paraId="4EB3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48F2F3AD">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5CA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服务方案</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3BA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针对本项目制定详细完善、可行有效的实施方案，有详细的抽检工作制度、安全检测工作制度、检验责任追究制度、检验档案管理制度、检验质量控制方案、实验室信息化管理、应急事件的处理预案等制度，能够结合采购方的实际情况并满足采购方的工作需求，每提供一项得3分，不提供不得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D1AD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r>
      <w:tr w14:paraId="6A96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F68809D">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F83F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服务承诺及保证措施</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top"/>
          </w:tcPr>
          <w:p w14:paraId="1E4EE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服务流程全面、措施合理，满足项目要求10分；服务流程较全面、措施较合理，基本满足项目要求7分；服务流程模糊、措施欠合理3分。</w:t>
            </w:r>
          </w:p>
        </w:tc>
        <w:tc>
          <w:tcPr>
            <w:tcW w:w="0" w:type="auto"/>
            <w:tcBorders>
              <w:top w:val="single" w:color="auto" w:sz="4" w:space="0"/>
              <w:left w:val="single" w:color="auto" w:sz="4" w:space="0"/>
              <w:bottom w:val="single" w:color="auto" w:sz="4" w:space="0"/>
              <w:right w:val="single" w:color="auto" w:sz="4" w:space="0"/>
            </w:tcBorders>
            <w:vAlign w:val="center"/>
          </w:tcPr>
          <w:p w14:paraId="3A969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14:paraId="2096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78595A0">
            <w:pPr>
              <w:keepNext w:val="0"/>
              <w:keepLines w:val="0"/>
              <w:widowControl/>
              <w:suppressLineNumbers w:val="0"/>
              <w:kinsoku/>
              <w:autoSpaceDE/>
              <w:autoSpaceDN w:val="0"/>
              <w:adjustRightInd/>
              <w:snapToGrid/>
              <w:spacing w:before="0" w:beforeAutospacing="0" w:after="0" w:afterAutospacing="0" w:line="240" w:lineRule="auto"/>
              <w:ind w:left="0" w:right="0"/>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EB3A8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vertAlign w:val="baseline"/>
                <w:lang w:val="en-US" w:eastAsia="zh-CN" w:bidi="ar-SA"/>
              </w:rPr>
            </w:pPr>
            <w:r>
              <w:rPr>
                <w:rFonts w:hint="eastAsia" w:hAnsi="宋体" w:cs="宋体"/>
                <w:spacing w:val="-2"/>
                <w:sz w:val="24"/>
                <w:szCs w:val="24"/>
                <w:lang w:val="en-US" w:eastAsia="zh-CN"/>
              </w:rPr>
              <w:t>应急</w:t>
            </w:r>
            <w:r>
              <w:rPr>
                <w:rFonts w:hint="eastAsia" w:ascii="宋体" w:hAnsi="宋体" w:eastAsia="宋体" w:cs="宋体"/>
                <w:spacing w:val="-2"/>
                <w:sz w:val="24"/>
                <w:szCs w:val="24"/>
              </w:rPr>
              <w:t>服务方</w:t>
            </w:r>
            <w:r>
              <w:rPr>
                <w:rFonts w:hint="eastAsia" w:ascii="宋体" w:hAnsi="宋体" w:eastAsia="宋体" w:cs="宋体"/>
                <w:sz w:val="24"/>
                <w:szCs w:val="24"/>
              </w:rPr>
              <w:t>案</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43E9693F">
            <w:pPr>
              <w:pStyle w:val="8"/>
              <w:ind w:left="0" w:leftChars="0" w:firstLine="0" w:firstLineChars="0"/>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针对本项目的具体应急服务方案（包括售后服务团队的配置、分工、突发检测事件应急预案、响应时间、后续服务），每提供一项得2分，不提供不得分；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992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r>
    </w:tbl>
    <w:p w14:paraId="7281AC5E">
      <w:pPr>
        <w:adjustRightInd/>
        <w:snapToGrid/>
        <w:spacing w:after="0" w:line="360" w:lineRule="auto"/>
        <w:jc w:val="both"/>
        <w:textAlignment w:val="baseline"/>
        <w:outlineLvl w:val="9"/>
        <w:rPr>
          <w:rFonts w:hint="eastAsia" w:ascii="宋体" w:hAnsi="宋体" w:eastAsia="宋体" w:cs="宋体"/>
          <w:b/>
          <w:kern w:val="2"/>
          <w:sz w:val="24"/>
          <w:szCs w:val="24"/>
        </w:rPr>
      </w:pPr>
    </w:p>
    <w:p w14:paraId="276519A0">
      <w:pPr>
        <w:adjustRightInd/>
        <w:snapToGrid/>
        <w:spacing w:after="0" w:line="360" w:lineRule="auto"/>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5.3.3变更采购方式后采用的评标方法：略。</w:t>
      </w:r>
    </w:p>
    <w:p w14:paraId="7793035F">
      <w:pPr>
        <w:outlineLvl w:val="9"/>
        <w:rPr>
          <w:rFonts w:ascii="宋体" w:hAnsi="宋体" w:eastAsia="宋体" w:cs="宋体"/>
          <w:b/>
          <w:bCs/>
          <w:sz w:val="24"/>
          <w:szCs w:val="24"/>
          <w:lang w:val="zh-CN"/>
        </w:rPr>
      </w:pPr>
      <w:bookmarkStart w:id="88" w:name="_Toc16913"/>
      <w:bookmarkStart w:id="89" w:name="_Toc3732"/>
      <w:bookmarkStart w:id="90" w:name="_Toc30704"/>
      <w:bookmarkStart w:id="91" w:name="_Toc4373"/>
      <w:bookmarkStart w:id="92" w:name="_Toc3381"/>
      <w:r>
        <w:rPr>
          <w:rFonts w:hint="eastAsia" w:ascii="宋体" w:hAnsi="宋体" w:eastAsia="宋体" w:cs="宋体"/>
          <w:b/>
          <w:bCs/>
          <w:sz w:val="24"/>
          <w:szCs w:val="24"/>
          <w:lang w:val="zh-CN"/>
        </w:rPr>
        <w:t>5.4 采购人或者采购代理机构负责组织评标工作，并履行下列职责：</w:t>
      </w:r>
      <w:bookmarkEnd w:id="88"/>
      <w:bookmarkEnd w:id="89"/>
      <w:bookmarkEnd w:id="90"/>
      <w:bookmarkEnd w:id="91"/>
      <w:bookmarkEnd w:id="92"/>
    </w:p>
    <w:p w14:paraId="5F8A59D5">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1）核对评审专家身份和采购人代表授权函，对评审专家在政府采购活动中的职责履行情况予以记录，并及时将有关违法违规行为向财政部门报告；</w:t>
      </w:r>
    </w:p>
    <w:p w14:paraId="3071A382">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2）宣布评标纪律；</w:t>
      </w:r>
    </w:p>
    <w:p w14:paraId="329D011B">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3）公布投标人名单，告知评审专家应当回避的情形；</w:t>
      </w:r>
    </w:p>
    <w:p w14:paraId="7A83B1A5">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4) 组织评标委员会推选评标组长，采购人代表不得担任组长；</w:t>
      </w:r>
    </w:p>
    <w:p w14:paraId="1668C982">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5）在评标期间采取必要的通讯管理措施，保证评标活动不受外界干扰；</w:t>
      </w:r>
    </w:p>
    <w:p w14:paraId="03671110">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6）根据评标委员会的要求介绍政府采购相关政策法规、招标文件；</w:t>
      </w:r>
    </w:p>
    <w:p w14:paraId="0743BE87">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7）维护评标秩序，监督评标委员会依照招标文件规定的评标程序、方法和标准进行独立评审，及时制止和纠正采购人代表、评审专家的倾向性言论或者违法违规行为；</w:t>
      </w:r>
    </w:p>
    <w:p w14:paraId="33E20FE0">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8）核对评标结果，有本章节5.6规定情形的，要求评标委员会复核或者书面说明理由，评标委员会拒绝的，应予记录并向本级财政部门报告；</w:t>
      </w:r>
    </w:p>
    <w:p w14:paraId="1C79073D">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9）评审工作完成后，按照规定向评审专家支付劳务报酬和异地评审差旅费，不得向评审专家以外的其他人员支付评审劳务报酬；</w:t>
      </w:r>
    </w:p>
    <w:p w14:paraId="229ECC5F">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10）处理与评标有关的其他事项。</w:t>
      </w:r>
    </w:p>
    <w:p w14:paraId="10B3BEA1">
      <w:pPr>
        <w:adjustRightInd/>
        <w:snapToGrid/>
        <w:spacing w:after="0" w:line="360" w:lineRule="auto"/>
        <w:ind w:firstLine="480" w:firstLineChars="200"/>
        <w:jc w:val="both"/>
        <w:textAlignment w:val="baseline"/>
        <w:outlineLvl w:val="9"/>
        <w:rPr>
          <w:rFonts w:ascii="宋体" w:hAnsi="宋体" w:eastAsia="宋体" w:cs="宋体"/>
          <w:kern w:val="2"/>
          <w:sz w:val="24"/>
          <w:szCs w:val="24"/>
          <w:lang w:val="zh-CN"/>
        </w:rPr>
      </w:pPr>
      <w:r>
        <w:rPr>
          <w:rFonts w:hint="eastAsia" w:ascii="宋体" w:hAnsi="宋体" w:eastAsia="宋体" w:cs="宋体"/>
          <w:kern w:val="2"/>
          <w:sz w:val="24"/>
          <w:szCs w:val="24"/>
          <w:lang w:val="zh-CN"/>
        </w:rPr>
        <w:t>采购人可以在评标前说明项目背景和采购需求，说明内容不得含有歧视性、倾向性意见，不得超出招标文件所属范围。说明应提交书面材料，并随采购文件一并存档。</w:t>
      </w:r>
    </w:p>
    <w:p w14:paraId="3F6AFE3A">
      <w:pPr>
        <w:outlineLvl w:val="9"/>
        <w:rPr>
          <w:rFonts w:ascii="宋体" w:hAnsi="宋体" w:eastAsia="宋体" w:cs="宋体"/>
          <w:b/>
          <w:bCs/>
          <w:sz w:val="24"/>
          <w:szCs w:val="24"/>
          <w:lang w:val="zh-CN"/>
        </w:rPr>
      </w:pPr>
      <w:bookmarkStart w:id="93" w:name="_Toc24756"/>
      <w:bookmarkStart w:id="94" w:name="_Toc27005"/>
      <w:bookmarkStart w:id="95" w:name="_Toc15750"/>
      <w:bookmarkStart w:id="96" w:name="_Toc15791"/>
      <w:bookmarkStart w:id="97" w:name="_Toc23918"/>
      <w:r>
        <w:rPr>
          <w:rFonts w:hint="eastAsia" w:ascii="宋体" w:hAnsi="宋体" w:eastAsia="宋体" w:cs="宋体"/>
          <w:b/>
          <w:bCs/>
          <w:sz w:val="24"/>
          <w:szCs w:val="24"/>
          <w:lang w:val="zh-CN"/>
        </w:rPr>
        <w:t>5.5 评标委员会的职责及中标供应商的确定</w:t>
      </w:r>
      <w:bookmarkEnd w:id="93"/>
      <w:bookmarkEnd w:id="94"/>
      <w:bookmarkEnd w:id="95"/>
      <w:bookmarkEnd w:id="96"/>
      <w:bookmarkEnd w:id="97"/>
    </w:p>
    <w:p w14:paraId="3B205780">
      <w:pPr>
        <w:adjustRightInd/>
        <w:snapToGrid/>
        <w:spacing w:after="0" w:line="360" w:lineRule="auto"/>
        <w:ind w:firstLine="236" w:firstLineChars="98"/>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5.5.1 评标委员会的职责</w:t>
      </w:r>
    </w:p>
    <w:p w14:paraId="4C56CECF">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1）审查、评价投标文件是否符合招标文件的商务、技术等实质性要求；</w:t>
      </w:r>
    </w:p>
    <w:p w14:paraId="5E929655">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2）要求投标人对投标文件有关事项做出澄清或者说明；</w:t>
      </w:r>
    </w:p>
    <w:p w14:paraId="07240F55">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3）对投标文件进行比较和评价；</w:t>
      </w:r>
    </w:p>
    <w:p w14:paraId="7DA7921A">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4）确定中标候选人名单，以及根据采购人委托直接确定中标人；</w:t>
      </w:r>
    </w:p>
    <w:p w14:paraId="3F3E2962">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5）向采购人、采购代理机构或者有关部门报告评标中发现的违法行为。</w:t>
      </w:r>
    </w:p>
    <w:p w14:paraId="42E1D6B9">
      <w:pPr>
        <w:adjustRightInd/>
        <w:snapToGrid/>
        <w:spacing w:after="0" w:line="360" w:lineRule="auto"/>
        <w:ind w:firstLine="236" w:firstLineChars="98"/>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5.5.2 中标供应商的确定</w:t>
      </w:r>
    </w:p>
    <w:p w14:paraId="3387C58B">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根据《中华人民共和国财政部令》第87号第六十八条之规定，招标人依法享有经授权的中标供应商确定权。</w:t>
      </w:r>
    </w:p>
    <w:p w14:paraId="32D17C88">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拟中标供应商确定后，在公告中标结果的同时，招标人向中标供应商发出中标通知书；对未通过资格审查的投标人，应当告知其未通过的原因；采用综合评分法评审的，还应告知未中标人本人的评审得分与排序。</w:t>
      </w:r>
    </w:p>
    <w:p w14:paraId="7F3EC935">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中标通知书发出后，采购人不得违法改变中标结果，中标人无正当理由不得放弃中标。</w:t>
      </w:r>
    </w:p>
    <w:p w14:paraId="3786B4FE">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采购人应当自中标通知书发出之日起</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0日内，按照招标文件和中标人投标文件的规定，与中标人签订书面合同。所签订的合同不得对招标文件确定的事项和中标人投标文件作实质性修改。</w:t>
      </w:r>
    </w:p>
    <w:p w14:paraId="32D89F2B">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评标委员会完成评标后，提出书面评标报告。评标报告是评标委员会根据全体评标成员签字的原始评标记录和评标结果编写的报告，主要内容包括：</w:t>
      </w:r>
    </w:p>
    <w:p w14:paraId="7AC21F23">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1）招标公告刊登的媒体名称、开标日期和地点；</w:t>
      </w:r>
    </w:p>
    <w:p w14:paraId="4029E544">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2）投标人名单和评标委员会成员名单；</w:t>
      </w:r>
    </w:p>
    <w:p w14:paraId="3FA3310A">
      <w:pPr>
        <w:tabs>
          <w:tab w:val="left" w:pos="6885"/>
        </w:tabs>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3）评标方法和标准；</w:t>
      </w:r>
    </w:p>
    <w:p w14:paraId="2281840A">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4）开标记录和评标情况及说明，包括投标无效投标人名单及原因；</w:t>
      </w:r>
    </w:p>
    <w:p w14:paraId="5954D49E">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5）评标结果，确定的中标候选人名单或者经采购人委托直接确定的中标人；</w:t>
      </w:r>
    </w:p>
    <w:p w14:paraId="77844ABE">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6）其他需要说明的情况，包括评标过程中投标人根据评标委员会要求进行的澄清、说明或者补正，评标委员会成员的更换等。</w:t>
      </w:r>
    </w:p>
    <w:p w14:paraId="4AC4C45E">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00C6E3EE">
      <w:pPr>
        <w:outlineLvl w:val="9"/>
        <w:rPr>
          <w:rFonts w:ascii="宋体" w:hAnsi="宋体" w:eastAsia="宋体" w:cs="宋体"/>
          <w:b/>
          <w:bCs/>
          <w:sz w:val="24"/>
          <w:szCs w:val="24"/>
          <w:lang w:val="zh-CN"/>
        </w:rPr>
      </w:pPr>
      <w:bookmarkStart w:id="98" w:name="_Toc13958"/>
      <w:bookmarkStart w:id="99" w:name="_Toc26091"/>
      <w:bookmarkStart w:id="100" w:name="_Toc4895"/>
      <w:bookmarkStart w:id="101" w:name="_Toc14291"/>
      <w:bookmarkStart w:id="102" w:name="_Toc10124"/>
      <w:r>
        <w:rPr>
          <w:rFonts w:hint="eastAsia" w:ascii="宋体" w:hAnsi="宋体" w:eastAsia="宋体" w:cs="宋体"/>
          <w:b/>
          <w:bCs/>
          <w:sz w:val="24"/>
          <w:szCs w:val="24"/>
          <w:lang w:val="zh-CN"/>
        </w:rPr>
        <w:t>5.6 评标结果汇总完成后，除下列情形外，任何人不得修改评标结果：</w:t>
      </w:r>
      <w:bookmarkEnd w:id="98"/>
      <w:bookmarkEnd w:id="99"/>
      <w:bookmarkEnd w:id="100"/>
      <w:bookmarkEnd w:id="101"/>
      <w:bookmarkEnd w:id="102"/>
    </w:p>
    <w:p w14:paraId="2C0F41D0">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1）分值汇总计算错误的；</w:t>
      </w:r>
    </w:p>
    <w:p w14:paraId="2C58A051">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2）分项评分超出评分标准范围的；</w:t>
      </w:r>
    </w:p>
    <w:p w14:paraId="5CA4E248">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3）评标委员会成员对客观评审因素评分不一致的；</w:t>
      </w:r>
    </w:p>
    <w:p w14:paraId="28426FD1">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4）经评标委员会认定评分畸高、畸低的。</w:t>
      </w:r>
    </w:p>
    <w:p w14:paraId="7AC1EBAC">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45011E">
      <w:pPr>
        <w:adjustRightInd/>
        <w:snapToGrid/>
        <w:spacing w:after="0" w:line="360" w:lineRule="auto"/>
        <w:ind w:firstLine="46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投标人对本条1） 情形提出质疑的，采购人或者采购代理机构可以组织原评标委员会进行重新评审，重新评审改变评标结果的，应当书面报告本级财政部门。</w:t>
      </w:r>
    </w:p>
    <w:p w14:paraId="64AFEF9A">
      <w:pPr>
        <w:outlineLvl w:val="9"/>
        <w:rPr>
          <w:rFonts w:ascii="宋体" w:hAnsi="宋体" w:eastAsia="宋体" w:cs="宋体"/>
          <w:b/>
          <w:bCs/>
          <w:sz w:val="24"/>
          <w:szCs w:val="24"/>
          <w:lang w:val="zh-CN"/>
        </w:rPr>
      </w:pPr>
      <w:bookmarkStart w:id="103" w:name="_Toc14166"/>
      <w:bookmarkStart w:id="104" w:name="_Toc28599"/>
      <w:bookmarkStart w:id="105" w:name="_Toc8757"/>
      <w:bookmarkStart w:id="106" w:name="_Toc20973"/>
      <w:bookmarkStart w:id="107" w:name="_Toc6191"/>
      <w:r>
        <w:rPr>
          <w:rFonts w:hint="eastAsia" w:ascii="宋体" w:hAnsi="宋体" w:eastAsia="宋体" w:cs="宋体"/>
          <w:b/>
          <w:bCs/>
          <w:sz w:val="24"/>
          <w:szCs w:val="24"/>
          <w:lang w:val="zh-CN"/>
        </w:rPr>
        <w:t>5.7 评标委员会及其成员不得有下列行为</w:t>
      </w:r>
      <w:bookmarkEnd w:id="103"/>
      <w:bookmarkEnd w:id="104"/>
      <w:bookmarkEnd w:id="105"/>
      <w:bookmarkEnd w:id="106"/>
      <w:bookmarkEnd w:id="107"/>
    </w:p>
    <w:p w14:paraId="7CADACEE">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1）确定参与评标至评标结束前私自接触投标人；</w:t>
      </w:r>
    </w:p>
    <w:p w14:paraId="0CA2A6DB">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2）接受投标人提出的与投标文件不一致的澄清或者说明，《中华人民共和国财政部令》第87号第五十一条规定的情形除外；</w:t>
      </w:r>
    </w:p>
    <w:p w14:paraId="1E765C87">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3）违反评标纪律发表倾向性意见或者征询采购人的倾向性意见；</w:t>
      </w:r>
    </w:p>
    <w:p w14:paraId="1A69620F">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4）对需要专业判断的主观评审因素协商评分；</w:t>
      </w:r>
    </w:p>
    <w:p w14:paraId="292E628C">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5)在评标过程中擅离职守，影响评标程序正常进行的；</w:t>
      </w:r>
    </w:p>
    <w:p w14:paraId="64EBCE74">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6）记录、复制或者带走任何评标资料；</w:t>
      </w:r>
    </w:p>
    <w:p w14:paraId="35199754">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7）其他不遵守评标纪律的行为。</w:t>
      </w:r>
    </w:p>
    <w:p w14:paraId="66103BC0">
      <w:pPr>
        <w:outlineLvl w:val="9"/>
        <w:rPr>
          <w:rFonts w:ascii="宋体" w:hAnsi="宋体" w:eastAsia="宋体" w:cs="宋体"/>
          <w:b/>
          <w:bCs/>
          <w:sz w:val="24"/>
          <w:szCs w:val="24"/>
          <w:lang w:val="zh-CN"/>
        </w:rPr>
      </w:pPr>
      <w:bookmarkStart w:id="108" w:name="_Toc27306"/>
      <w:bookmarkStart w:id="109" w:name="_Toc18185"/>
      <w:bookmarkStart w:id="110" w:name="_Toc2280"/>
      <w:bookmarkStart w:id="111" w:name="_Toc8885"/>
      <w:bookmarkStart w:id="112" w:name="_Toc20325"/>
      <w:r>
        <w:rPr>
          <w:rFonts w:hint="eastAsia" w:ascii="宋体" w:hAnsi="宋体" w:eastAsia="宋体" w:cs="宋体"/>
          <w:b/>
          <w:bCs/>
          <w:sz w:val="24"/>
          <w:szCs w:val="24"/>
          <w:lang w:val="zh-CN"/>
        </w:rPr>
        <w:t>5.8 投标人的严重违法行为</w:t>
      </w:r>
      <w:bookmarkEnd w:id="108"/>
      <w:bookmarkEnd w:id="109"/>
      <w:bookmarkEnd w:id="110"/>
      <w:bookmarkEnd w:id="111"/>
      <w:bookmarkEnd w:id="112"/>
    </w:p>
    <w:p w14:paraId="1B5E6C2A">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1）提供回扣或其他商业贿赂，进行非法促销活动；</w:t>
      </w:r>
    </w:p>
    <w:p w14:paraId="62DCFF1B">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2）以低于成本的价格投标报价，扰乱市场秩序；</w:t>
      </w:r>
    </w:p>
    <w:p w14:paraId="2FA436B6">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3）相互串通投标，排斥其他投标人的公平竞争，损害采购人或者其他投标人的合法利益；</w:t>
      </w:r>
    </w:p>
    <w:p w14:paraId="23ADD74A">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4）以向采购人、招标代理机构或者评标专家行贿的手段牟取中标；</w:t>
      </w:r>
    </w:p>
    <w:p w14:paraId="0C5D4E3E">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5）提供虚假证明文件，或者以其他方式弄虚作假，骗取中标；</w:t>
      </w:r>
    </w:p>
    <w:p w14:paraId="0F142504">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6）在投标有效期内撤回其投标，中标人在规定期限内不签订合同或者不履行合同义务、不按时缴纳中标服务费；</w:t>
      </w:r>
    </w:p>
    <w:p w14:paraId="64CBC45F">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7）对招标采购造成严重不良影响的恶意报价行为或者其他行为；</w:t>
      </w:r>
    </w:p>
    <w:p w14:paraId="146A5922">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8）其他违反法律法规的行为。</w:t>
      </w:r>
    </w:p>
    <w:p w14:paraId="5E159ED7">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5.8.1采购人确认中标人在本招标活动中有严重违法行为，有权宣布其中标无效。</w:t>
      </w:r>
    </w:p>
    <w:p w14:paraId="5F16BAB5">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5.8.2采购人在中标后和履行合同的任何时候确认投标人在投标和履约过程中有严重违法行为，有权宣布其中标无效并提请有关监督管理部门查处，并对情节严重者在两年内拒绝接受其投标。</w:t>
      </w:r>
    </w:p>
    <w:p w14:paraId="55C34CAE">
      <w:pPr>
        <w:outlineLvl w:val="9"/>
        <w:rPr>
          <w:rFonts w:ascii="宋体" w:hAnsi="宋体" w:eastAsia="宋体" w:cs="宋体"/>
          <w:b/>
          <w:bCs/>
          <w:sz w:val="24"/>
          <w:szCs w:val="24"/>
          <w:lang w:val="zh-CN"/>
        </w:rPr>
      </w:pPr>
      <w:bookmarkStart w:id="113" w:name="_Toc3749"/>
      <w:bookmarkStart w:id="114" w:name="_Toc618"/>
      <w:bookmarkStart w:id="115" w:name="_Toc493"/>
      <w:bookmarkStart w:id="116" w:name="_Toc666"/>
      <w:bookmarkStart w:id="117" w:name="_Toc9519"/>
      <w:r>
        <w:rPr>
          <w:rFonts w:hint="eastAsia" w:ascii="宋体" w:hAnsi="宋体" w:eastAsia="宋体" w:cs="宋体"/>
          <w:b/>
          <w:bCs/>
          <w:sz w:val="24"/>
          <w:szCs w:val="24"/>
          <w:lang w:val="zh-CN"/>
        </w:rPr>
        <w:t>5.9 废标</w:t>
      </w:r>
      <w:bookmarkEnd w:id="113"/>
      <w:bookmarkEnd w:id="114"/>
      <w:bookmarkEnd w:id="115"/>
      <w:bookmarkEnd w:id="116"/>
      <w:bookmarkEnd w:id="117"/>
    </w:p>
    <w:p w14:paraId="18C2C4B5">
      <w:pPr>
        <w:adjustRightInd/>
        <w:snapToGrid/>
        <w:spacing w:after="0" w:line="360" w:lineRule="auto"/>
        <w:ind w:left="376" w:leftChars="171" w:firstLine="120" w:firstLineChars="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在招标采购中，出现下列情形之一的，应予废标：</w:t>
      </w:r>
    </w:p>
    <w:p w14:paraId="06E53315">
      <w:pPr>
        <w:adjustRightInd/>
        <w:snapToGrid/>
        <w:spacing w:after="0" w:line="360" w:lineRule="auto"/>
        <w:ind w:firstLine="568" w:firstLineChars="237"/>
        <w:jc w:val="both"/>
        <w:textAlignment w:val="baseline"/>
        <w:outlineLvl w:val="9"/>
        <w:rPr>
          <w:rFonts w:ascii="宋体" w:hAnsi="宋体" w:eastAsia="宋体" w:cs="宋体"/>
          <w:kern w:val="2"/>
          <w:sz w:val="24"/>
          <w:szCs w:val="24"/>
          <w:u w:val="double"/>
        </w:rPr>
      </w:pPr>
      <w:r>
        <w:rPr>
          <w:rFonts w:hint="eastAsia" w:ascii="宋体" w:hAnsi="宋体" w:eastAsia="宋体" w:cs="宋体"/>
          <w:kern w:val="2"/>
          <w:sz w:val="24"/>
          <w:szCs w:val="24"/>
        </w:rPr>
        <w:t>1）符合专业条件的供应商或者对招标文件作实质响应的供应商不足三家的（经同级政府采购监管部门审核批准的除外）；</w:t>
      </w:r>
    </w:p>
    <w:p w14:paraId="7F6174A1">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2）出现影响采购公正的违法、违规行为的；</w:t>
      </w:r>
    </w:p>
    <w:p w14:paraId="3775DE45">
      <w:pPr>
        <w:adjustRightInd/>
        <w:snapToGrid/>
        <w:spacing w:after="0" w:line="360" w:lineRule="auto"/>
        <w:ind w:left="502" w:leftChars="22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3）投标人的报价均超过了采购预算，采购人不能支付的；</w:t>
      </w:r>
    </w:p>
    <w:p w14:paraId="410FD809">
      <w:pPr>
        <w:adjustRightInd/>
        <w:snapToGrid/>
        <w:spacing w:after="0" w:line="360" w:lineRule="auto"/>
        <w:ind w:left="502" w:leftChars="228"/>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4）因重大变故，采购任务取消的。</w:t>
      </w:r>
    </w:p>
    <w:p w14:paraId="5ABFE311">
      <w:pPr>
        <w:outlineLvl w:val="9"/>
        <w:rPr>
          <w:rFonts w:ascii="宋体" w:hAnsi="宋体" w:eastAsia="宋体" w:cs="宋体"/>
          <w:b/>
          <w:bCs/>
          <w:sz w:val="24"/>
          <w:szCs w:val="24"/>
          <w:lang w:val="zh-CN"/>
        </w:rPr>
      </w:pPr>
      <w:bookmarkStart w:id="118" w:name="_Toc17325"/>
      <w:bookmarkStart w:id="119" w:name="_Toc7977"/>
      <w:bookmarkStart w:id="120" w:name="_Toc11233"/>
      <w:bookmarkStart w:id="121" w:name="_Toc27399"/>
      <w:bookmarkStart w:id="122" w:name="_Toc30192"/>
      <w:r>
        <w:rPr>
          <w:rFonts w:hint="eastAsia" w:ascii="宋体" w:hAnsi="宋体" w:eastAsia="宋体" w:cs="宋体"/>
          <w:b/>
          <w:bCs/>
          <w:sz w:val="24"/>
          <w:szCs w:val="24"/>
          <w:lang w:val="zh-CN"/>
        </w:rPr>
        <w:t>5.10 无效投标</w:t>
      </w:r>
      <w:bookmarkEnd w:id="118"/>
      <w:bookmarkEnd w:id="119"/>
      <w:bookmarkEnd w:id="120"/>
      <w:bookmarkEnd w:id="121"/>
      <w:bookmarkEnd w:id="122"/>
    </w:p>
    <w:p w14:paraId="5958CF39">
      <w:pPr>
        <w:tabs>
          <w:tab w:val="left" w:pos="-540"/>
        </w:tabs>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投标文件属下列情况之一的, 应在资格审查、符合性审查时按照无效投标处理:</w:t>
      </w:r>
    </w:p>
    <w:p w14:paraId="4911731D">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1）投标人法定代表人或授权代理人未参加开标会议的；</w:t>
      </w:r>
    </w:p>
    <w:p w14:paraId="7E76938C">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2）投标人未按要求交纳投标保证金或金额不足的、未按要求提交本项目投标保证金收据复印件证明文件的；</w:t>
      </w:r>
    </w:p>
    <w:p w14:paraId="6942B234">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3) 投标文件未按规定编制、标注； </w:t>
      </w:r>
    </w:p>
    <w:p w14:paraId="705BB2F0">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 超出投标商经营范围投标的；</w:t>
      </w:r>
    </w:p>
    <w:p w14:paraId="167011E7">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5）投标文件无投标人公章和法人或者法人授权代理人的印章或签字的；</w:t>
      </w:r>
    </w:p>
    <w:p w14:paraId="6C320917">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6）投标函、法人授权函、投标报价表及投标货物偏离表未按规定格式填报的；</w:t>
      </w:r>
    </w:p>
    <w:p w14:paraId="15BACFAA">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7）投标人未能提供法人授权函等证明文件和资料的，或提供的证件不全或无效；</w:t>
      </w:r>
    </w:p>
    <w:p w14:paraId="295F6E4D">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8) 投标文件未按照招标文件规定的格式填写、填写的内容不全、字迹模糊辨认不清产生歧义、涂改处未加盖投标人公章及法人或法人授权的代理人的印章或签字的；</w:t>
      </w:r>
    </w:p>
    <w:p w14:paraId="201B72BE">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9） 投标文件中每包以两个及两个以上的方案进行投标的（招标文件另有规定的除外）；</w:t>
      </w:r>
    </w:p>
    <w:p w14:paraId="20E29F88">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10）投标文件未能对招标文件提出的要求和条件做出实质性响应的；</w:t>
      </w:r>
    </w:p>
    <w:p w14:paraId="239B63DE">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11）投标文件未能反映所投产品生产厂家、品牌、型号、规格；</w:t>
      </w:r>
    </w:p>
    <w:p w14:paraId="742F6644">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12）投标人资格条件不符合国家有关规定和招标文件要求的，或者拒不按照要求对投标文件进行澄清、说明或者补正的；</w:t>
      </w:r>
    </w:p>
    <w:p w14:paraId="372374D2">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13）投标文件含有采购人不能接受的附加条件的；</w:t>
      </w:r>
    </w:p>
    <w:p w14:paraId="17B824AB">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821F93">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15）投标有效期不足60天的；</w:t>
      </w:r>
    </w:p>
    <w:p w14:paraId="39663F21">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16）在评标过程中，如果投标人试图在投标审查、澄清、比较及授予合同方面向招标人施加任何影响的；</w:t>
      </w:r>
    </w:p>
    <w:p w14:paraId="2597CE59">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17）投标人以他人名义投标、串通投标、以行贿手段谋取中标或者以弄虚作假等方式投标的；</w:t>
      </w:r>
    </w:p>
    <w:p w14:paraId="74BF785D">
      <w:pPr>
        <w:tabs>
          <w:tab w:val="left" w:pos="-540"/>
        </w:tabs>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18）报价超过招标文件中规定的预算金额或者最高限价的；</w:t>
      </w:r>
    </w:p>
    <w:p w14:paraId="7FDB8B1D">
      <w:pPr>
        <w:tabs>
          <w:tab w:val="left" w:pos="-540"/>
        </w:tabs>
        <w:adjustRightInd/>
        <w:snapToGrid/>
        <w:spacing w:after="0" w:line="360" w:lineRule="auto"/>
        <w:ind w:firstLine="360" w:firstLineChars="150"/>
        <w:jc w:val="both"/>
        <w:textAlignment w:val="baseline"/>
        <w:outlineLvl w:val="9"/>
        <w:rPr>
          <w:rFonts w:ascii="宋体" w:hAnsi="宋体" w:eastAsia="宋体" w:cs="宋体"/>
          <w:sz w:val="24"/>
          <w:szCs w:val="24"/>
        </w:rPr>
        <w:sectPr>
          <w:footerReference r:id="rId9" w:type="default"/>
          <w:pgSz w:w="11906" w:h="16838"/>
          <w:pgMar w:top="1440" w:right="1800" w:bottom="1440" w:left="1800" w:header="850" w:footer="850" w:gutter="0"/>
          <w:pgNumType w:fmt="decimal"/>
          <w:cols w:space="720" w:num="1"/>
          <w:docGrid w:type="lines" w:linePitch="312" w:charSpace="0"/>
        </w:sectPr>
      </w:pPr>
      <w:r>
        <w:rPr>
          <w:rFonts w:hint="eastAsia" w:ascii="宋体" w:hAnsi="宋体" w:eastAsia="宋体" w:cs="宋体"/>
          <w:kern w:val="2"/>
          <w:sz w:val="24"/>
          <w:szCs w:val="24"/>
        </w:rPr>
        <w:t>19）法律、法规和招标文件规定的其他无效情形。</w:t>
      </w:r>
    </w:p>
    <w:p w14:paraId="5ECEF310">
      <w:pPr>
        <w:jc w:val="center"/>
        <w:outlineLvl w:val="0"/>
        <w:rPr>
          <w:rFonts w:hint="eastAsia" w:ascii="宋体" w:hAnsi="宋体" w:eastAsia="宋体" w:cs="Times New Roman"/>
          <w:b/>
          <w:bCs/>
          <w:kern w:val="44"/>
          <w:sz w:val="30"/>
          <w:lang w:eastAsia="zh-CN"/>
        </w:rPr>
      </w:pPr>
      <w:bookmarkStart w:id="123" w:name="_Toc30449"/>
      <w:bookmarkStart w:id="124" w:name="_Toc5594"/>
      <w:bookmarkStart w:id="125" w:name="_Toc24154"/>
      <w:r>
        <w:rPr>
          <w:rFonts w:hint="eastAsia" w:ascii="宋体" w:hAnsi="宋体" w:eastAsia="宋体" w:cs="Times New Roman"/>
          <w:b/>
          <w:bCs/>
          <w:kern w:val="44"/>
          <w:sz w:val="30"/>
        </w:rPr>
        <w:t>第六章</w:t>
      </w:r>
      <w:bookmarkEnd w:id="123"/>
      <w:r>
        <w:rPr>
          <w:rFonts w:hint="eastAsia" w:ascii="宋体" w:hAnsi="宋体" w:eastAsia="宋体" w:cs="Times New Roman"/>
          <w:b/>
          <w:bCs/>
          <w:kern w:val="44"/>
          <w:sz w:val="30"/>
        </w:rPr>
        <w:t>、</w:t>
      </w:r>
      <w:bookmarkStart w:id="126" w:name="_Toc25386"/>
      <w:r>
        <w:rPr>
          <w:rFonts w:hint="eastAsia" w:ascii="宋体" w:hAnsi="宋体" w:eastAsia="宋体" w:cs="Times New Roman"/>
          <w:b/>
          <w:bCs/>
          <w:kern w:val="44"/>
          <w:sz w:val="30"/>
        </w:rPr>
        <w:t>合同条款及格式</w:t>
      </w:r>
      <w:bookmarkEnd w:id="124"/>
      <w:bookmarkEnd w:id="125"/>
      <w:bookmarkEnd w:id="126"/>
      <w:r>
        <w:rPr>
          <w:rFonts w:hint="eastAsia" w:ascii="宋体" w:hAnsi="宋体" w:eastAsia="宋体" w:cs="Times New Roman"/>
          <w:b/>
          <w:bCs/>
          <w:kern w:val="44"/>
          <w:sz w:val="30"/>
          <w:lang w:eastAsia="zh-CN"/>
        </w:rPr>
        <w:t>（</w:t>
      </w:r>
      <w:r>
        <w:rPr>
          <w:rFonts w:hint="eastAsia" w:ascii="宋体" w:hAnsi="宋体" w:eastAsia="宋体" w:cs="Times New Roman"/>
          <w:b/>
          <w:bCs/>
          <w:kern w:val="44"/>
          <w:sz w:val="30"/>
          <w:lang w:val="en-US" w:eastAsia="zh-CN"/>
        </w:rPr>
        <w:t>仅供参考</w:t>
      </w:r>
      <w:r>
        <w:rPr>
          <w:rFonts w:hint="eastAsia" w:ascii="宋体" w:hAnsi="宋体" w:eastAsia="宋体" w:cs="Times New Roman"/>
          <w:b/>
          <w:bCs/>
          <w:kern w:val="44"/>
          <w:sz w:val="30"/>
          <w:lang w:eastAsia="zh-CN"/>
        </w:rPr>
        <w:t>）</w:t>
      </w:r>
    </w:p>
    <w:p w14:paraId="236CD6A4">
      <w:pPr>
        <w:pStyle w:val="11"/>
        <w:outlineLvl w:val="9"/>
        <w:rPr>
          <w:rStyle w:val="33"/>
          <w:rFonts w:ascii="宋体" w:hAnsi="宋体"/>
          <w:b/>
          <w:sz w:val="32"/>
          <w:szCs w:val="32"/>
        </w:rPr>
      </w:pPr>
    </w:p>
    <w:p w14:paraId="38632C43">
      <w:pPr>
        <w:framePr w:wrap="around" w:vAnchor="margin" w:hAnchor="text" w:y="1"/>
        <w:spacing w:before="312" w:after="312"/>
        <w:outlineLvl w:val="9"/>
        <w:rPr>
          <w:rStyle w:val="33"/>
          <w:rFonts w:ascii="宋体" w:hAnsi="宋体" w:eastAsia="宋体"/>
        </w:rPr>
      </w:pPr>
    </w:p>
    <w:p w14:paraId="1334C48E">
      <w:pPr>
        <w:spacing w:line="252" w:lineRule="auto"/>
        <w:jc w:val="center"/>
        <w:outlineLvl w:val="9"/>
        <w:rPr>
          <w:rFonts w:ascii="宋体" w:hAnsi="宋体" w:eastAsia="宋体"/>
        </w:rPr>
      </w:pPr>
      <w:r>
        <w:rPr>
          <w:rFonts w:hint="eastAsia" w:ascii="宋体" w:hAnsi="宋体" w:eastAsia="宋体" w:cs="宋体"/>
          <w:sz w:val="36"/>
          <w:szCs w:val="36"/>
          <w:lang w:eastAsia="zh-CN"/>
        </w:rPr>
        <w:t>文县市场监督管理局2024年工业产品抽检项目</w:t>
      </w:r>
    </w:p>
    <w:p w14:paraId="58CC256F">
      <w:pPr>
        <w:spacing w:line="252" w:lineRule="auto"/>
        <w:outlineLvl w:val="9"/>
        <w:rPr>
          <w:rFonts w:ascii="宋体" w:hAnsi="宋体" w:eastAsia="宋体"/>
        </w:rPr>
      </w:pPr>
    </w:p>
    <w:p w14:paraId="1F05A26E">
      <w:pPr>
        <w:spacing w:line="252" w:lineRule="auto"/>
        <w:outlineLvl w:val="9"/>
        <w:rPr>
          <w:rFonts w:ascii="宋体" w:hAnsi="宋体" w:eastAsia="宋体"/>
        </w:rPr>
      </w:pPr>
    </w:p>
    <w:p w14:paraId="05E3D166">
      <w:pPr>
        <w:spacing w:line="252" w:lineRule="auto"/>
        <w:outlineLvl w:val="9"/>
        <w:rPr>
          <w:rFonts w:ascii="宋体" w:hAnsi="宋体" w:eastAsia="宋体"/>
        </w:rPr>
      </w:pPr>
    </w:p>
    <w:p w14:paraId="1B23CA53">
      <w:pPr>
        <w:spacing w:line="253" w:lineRule="auto"/>
        <w:outlineLvl w:val="9"/>
        <w:rPr>
          <w:rFonts w:ascii="宋体" w:hAnsi="宋体" w:eastAsia="宋体"/>
        </w:rPr>
      </w:pPr>
    </w:p>
    <w:p w14:paraId="760F6E3D">
      <w:pPr>
        <w:jc w:val="center"/>
        <w:outlineLvl w:val="9"/>
        <w:rPr>
          <w:rFonts w:ascii="宋体" w:hAnsi="宋体" w:eastAsia="宋体" w:cs="宋体"/>
          <w:sz w:val="48"/>
          <w:szCs w:val="48"/>
        </w:rPr>
      </w:pPr>
      <w:r>
        <w:rPr>
          <w:rFonts w:hint="eastAsia" w:ascii="宋体" w:hAnsi="宋体" w:eastAsia="宋体" w:cs="宋体"/>
          <w:sz w:val="48"/>
          <w:szCs w:val="48"/>
        </w:rPr>
        <w:t>政府采购合同</w:t>
      </w:r>
    </w:p>
    <w:p w14:paraId="598ED513">
      <w:pPr>
        <w:spacing w:line="254" w:lineRule="auto"/>
        <w:outlineLvl w:val="9"/>
        <w:rPr>
          <w:rFonts w:ascii="宋体" w:hAnsi="宋体" w:eastAsia="宋体"/>
        </w:rPr>
      </w:pPr>
    </w:p>
    <w:p w14:paraId="00889F89">
      <w:pPr>
        <w:spacing w:line="254" w:lineRule="auto"/>
        <w:outlineLvl w:val="9"/>
        <w:rPr>
          <w:rFonts w:ascii="宋体" w:hAnsi="宋体" w:eastAsia="宋体"/>
        </w:rPr>
      </w:pPr>
    </w:p>
    <w:p w14:paraId="51C54219">
      <w:pPr>
        <w:spacing w:line="254" w:lineRule="auto"/>
        <w:outlineLvl w:val="9"/>
        <w:rPr>
          <w:rFonts w:ascii="宋体" w:hAnsi="宋体" w:eastAsia="宋体"/>
        </w:rPr>
      </w:pPr>
    </w:p>
    <w:p w14:paraId="4B65F393">
      <w:pPr>
        <w:spacing w:line="254" w:lineRule="auto"/>
        <w:outlineLvl w:val="9"/>
        <w:rPr>
          <w:rFonts w:ascii="宋体" w:hAnsi="宋体" w:eastAsia="宋体"/>
        </w:rPr>
      </w:pPr>
    </w:p>
    <w:p w14:paraId="2B778C2D">
      <w:pPr>
        <w:spacing w:line="254" w:lineRule="auto"/>
        <w:outlineLvl w:val="9"/>
        <w:rPr>
          <w:rFonts w:ascii="宋体" w:hAnsi="宋体" w:eastAsia="宋体"/>
        </w:rPr>
      </w:pPr>
    </w:p>
    <w:p w14:paraId="500E3A31">
      <w:pPr>
        <w:spacing w:line="254" w:lineRule="auto"/>
        <w:outlineLvl w:val="9"/>
        <w:rPr>
          <w:rFonts w:ascii="宋体" w:hAnsi="宋体" w:eastAsia="宋体"/>
        </w:rPr>
      </w:pPr>
    </w:p>
    <w:p w14:paraId="1913225B">
      <w:pPr>
        <w:spacing w:line="255" w:lineRule="auto"/>
        <w:outlineLvl w:val="9"/>
        <w:rPr>
          <w:rFonts w:ascii="宋体" w:hAnsi="宋体" w:eastAsia="宋体"/>
        </w:rPr>
      </w:pPr>
    </w:p>
    <w:p w14:paraId="5C902FD1">
      <w:pPr>
        <w:spacing w:line="255" w:lineRule="auto"/>
        <w:outlineLvl w:val="9"/>
        <w:rPr>
          <w:rFonts w:ascii="宋体" w:hAnsi="宋体" w:eastAsia="宋体"/>
        </w:rPr>
      </w:pPr>
    </w:p>
    <w:p w14:paraId="4BABF661">
      <w:pPr>
        <w:ind w:firstLine="560" w:firstLineChars="200"/>
        <w:outlineLvl w:val="9"/>
        <w:rPr>
          <w:rFonts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22BC277A">
      <w:pPr>
        <w:ind w:firstLine="560" w:firstLineChars="200"/>
        <w:outlineLvl w:val="9"/>
        <w:rPr>
          <w:rFonts w:ascii="宋体" w:hAnsi="宋体" w:eastAsia="宋体" w:cs="宋体"/>
          <w:sz w:val="28"/>
          <w:szCs w:val="28"/>
        </w:rPr>
      </w:pPr>
      <w:r>
        <w:rPr>
          <w:rFonts w:hint="eastAsia" w:ascii="宋体" w:hAnsi="宋体" w:eastAsia="宋体" w:cs="宋体"/>
          <w:sz w:val="28"/>
          <w:szCs w:val="28"/>
        </w:rPr>
        <w:t xml:space="preserve">合同编号：                                         </w:t>
      </w:r>
    </w:p>
    <w:p w14:paraId="42E91FDC">
      <w:pPr>
        <w:ind w:firstLine="560" w:firstLineChars="200"/>
        <w:outlineLvl w:val="9"/>
        <w:rPr>
          <w:rFonts w:hint="eastAsia" w:ascii="宋体" w:hAnsi="宋体" w:eastAsia="宋体" w:cs="宋体"/>
          <w:sz w:val="28"/>
          <w:szCs w:val="28"/>
          <w:u w:val="single"/>
          <w:lang w:eastAsia="zh-CN"/>
        </w:rPr>
      </w:pPr>
      <w:r>
        <w:rPr>
          <w:rFonts w:hint="eastAsia" w:ascii="宋体" w:hAnsi="宋体" w:eastAsia="宋体" w:cs="宋体"/>
          <w:sz w:val="28"/>
          <w:szCs w:val="28"/>
        </w:rPr>
        <w:t xml:space="preserve">采购单位： </w:t>
      </w:r>
      <w:r>
        <w:rPr>
          <w:rFonts w:hint="eastAsia" w:ascii="宋体" w:hAnsi="宋体" w:eastAsia="宋体" w:cs="宋体"/>
          <w:sz w:val="28"/>
          <w:szCs w:val="28"/>
          <w:u w:val="single"/>
          <w:lang w:eastAsia="zh-CN"/>
        </w:rPr>
        <w:t>文县市场监督管理局</w:t>
      </w:r>
    </w:p>
    <w:p w14:paraId="082EE453">
      <w:pPr>
        <w:ind w:firstLine="560" w:firstLineChars="200"/>
        <w:outlineLvl w:val="9"/>
        <w:rPr>
          <w:rFonts w:ascii="宋体" w:hAnsi="宋体" w:eastAsia="宋体" w:cs="宋体"/>
          <w:sz w:val="28"/>
          <w:szCs w:val="28"/>
        </w:rPr>
      </w:pPr>
      <w:r>
        <w:rPr>
          <w:rFonts w:hint="eastAsia" w:ascii="宋体" w:hAnsi="宋体" w:eastAsia="宋体" w:cs="宋体"/>
          <w:sz w:val="28"/>
          <w:szCs w:val="28"/>
        </w:rPr>
        <w:t xml:space="preserve">供 应 商：                                         </w:t>
      </w:r>
    </w:p>
    <w:p w14:paraId="66D43733">
      <w:pPr>
        <w:spacing w:line="520" w:lineRule="exact"/>
        <w:ind w:firstLine="480" w:firstLineChars="200"/>
        <w:outlineLvl w:val="9"/>
        <w:rPr>
          <w:rFonts w:ascii="宋体" w:hAnsi="宋体" w:eastAsia="宋体" w:cs="宋体"/>
          <w:sz w:val="24"/>
          <w:szCs w:val="24"/>
        </w:rPr>
      </w:pPr>
    </w:p>
    <w:p w14:paraId="32F2C354">
      <w:pPr>
        <w:spacing w:line="520" w:lineRule="exact"/>
        <w:ind w:firstLine="480" w:firstLineChars="200"/>
        <w:outlineLvl w:val="9"/>
        <w:rPr>
          <w:rFonts w:ascii="宋体" w:hAnsi="宋体" w:eastAsia="宋体" w:cs="宋体"/>
          <w:sz w:val="24"/>
          <w:szCs w:val="24"/>
        </w:rPr>
      </w:pPr>
    </w:p>
    <w:p w14:paraId="7E23B59D">
      <w:pPr>
        <w:spacing w:line="52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甲方（采购人） ：</w:t>
      </w:r>
    </w:p>
    <w:p w14:paraId="59C29EA2">
      <w:pPr>
        <w:spacing w:line="520" w:lineRule="exact"/>
        <w:ind w:firstLine="511" w:firstLineChars="213"/>
        <w:outlineLvl w:val="9"/>
        <w:rPr>
          <w:rFonts w:ascii="宋体" w:hAnsi="宋体" w:eastAsia="宋体" w:cs="宋体"/>
          <w:sz w:val="24"/>
          <w:szCs w:val="24"/>
        </w:rPr>
      </w:pPr>
      <w:r>
        <w:rPr>
          <w:rFonts w:hint="eastAsia" w:ascii="宋体" w:hAnsi="宋体" w:eastAsia="宋体" w:cs="宋体"/>
          <w:sz w:val="24"/>
          <w:szCs w:val="24"/>
        </w:rPr>
        <w:t>乙方（中标供应商） ：</w:t>
      </w:r>
    </w:p>
    <w:p w14:paraId="3D2DF71A">
      <w:pPr>
        <w:spacing w:line="520" w:lineRule="exact"/>
        <w:ind w:firstLine="501" w:firstLineChars="209"/>
        <w:outlineLvl w:val="9"/>
        <w:rPr>
          <w:rFonts w:ascii="宋体" w:hAnsi="宋体" w:eastAsia="宋体" w:cs="宋体"/>
          <w:sz w:val="24"/>
          <w:szCs w:val="24"/>
        </w:rPr>
      </w:pPr>
      <w:r>
        <w:rPr>
          <w:rFonts w:hint="eastAsia" w:ascii="宋体" w:hAnsi="宋体" w:eastAsia="宋体" w:cs="宋体"/>
          <w:sz w:val="24"/>
          <w:szCs w:val="24"/>
        </w:rPr>
        <w:t xml:space="preserve">根据 </w:t>
      </w:r>
      <w:r>
        <w:rPr>
          <w:rFonts w:hint="eastAsia" w:ascii="宋体" w:hAnsi="宋体" w:eastAsia="宋体" w:cs="宋体"/>
          <w:sz w:val="24"/>
          <w:szCs w:val="24"/>
          <w:u w:val="single"/>
          <w:lang w:eastAsia="zh-CN"/>
        </w:rPr>
        <w:t>文县市场监督管理局2024年工业产品抽检项目</w:t>
      </w:r>
      <w:r>
        <w:rPr>
          <w:rFonts w:hint="eastAsia" w:ascii="宋体" w:hAnsi="宋体" w:eastAsia="宋体" w:cs="宋体"/>
          <w:sz w:val="24"/>
          <w:szCs w:val="24"/>
        </w:rPr>
        <w:t>的采购结果，</w:t>
      </w:r>
      <w:r>
        <w:rPr>
          <w:rFonts w:hint="eastAsia" w:ascii="宋体" w:hAnsi="宋体" w:eastAsia="宋体" w:cs="宋体"/>
          <w:spacing w:val="-3"/>
          <w:sz w:val="24"/>
          <w:szCs w:val="24"/>
        </w:rPr>
        <w:t>按照《中华人民共和</w:t>
      </w:r>
      <w:r>
        <w:rPr>
          <w:rFonts w:hint="eastAsia" w:ascii="宋体" w:hAnsi="宋体" w:eastAsia="宋体" w:cs="宋体"/>
          <w:spacing w:val="-16"/>
          <w:sz w:val="24"/>
          <w:szCs w:val="24"/>
        </w:rPr>
        <w:t>国政府采购法》、《中华人民共和国民法典》的规定，经双方协商，</w:t>
      </w:r>
      <w:r>
        <w:rPr>
          <w:rFonts w:hint="eastAsia" w:ascii="宋体" w:hAnsi="宋体" w:eastAsia="宋体" w:cs="宋体"/>
          <w:spacing w:val="-2"/>
          <w:sz w:val="24"/>
          <w:szCs w:val="24"/>
        </w:rPr>
        <w:t>本着平等互利和诚实</w:t>
      </w:r>
      <w:r>
        <w:rPr>
          <w:rFonts w:hint="eastAsia" w:ascii="宋体" w:hAnsi="宋体" w:eastAsia="宋体" w:cs="宋体"/>
          <w:spacing w:val="-4"/>
          <w:sz w:val="24"/>
          <w:szCs w:val="24"/>
        </w:rPr>
        <w:t>信用的原则，一致同意签订本合同如下：</w:t>
      </w:r>
    </w:p>
    <w:p w14:paraId="2E9BCBE5">
      <w:pPr>
        <w:spacing w:line="520" w:lineRule="exact"/>
        <w:ind w:firstLine="523" w:firstLineChars="222"/>
        <w:outlineLvl w:val="9"/>
        <w:rPr>
          <w:rFonts w:ascii="宋体" w:hAnsi="宋体" w:eastAsia="宋体" w:cs="宋体"/>
          <w:sz w:val="24"/>
          <w:szCs w:val="24"/>
        </w:rPr>
      </w:pPr>
      <w:r>
        <w:rPr>
          <w:rFonts w:hint="eastAsia" w:ascii="宋体" w:hAnsi="宋体" w:eastAsia="宋体" w:cs="宋体"/>
          <w:spacing w:val="-2"/>
          <w:sz w:val="24"/>
          <w:szCs w:val="24"/>
        </w:rPr>
        <w:t>一、服务内容</w:t>
      </w:r>
    </w:p>
    <w:p w14:paraId="4DC27BA9">
      <w:pPr>
        <w:spacing w:line="520" w:lineRule="exact"/>
        <w:ind w:firstLine="440" w:firstLineChars="200"/>
        <w:outlineLvl w:val="9"/>
        <w:rPr>
          <w:rFonts w:ascii="宋体" w:hAnsi="宋体" w:eastAsia="宋体" w:cs="宋体"/>
          <w:spacing w:val="-10"/>
          <w:sz w:val="24"/>
          <w:szCs w:val="24"/>
        </w:rPr>
      </w:pPr>
      <w:r>
        <w:rPr>
          <w:rFonts w:hint="eastAsia" w:ascii="宋体" w:hAnsi="宋体" w:eastAsia="宋体" w:cs="宋体"/>
          <w:spacing w:val="-10"/>
          <w:sz w:val="24"/>
          <w:szCs w:val="24"/>
        </w:rPr>
        <w:t>合同总额包括完成采购范围内全部货物采购及相关伴随服务等全过程的费用等。</w:t>
      </w:r>
    </w:p>
    <w:p w14:paraId="0F04BDCC">
      <w:pPr>
        <w:spacing w:line="520" w:lineRule="exact"/>
        <w:ind w:firstLine="404" w:firstLineChars="200"/>
        <w:outlineLvl w:val="9"/>
        <w:rPr>
          <w:rFonts w:ascii="宋体" w:hAnsi="宋体" w:eastAsia="宋体" w:cs="宋体"/>
          <w:sz w:val="24"/>
          <w:szCs w:val="24"/>
        </w:rPr>
      </w:pPr>
      <w:r>
        <w:rPr>
          <w:rFonts w:hint="eastAsia" w:ascii="宋体" w:hAnsi="宋体" w:eastAsia="宋体" w:cs="宋体"/>
          <w:spacing w:val="-19"/>
          <w:sz w:val="24"/>
          <w:szCs w:val="24"/>
        </w:rPr>
        <w:t>注：内容必须与《招标文件》中内容一致。</w:t>
      </w:r>
    </w:p>
    <w:p w14:paraId="02A988D7">
      <w:pPr>
        <w:spacing w:line="520" w:lineRule="exact"/>
        <w:ind w:firstLine="481" w:firstLineChars="204"/>
        <w:outlineLvl w:val="9"/>
        <w:rPr>
          <w:rFonts w:ascii="宋体" w:hAnsi="宋体" w:eastAsia="宋体" w:cs="宋体"/>
          <w:sz w:val="24"/>
          <w:szCs w:val="24"/>
        </w:rPr>
      </w:pPr>
      <w:r>
        <w:rPr>
          <w:rFonts w:hint="eastAsia" w:ascii="宋体" w:hAnsi="宋体" w:eastAsia="宋体" w:cs="宋体"/>
          <w:spacing w:val="-2"/>
          <w:sz w:val="24"/>
          <w:szCs w:val="24"/>
        </w:rPr>
        <w:t>二、服务期限</w:t>
      </w:r>
    </w:p>
    <w:p w14:paraId="6EB06466">
      <w:pPr>
        <w:spacing w:line="520" w:lineRule="exact"/>
        <w:ind w:firstLine="506"/>
        <w:outlineLvl w:val="9"/>
        <w:rPr>
          <w:rFonts w:ascii="宋体" w:hAnsi="宋体" w:eastAsia="宋体" w:cs="宋体"/>
          <w:sz w:val="24"/>
          <w:szCs w:val="24"/>
        </w:rPr>
      </w:pPr>
      <w:r>
        <w:rPr>
          <w:rFonts w:hint="eastAsia" w:ascii="宋体" w:hAnsi="宋体" w:eastAsia="宋体" w:cs="宋体"/>
          <w:spacing w:val="-8"/>
          <w:sz w:val="24"/>
          <w:szCs w:val="24"/>
        </w:rPr>
        <w:t>1.本服务合同总周期为日历天（从开工之日算起）。</w:t>
      </w:r>
    </w:p>
    <w:p w14:paraId="320911B0">
      <w:pPr>
        <w:spacing w:line="520" w:lineRule="exact"/>
        <w:ind w:firstLine="491"/>
        <w:outlineLvl w:val="9"/>
        <w:rPr>
          <w:rFonts w:ascii="宋体" w:hAnsi="宋体" w:eastAsia="宋体" w:cs="宋体"/>
          <w:sz w:val="24"/>
          <w:szCs w:val="24"/>
        </w:rPr>
      </w:pPr>
      <w:r>
        <w:rPr>
          <w:rFonts w:hint="eastAsia" w:ascii="宋体" w:hAnsi="宋体" w:eastAsia="宋体" w:cs="宋体"/>
          <w:spacing w:val="-8"/>
          <w:sz w:val="24"/>
          <w:szCs w:val="24"/>
        </w:rPr>
        <w:t>2.本项目服务期自年月日至年月日</w:t>
      </w:r>
    </w:p>
    <w:p w14:paraId="5D82B753">
      <w:pPr>
        <w:spacing w:line="520" w:lineRule="exact"/>
        <w:ind w:firstLine="493"/>
        <w:outlineLvl w:val="9"/>
        <w:rPr>
          <w:rFonts w:ascii="宋体" w:hAnsi="宋体" w:eastAsia="宋体" w:cs="宋体"/>
          <w:sz w:val="24"/>
          <w:szCs w:val="24"/>
        </w:rPr>
      </w:pPr>
      <w:r>
        <w:rPr>
          <w:rFonts w:hint="eastAsia" w:ascii="宋体" w:hAnsi="宋体" w:eastAsia="宋体" w:cs="宋体"/>
          <w:spacing w:val="-1"/>
          <w:sz w:val="24"/>
          <w:szCs w:val="24"/>
        </w:rPr>
        <w:t>3.本项目合同总价为（大写</w:t>
      </w:r>
      <w:r>
        <w:rPr>
          <w:rFonts w:hint="eastAsia" w:ascii="宋体" w:hAnsi="宋体" w:eastAsia="宋体" w:cs="宋体"/>
          <w:spacing w:val="-51"/>
          <w:sz w:val="24"/>
          <w:szCs w:val="24"/>
        </w:rPr>
        <w:t>）：（</w:t>
      </w:r>
      <w:r>
        <w:rPr>
          <w:rFonts w:hint="eastAsia" w:ascii="宋体" w:hAnsi="宋体" w:eastAsia="宋体" w:cs="宋体"/>
          <w:spacing w:val="-1"/>
          <w:sz w:val="24"/>
          <w:szCs w:val="24"/>
        </w:rPr>
        <w:t>¥</w:t>
      </w:r>
      <w:r>
        <w:rPr>
          <w:rFonts w:hint="eastAsia" w:ascii="宋体" w:hAnsi="宋体" w:eastAsia="宋体" w:cs="宋体"/>
          <w:spacing w:val="-51"/>
          <w:sz w:val="24"/>
          <w:szCs w:val="24"/>
        </w:rPr>
        <w:t>），</w:t>
      </w:r>
      <w:r>
        <w:rPr>
          <w:rFonts w:hint="eastAsia" w:ascii="宋体" w:hAnsi="宋体" w:eastAsia="宋体" w:cs="宋体"/>
          <w:spacing w:val="-1"/>
          <w:sz w:val="24"/>
          <w:szCs w:val="24"/>
        </w:rPr>
        <w:t>项目总价包含人</w:t>
      </w:r>
      <w:r>
        <w:rPr>
          <w:rFonts w:hint="eastAsia" w:ascii="宋体" w:hAnsi="宋体" w:eastAsia="宋体" w:cs="宋体"/>
          <w:spacing w:val="-4"/>
          <w:sz w:val="24"/>
          <w:szCs w:val="24"/>
        </w:rPr>
        <w:t>工费、交通费、材料费等所有相关的费用，乙方不得要求甲方支付非经甲方认可的其他费</w:t>
      </w:r>
      <w:r>
        <w:rPr>
          <w:rFonts w:hint="eastAsia" w:ascii="宋体" w:hAnsi="宋体" w:eastAsia="宋体" w:cs="宋体"/>
          <w:sz w:val="24"/>
          <w:szCs w:val="24"/>
        </w:rPr>
        <w:t>。</w:t>
      </w:r>
    </w:p>
    <w:p w14:paraId="5277EC34">
      <w:pPr>
        <w:spacing w:line="520" w:lineRule="exact"/>
        <w:ind w:firstLine="480" w:firstLineChars="202"/>
        <w:outlineLvl w:val="9"/>
        <w:rPr>
          <w:rFonts w:ascii="宋体" w:hAnsi="宋体" w:eastAsia="宋体" w:cs="宋体"/>
        </w:rPr>
      </w:pPr>
      <w:r>
        <w:rPr>
          <w:rFonts w:hint="eastAsia" w:ascii="宋体" w:hAnsi="宋体" w:eastAsia="宋体" w:cs="宋体"/>
          <w:spacing w:val="-1"/>
          <w:sz w:val="24"/>
          <w:szCs w:val="24"/>
        </w:rPr>
        <w:t>三、服务要求：</w:t>
      </w:r>
    </w:p>
    <w:p w14:paraId="61FB0B9E">
      <w:pPr>
        <w:spacing w:line="520" w:lineRule="exact"/>
        <w:ind w:firstLine="494" w:firstLineChars="213"/>
        <w:outlineLvl w:val="9"/>
        <w:rPr>
          <w:rFonts w:ascii="宋体" w:hAnsi="宋体" w:eastAsia="宋体" w:cs="宋体"/>
          <w:sz w:val="24"/>
          <w:szCs w:val="24"/>
        </w:rPr>
      </w:pPr>
      <w:r>
        <w:rPr>
          <w:rFonts w:hint="eastAsia" w:ascii="宋体" w:hAnsi="宋体" w:eastAsia="宋体" w:cs="宋体"/>
          <w:spacing w:val="-4"/>
          <w:sz w:val="24"/>
          <w:szCs w:val="24"/>
        </w:rPr>
        <w:t>四、时间、地点</w:t>
      </w:r>
    </w:p>
    <w:p w14:paraId="63EB512F">
      <w:pPr>
        <w:spacing w:line="520" w:lineRule="exact"/>
        <w:ind w:firstLine="493"/>
        <w:outlineLvl w:val="9"/>
        <w:rPr>
          <w:rFonts w:ascii="宋体" w:hAnsi="宋体" w:eastAsia="宋体" w:cs="宋体"/>
          <w:spacing w:val="-4"/>
          <w:sz w:val="24"/>
          <w:szCs w:val="24"/>
        </w:rPr>
      </w:pPr>
      <w:r>
        <w:rPr>
          <w:rFonts w:hint="eastAsia" w:ascii="宋体" w:hAnsi="宋体" w:eastAsia="宋体" w:cs="宋体"/>
          <w:spacing w:val="-4"/>
          <w:sz w:val="24"/>
          <w:szCs w:val="24"/>
        </w:rPr>
        <w:t>时间：</w:t>
      </w:r>
    </w:p>
    <w:p w14:paraId="0CE63392">
      <w:pPr>
        <w:spacing w:line="520" w:lineRule="exact"/>
        <w:ind w:firstLine="493"/>
        <w:outlineLvl w:val="9"/>
        <w:rPr>
          <w:rFonts w:ascii="宋体" w:hAnsi="宋体" w:eastAsia="宋体" w:cs="宋体"/>
          <w:sz w:val="24"/>
          <w:szCs w:val="24"/>
        </w:rPr>
      </w:pPr>
      <w:r>
        <w:rPr>
          <w:rFonts w:hint="eastAsia" w:ascii="宋体" w:hAnsi="宋体" w:eastAsia="宋体" w:cs="宋体"/>
          <w:spacing w:val="-4"/>
          <w:sz w:val="24"/>
          <w:szCs w:val="24"/>
        </w:rPr>
        <w:t>地点：</w:t>
      </w:r>
    </w:p>
    <w:p w14:paraId="18AB43C5">
      <w:pPr>
        <w:spacing w:line="520" w:lineRule="exact"/>
        <w:ind w:firstLine="481" w:firstLineChars="204"/>
        <w:outlineLvl w:val="9"/>
        <w:rPr>
          <w:rFonts w:ascii="宋体" w:hAnsi="宋体" w:eastAsia="宋体" w:cs="宋体"/>
          <w:spacing w:val="-2"/>
          <w:sz w:val="24"/>
          <w:szCs w:val="24"/>
        </w:rPr>
      </w:pPr>
      <w:r>
        <w:rPr>
          <w:rFonts w:hint="eastAsia" w:ascii="宋体" w:hAnsi="宋体" w:eastAsia="宋体" w:cs="宋体"/>
          <w:spacing w:val="-2"/>
          <w:sz w:val="24"/>
          <w:szCs w:val="24"/>
        </w:rPr>
        <w:t>五、付款方式</w:t>
      </w:r>
    </w:p>
    <w:p w14:paraId="40FB89F6">
      <w:pPr>
        <w:spacing w:line="520" w:lineRule="exact"/>
        <w:ind w:firstLine="491"/>
        <w:outlineLvl w:val="9"/>
        <w:rPr>
          <w:rFonts w:ascii="宋体" w:hAnsi="宋体" w:eastAsia="宋体" w:cs="宋体"/>
          <w:spacing w:val="-1"/>
          <w:sz w:val="24"/>
          <w:szCs w:val="24"/>
        </w:rPr>
      </w:pPr>
      <w:r>
        <w:rPr>
          <w:rFonts w:hint="eastAsia" w:ascii="宋体" w:hAnsi="宋体" w:eastAsia="宋体" w:cs="宋体"/>
          <w:spacing w:val="-1"/>
          <w:sz w:val="24"/>
          <w:szCs w:val="24"/>
        </w:rPr>
        <w:t>1.合同签订后，采购人先预拨</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%项目资金，剩余资金按项目进度支付。</w:t>
      </w:r>
    </w:p>
    <w:p w14:paraId="15C3B3DD">
      <w:pPr>
        <w:spacing w:line="520" w:lineRule="exact"/>
        <w:ind w:firstLine="491"/>
        <w:outlineLvl w:val="9"/>
        <w:rPr>
          <w:rFonts w:ascii="宋体" w:hAnsi="宋体" w:eastAsia="宋体" w:cs="宋体"/>
          <w:sz w:val="24"/>
          <w:szCs w:val="24"/>
        </w:rPr>
      </w:pPr>
      <w:r>
        <w:rPr>
          <w:rFonts w:hint="eastAsia" w:ascii="宋体" w:hAnsi="宋体" w:eastAsia="宋体" w:cs="宋体"/>
          <w:spacing w:val="-1"/>
          <w:sz w:val="24"/>
          <w:szCs w:val="24"/>
        </w:rPr>
        <w:t>2.乙方向甲方开具的正式发票，并提供发票复印件，方可办理相关申报支付手续。</w:t>
      </w:r>
    </w:p>
    <w:p w14:paraId="7EB1F37B">
      <w:pPr>
        <w:spacing w:line="520" w:lineRule="exact"/>
        <w:ind w:firstLine="483" w:firstLineChars="203"/>
        <w:outlineLvl w:val="9"/>
        <w:rPr>
          <w:rFonts w:ascii="宋体" w:hAnsi="宋体" w:eastAsia="宋体" w:cs="宋体"/>
          <w:sz w:val="24"/>
          <w:szCs w:val="24"/>
        </w:rPr>
      </w:pPr>
      <w:r>
        <w:rPr>
          <w:rFonts w:hint="eastAsia" w:ascii="宋体" w:hAnsi="宋体" w:eastAsia="宋体" w:cs="宋体"/>
          <w:spacing w:val="-1"/>
          <w:sz w:val="24"/>
          <w:szCs w:val="24"/>
        </w:rPr>
        <w:t>六、违约责任与赔偿损失</w:t>
      </w:r>
    </w:p>
    <w:p w14:paraId="4C1C0311">
      <w:pPr>
        <w:spacing w:line="520" w:lineRule="exact"/>
        <w:ind w:firstLine="493"/>
        <w:outlineLvl w:val="9"/>
        <w:rPr>
          <w:rFonts w:ascii="宋体" w:hAnsi="宋体" w:eastAsia="宋体" w:cs="宋体"/>
          <w:sz w:val="24"/>
          <w:szCs w:val="24"/>
        </w:rPr>
      </w:pPr>
      <w:r>
        <w:rPr>
          <w:rFonts w:hint="eastAsia" w:ascii="宋体" w:hAnsi="宋体" w:eastAsia="宋体" w:cs="宋体"/>
          <w:spacing w:val="-14"/>
          <w:sz w:val="24"/>
          <w:szCs w:val="24"/>
        </w:rPr>
        <w:t>乙方进行的服务不符合《招标文件》、《投标文件》或本合同规定的，甲方有权拒收，</w:t>
      </w:r>
      <w:r>
        <w:rPr>
          <w:rFonts w:hint="eastAsia" w:ascii="宋体" w:hAnsi="宋体" w:eastAsia="宋体" w:cs="宋体"/>
          <w:spacing w:val="-1"/>
          <w:sz w:val="24"/>
          <w:szCs w:val="24"/>
        </w:rPr>
        <w:t>并且乙方须向甲方支付本合同总价%的违约金。</w:t>
      </w:r>
    </w:p>
    <w:p w14:paraId="51F30674">
      <w:pPr>
        <w:spacing w:line="520" w:lineRule="exact"/>
        <w:ind w:firstLine="497"/>
        <w:outlineLvl w:val="9"/>
        <w:rPr>
          <w:rFonts w:ascii="宋体" w:hAnsi="宋体" w:eastAsia="宋体" w:cs="宋体"/>
          <w:sz w:val="24"/>
          <w:szCs w:val="24"/>
        </w:rPr>
      </w:pPr>
      <w:r>
        <w:rPr>
          <w:rFonts w:hint="eastAsia" w:ascii="宋体" w:hAnsi="宋体" w:eastAsia="宋体" w:cs="宋体"/>
          <w:spacing w:val="-5"/>
          <w:sz w:val="24"/>
          <w:szCs w:val="24"/>
        </w:rPr>
        <w:t>乙方未能按本合同规定的服务时间提供服务的，甲方有权终止合同，由此造成的甲方</w:t>
      </w:r>
      <w:r>
        <w:rPr>
          <w:rFonts w:hint="eastAsia" w:ascii="宋体" w:hAnsi="宋体" w:eastAsia="宋体" w:cs="宋体"/>
          <w:spacing w:val="-2"/>
          <w:sz w:val="24"/>
          <w:szCs w:val="24"/>
        </w:rPr>
        <w:t>经济损失由乙方承担。</w:t>
      </w:r>
    </w:p>
    <w:p w14:paraId="63DBA663">
      <w:pPr>
        <w:spacing w:line="520" w:lineRule="exact"/>
        <w:ind w:firstLine="509"/>
        <w:outlineLvl w:val="9"/>
        <w:rPr>
          <w:rFonts w:ascii="宋体" w:hAnsi="宋体" w:eastAsia="宋体" w:cs="宋体"/>
          <w:sz w:val="24"/>
          <w:szCs w:val="24"/>
        </w:rPr>
      </w:pPr>
      <w:r>
        <w:rPr>
          <w:rFonts w:hint="eastAsia" w:ascii="宋体" w:hAnsi="宋体" w:eastAsia="宋体" w:cs="宋体"/>
          <w:spacing w:val="-5"/>
          <w:sz w:val="24"/>
          <w:szCs w:val="24"/>
        </w:rPr>
        <w:t>甲方无正当理由拒收服务，到期服务款项的，甲方向乙方偿付本合同总价</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%的违约</w:t>
      </w:r>
      <w:r>
        <w:rPr>
          <w:rFonts w:hint="eastAsia" w:ascii="宋体" w:hAnsi="宋体" w:eastAsia="宋体" w:cs="宋体"/>
          <w:spacing w:val="-1"/>
          <w:sz w:val="24"/>
          <w:szCs w:val="24"/>
        </w:rPr>
        <w:t>金。甲方如逾期付款，则每日按本合同总价的‰向乙方偿付违约金。</w:t>
      </w:r>
    </w:p>
    <w:p w14:paraId="153C09CB">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其它违约责任按《中华人民共和国合同法》处理。</w:t>
      </w:r>
    </w:p>
    <w:p w14:paraId="519C4E50">
      <w:pPr>
        <w:spacing w:line="520" w:lineRule="exact"/>
        <w:ind w:firstLine="483" w:firstLineChars="203"/>
        <w:outlineLvl w:val="9"/>
        <w:rPr>
          <w:rFonts w:ascii="宋体" w:hAnsi="宋体" w:eastAsia="宋体" w:cs="宋体"/>
          <w:spacing w:val="-1"/>
          <w:sz w:val="24"/>
          <w:szCs w:val="24"/>
        </w:rPr>
      </w:pPr>
      <w:r>
        <w:rPr>
          <w:rFonts w:hint="eastAsia" w:ascii="宋体" w:hAnsi="宋体" w:eastAsia="宋体" w:cs="宋体"/>
          <w:spacing w:val="-1"/>
          <w:sz w:val="24"/>
          <w:szCs w:val="24"/>
        </w:rPr>
        <w:t>七、争议的解决</w:t>
      </w:r>
    </w:p>
    <w:p w14:paraId="0E9F1075">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合同执行过程中发生的任何争议，如双方不能通过友好协商解决，按相关法律法规处理。</w:t>
      </w:r>
    </w:p>
    <w:p w14:paraId="52B12E0D">
      <w:pPr>
        <w:spacing w:line="520" w:lineRule="exact"/>
        <w:ind w:firstLine="483" w:firstLineChars="203"/>
        <w:outlineLvl w:val="9"/>
        <w:rPr>
          <w:rFonts w:ascii="宋体" w:hAnsi="宋体" w:eastAsia="宋体" w:cs="宋体"/>
          <w:spacing w:val="-1"/>
          <w:sz w:val="24"/>
          <w:szCs w:val="24"/>
        </w:rPr>
      </w:pPr>
      <w:r>
        <w:rPr>
          <w:rFonts w:hint="eastAsia" w:ascii="宋体" w:hAnsi="宋体" w:eastAsia="宋体" w:cs="宋体"/>
          <w:spacing w:val="-1"/>
          <w:sz w:val="24"/>
          <w:szCs w:val="24"/>
        </w:rPr>
        <w:t>八、不可抗力</w:t>
      </w:r>
    </w:p>
    <w:p w14:paraId="58476834">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06C92964">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因合同一方迟延履行合同后发生不可抗力的，不能免除迟延履行方的相应责任。</w:t>
      </w:r>
    </w:p>
    <w:p w14:paraId="125C1FD4">
      <w:pPr>
        <w:spacing w:line="520" w:lineRule="exact"/>
        <w:ind w:firstLine="483" w:firstLineChars="203"/>
        <w:outlineLvl w:val="9"/>
        <w:rPr>
          <w:rFonts w:ascii="宋体" w:hAnsi="宋体" w:eastAsia="宋体" w:cs="宋体"/>
          <w:spacing w:val="-1"/>
          <w:sz w:val="24"/>
          <w:szCs w:val="24"/>
        </w:rPr>
      </w:pPr>
      <w:r>
        <w:rPr>
          <w:rFonts w:hint="eastAsia" w:ascii="宋体" w:hAnsi="宋体" w:eastAsia="宋体" w:cs="宋体"/>
          <w:spacing w:val="-1"/>
          <w:sz w:val="24"/>
          <w:szCs w:val="24"/>
        </w:rPr>
        <w:t>九、税费</w:t>
      </w:r>
    </w:p>
    <w:p w14:paraId="33828D61">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在中国境内、外发生的与本合同执行有关的一切税费均由乙方负担。</w:t>
      </w:r>
    </w:p>
    <w:p w14:paraId="1D37F722">
      <w:pPr>
        <w:spacing w:line="520" w:lineRule="exact"/>
        <w:ind w:firstLine="483" w:firstLineChars="203"/>
        <w:outlineLvl w:val="9"/>
        <w:rPr>
          <w:rFonts w:ascii="宋体" w:hAnsi="宋体" w:eastAsia="宋体" w:cs="宋体"/>
          <w:spacing w:val="-1"/>
          <w:sz w:val="24"/>
          <w:szCs w:val="24"/>
        </w:rPr>
      </w:pPr>
      <w:r>
        <w:rPr>
          <w:rFonts w:hint="eastAsia" w:ascii="宋体" w:hAnsi="宋体" w:eastAsia="宋体" w:cs="宋体"/>
          <w:spacing w:val="-1"/>
          <w:sz w:val="24"/>
          <w:szCs w:val="24"/>
        </w:rPr>
        <w:t>十、其它</w:t>
      </w:r>
    </w:p>
    <w:p w14:paraId="01ABAD91">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本合同所有附件、《招标文件》（含补充通知、澄清、答疑会议纪要等）、投标文件（含澄清等）、《中标通知书》均为合同的有效组成部分，与本合同具有同等法律效力。</w:t>
      </w:r>
    </w:p>
    <w:p w14:paraId="4276B652">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在执行本合同的过程中，所有经双方签署确认的文件（包括会议纪要、补充协议、往来信函）即成为本合同的有效组成部分。</w:t>
      </w:r>
    </w:p>
    <w:p w14:paraId="5B6D5985">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如一方地址、电话、传真号码有变更，应在变更当日内书面通知对方，否则，应承担相应责任。</w:t>
      </w:r>
    </w:p>
    <w:p w14:paraId="4EABC9FA">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除甲方事先书面同意外，乙方不得部分或全部转让其应履行的合同项下的任何责任和义务。</w:t>
      </w:r>
    </w:p>
    <w:p w14:paraId="552CB014">
      <w:pPr>
        <w:spacing w:line="520" w:lineRule="exact"/>
        <w:ind w:firstLine="483" w:firstLineChars="203"/>
        <w:outlineLvl w:val="9"/>
        <w:rPr>
          <w:rFonts w:ascii="宋体" w:hAnsi="宋体" w:eastAsia="宋体" w:cs="宋体"/>
          <w:spacing w:val="-1"/>
          <w:sz w:val="24"/>
          <w:szCs w:val="24"/>
        </w:rPr>
      </w:pPr>
      <w:r>
        <w:rPr>
          <w:rFonts w:hint="eastAsia" w:ascii="宋体" w:hAnsi="宋体" w:eastAsia="宋体" w:cs="宋体"/>
          <w:spacing w:val="-1"/>
          <w:sz w:val="24"/>
          <w:szCs w:val="24"/>
        </w:rPr>
        <w:t>十一、合同生效及其他</w:t>
      </w:r>
    </w:p>
    <w:p w14:paraId="45C921C0">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本合同在甲乙双方授权代表签字盖章后生效。</w:t>
      </w:r>
    </w:p>
    <w:p w14:paraId="7129328E">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如需修改合同内容，双方应签署书面修改或补充协议，该修改或补充协议作为本合同的一个组成部分。</w:t>
      </w:r>
    </w:p>
    <w:p w14:paraId="0E2C7EC9">
      <w:pPr>
        <w:autoSpaceDE w:val="0"/>
        <w:autoSpaceDN w:val="0"/>
        <w:spacing w:line="520" w:lineRule="exact"/>
        <w:ind w:firstLine="456" w:firstLineChars="200"/>
        <w:outlineLvl w:val="9"/>
        <w:rPr>
          <w:rFonts w:ascii="宋体" w:hAnsi="宋体" w:eastAsia="宋体" w:cs="宋体"/>
          <w:spacing w:val="-6"/>
          <w:sz w:val="24"/>
          <w:szCs w:val="24"/>
        </w:rPr>
      </w:pPr>
      <w:r>
        <w:rPr>
          <w:rFonts w:hint="eastAsia" w:ascii="宋体" w:hAnsi="宋体" w:eastAsia="宋体" w:cs="宋体"/>
          <w:spacing w:val="-6"/>
          <w:sz w:val="24"/>
          <w:szCs w:val="24"/>
        </w:rPr>
        <w:t>本合同一式</w:t>
      </w:r>
      <w:r>
        <w:rPr>
          <w:rFonts w:hint="eastAsia" w:ascii="宋体" w:hAnsi="宋体" w:eastAsia="宋体" w:cs="宋体"/>
          <w:spacing w:val="-6"/>
          <w:sz w:val="24"/>
          <w:szCs w:val="24"/>
          <w:u w:val="single"/>
        </w:rPr>
        <w:t>陆</w:t>
      </w:r>
      <w:r>
        <w:rPr>
          <w:rFonts w:hint="eastAsia" w:ascii="宋体" w:hAnsi="宋体" w:eastAsia="宋体" w:cs="宋体"/>
          <w:spacing w:val="-6"/>
          <w:sz w:val="24"/>
          <w:szCs w:val="24"/>
        </w:rPr>
        <w:t>份，具有同等法律效力。甲、乙双方各执</w:t>
      </w:r>
      <w:r>
        <w:rPr>
          <w:rFonts w:hint="eastAsia" w:ascii="宋体" w:hAnsi="宋体" w:eastAsia="宋体" w:cs="宋体"/>
          <w:spacing w:val="-6"/>
          <w:sz w:val="24"/>
          <w:szCs w:val="24"/>
          <w:u w:val="single"/>
        </w:rPr>
        <w:t>贰</w:t>
      </w:r>
      <w:r>
        <w:rPr>
          <w:rFonts w:hint="eastAsia" w:ascii="宋体" w:hAnsi="宋体" w:eastAsia="宋体" w:cs="宋体"/>
          <w:spacing w:val="-6"/>
          <w:sz w:val="24"/>
          <w:szCs w:val="24"/>
        </w:rPr>
        <w:t>份，招标代理机构</w:t>
      </w:r>
      <w:r>
        <w:rPr>
          <w:rFonts w:hint="eastAsia" w:ascii="宋体" w:hAnsi="宋体" w:eastAsia="宋体" w:cs="宋体"/>
          <w:spacing w:val="-6"/>
          <w:sz w:val="24"/>
          <w:szCs w:val="24"/>
          <w:u w:val="single"/>
        </w:rPr>
        <w:t>贰</w:t>
      </w:r>
      <w:r>
        <w:rPr>
          <w:rFonts w:hint="eastAsia" w:ascii="宋体" w:hAnsi="宋体" w:eastAsia="宋体" w:cs="宋体"/>
          <w:spacing w:val="-6"/>
          <w:sz w:val="24"/>
          <w:szCs w:val="24"/>
        </w:rPr>
        <w:t>份。</w:t>
      </w:r>
    </w:p>
    <w:p w14:paraId="20CAA3F7">
      <w:pPr>
        <w:tabs>
          <w:tab w:val="left" w:pos="1204"/>
        </w:tabs>
        <w:autoSpaceDE w:val="0"/>
        <w:autoSpaceDN w:val="0"/>
        <w:spacing w:before="50" w:line="520" w:lineRule="exact"/>
        <w:ind w:right="106"/>
        <w:jc w:val="both"/>
        <w:outlineLvl w:val="9"/>
        <w:rPr>
          <w:rFonts w:ascii="宋体" w:hAnsi="宋体" w:eastAsia="宋体" w:cs="宋体"/>
          <w:b/>
          <w:spacing w:val="-10"/>
          <w:sz w:val="24"/>
          <w:szCs w:val="24"/>
          <w:lang w:val="zh-CN" w:bidi="zh-CN"/>
        </w:rPr>
        <w:sectPr>
          <w:pgSz w:w="11906" w:h="16838"/>
          <w:pgMar w:top="1440" w:right="1800" w:bottom="1440" w:left="1800" w:header="851" w:footer="992" w:gutter="0"/>
          <w:pgNumType w:fmt="decimal"/>
          <w:cols w:space="720" w:num="1"/>
          <w:docGrid w:type="lines" w:linePitch="312" w:charSpace="0"/>
        </w:sectPr>
      </w:pPr>
    </w:p>
    <w:tbl>
      <w:tblPr>
        <w:tblStyle w:val="27"/>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5"/>
        <w:gridCol w:w="4582"/>
      </w:tblGrid>
      <w:tr w14:paraId="68A4D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5" w:hRule="atLeast"/>
          <w:jc w:val="center"/>
        </w:trPr>
        <w:tc>
          <w:tcPr>
            <w:tcW w:w="4515" w:type="dxa"/>
          </w:tcPr>
          <w:p w14:paraId="6B2B338E">
            <w:pPr>
              <w:pStyle w:val="106"/>
              <w:outlineLvl w:val="9"/>
              <w:rPr>
                <w:rFonts w:eastAsia="宋体"/>
                <w:sz w:val="24"/>
              </w:rPr>
            </w:pPr>
          </w:p>
          <w:p w14:paraId="4510A60B">
            <w:pPr>
              <w:pStyle w:val="106"/>
              <w:spacing w:before="1" w:line="583" w:lineRule="auto"/>
              <w:ind w:right="2836"/>
              <w:outlineLvl w:val="9"/>
              <w:rPr>
                <w:rFonts w:eastAsia="宋体"/>
                <w:b/>
                <w:spacing w:val="-10"/>
                <w:sz w:val="24"/>
              </w:rPr>
            </w:pPr>
            <w:r>
              <w:rPr>
                <w:rFonts w:hint="eastAsia" w:eastAsia="宋体"/>
                <w:b/>
                <w:spacing w:val="-10"/>
                <w:sz w:val="24"/>
              </w:rPr>
              <w:t>甲方（盖章）：</w:t>
            </w:r>
          </w:p>
          <w:p w14:paraId="7B45118D">
            <w:pPr>
              <w:pStyle w:val="106"/>
              <w:spacing w:before="1" w:line="583" w:lineRule="auto"/>
              <w:ind w:right="2836"/>
              <w:outlineLvl w:val="9"/>
              <w:rPr>
                <w:rFonts w:eastAsia="宋体"/>
                <w:b/>
                <w:sz w:val="28"/>
                <w:szCs w:val="28"/>
              </w:rPr>
            </w:pPr>
            <w:r>
              <w:rPr>
                <w:rFonts w:hint="eastAsia" w:eastAsia="宋体"/>
                <w:b/>
                <w:spacing w:val="-10"/>
                <w:sz w:val="24"/>
              </w:rPr>
              <w:t>地址：</w:t>
            </w:r>
          </w:p>
          <w:p w14:paraId="39E05585">
            <w:pPr>
              <w:pStyle w:val="106"/>
              <w:spacing w:line="585" w:lineRule="auto"/>
              <w:ind w:right="3695"/>
              <w:outlineLvl w:val="9"/>
              <w:rPr>
                <w:rFonts w:eastAsia="宋体"/>
                <w:b/>
                <w:sz w:val="24"/>
              </w:rPr>
            </w:pPr>
            <w:r>
              <w:rPr>
                <w:rFonts w:hint="eastAsia" w:eastAsia="宋体"/>
                <w:b/>
                <w:spacing w:val="-13"/>
                <w:sz w:val="24"/>
              </w:rPr>
              <w:t xml:space="preserve">电话： </w:t>
            </w:r>
          </w:p>
        </w:tc>
        <w:tc>
          <w:tcPr>
            <w:tcW w:w="4582" w:type="dxa"/>
          </w:tcPr>
          <w:p w14:paraId="5A93048D">
            <w:pPr>
              <w:pStyle w:val="106"/>
              <w:outlineLvl w:val="9"/>
              <w:rPr>
                <w:rFonts w:eastAsia="宋体"/>
                <w:sz w:val="24"/>
              </w:rPr>
            </w:pPr>
          </w:p>
          <w:p w14:paraId="58CA9F47">
            <w:pPr>
              <w:pStyle w:val="106"/>
              <w:spacing w:before="1" w:line="583" w:lineRule="auto"/>
              <w:ind w:right="2836"/>
              <w:outlineLvl w:val="9"/>
              <w:rPr>
                <w:rFonts w:eastAsia="宋体"/>
                <w:b/>
                <w:spacing w:val="-12"/>
                <w:sz w:val="24"/>
              </w:rPr>
            </w:pPr>
            <w:r>
              <w:rPr>
                <w:rFonts w:hint="eastAsia" w:eastAsia="宋体"/>
                <w:b/>
                <w:spacing w:val="-10"/>
                <w:sz w:val="24"/>
              </w:rPr>
              <w:t>乙方</w:t>
            </w:r>
            <w:r>
              <w:rPr>
                <w:rFonts w:hint="eastAsia" w:eastAsia="宋体"/>
                <w:b/>
                <w:spacing w:val="-8"/>
                <w:sz w:val="24"/>
              </w:rPr>
              <w:t>（</w:t>
            </w:r>
            <w:r>
              <w:rPr>
                <w:rFonts w:hint="eastAsia" w:eastAsia="宋体"/>
                <w:b/>
                <w:spacing w:val="-10"/>
                <w:sz w:val="24"/>
              </w:rPr>
              <w:t>盖章</w:t>
            </w:r>
            <w:r>
              <w:rPr>
                <w:rFonts w:hint="eastAsia" w:eastAsia="宋体"/>
                <w:b/>
                <w:spacing w:val="-12"/>
                <w:sz w:val="24"/>
              </w:rPr>
              <w:t xml:space="preserve">）： </w:t>
            </w:r>
          </w:p>
          <w:p w14:paraId="7A87019A">
            <w:pPr>
              <w:pStyle w:val="106"/>
              <w:spacing w:before="1" w:line="583" w:lineRule="auto"/>
              <w:ind w:left="108" w:right="2836"/>
              <w:outlineLvl w:val="9"/>
              <w:rPr>
                <w:rFonts w:eastAsia="宋体"/>
                <w:b/>
                <w:sz w:val="24"/>
              </w:rPr>
            </w:pPr>
            <w:r>
              <w:rPr>
                <w:rFonts w:hint="eastAsia" w:eastAsia="宋体"/>
                <w:b/>
                <w:spacing w:val="-7"/>
                <w:sz w:val="24"/>
              </w:rPr>
              <w:t>地址：</w:t>
            </w:r>
          </w:p>
          <w:p w14:paraId="06059CA3">
            <w:pPr>
              <w:pStyle w:val="106"/>
              <w:spacing w:line="585" w:lineRule="auto"/>
              <w:ind w:right="3760"/>
              <w:outlineLvl w:val="9"/>
              <w:rPr>
                <w:rFonts w:eastAsia="宋体"/>
                <w:b/>
                <w:sz w:val="24"/>
              </w:rPr>
            </w:pPr>
            <w:r>
              <w:rPr>
                <w:rFonts w:hint="eastAsia" w:eastAsia="宋体"/>
                <w:b/>
                <w:spacing w:val="-13"/>
                <w:sz w:val="24"/>
              </w:rPr>
              <w:t xml:space="preserve">电话： </w:t>
            </w:r>
          </w:p>
        </w:tc>
      </w:tr>
      <w:tr w14:paraId="4304C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jc w:val="center"/>
        </w:trPr>
        <w:tc>
          <w:tcPr>
            <w:tcW w:w="4515" w:type="dxa"/>
          </w:tcPr>
          <w:p w14:paraId="5FD7A3EB">
            <w:pPr>
              <w:pStyle w:val="106"/>
              <w:outlineLvl w:val="9"/>
              <w:rPr>
                <w:rFonts w:eastAsia="宋体"/>
                <w:sz w:val="24"/>
              </w:rPr>
            </w:pPr>
          </w:p>
          <w:p w14:paraId="4E9CC6D8">
            <w:pPr>
              <w:pStyle w:val="106"/>
              <w:spacing w:before="10"/>
              <w:outlineLvl w:val="9"/>
              <w:rPr>
                <w:rFonts w:eastAsia="宋体"/>
                <w:sz w:val="18"/>
              </w:rPr>
            </w:pPr>
          </w:p>
          <w:p w14:paraId="290A4333">
            <w:pPr>
              <w:pStyle w:val="106"/>
              <w:tabs>
                <w:tab w:val="left" w:pos="778"/>
              </w:tabs>
              <w:spacing w:before="1" w:line="583" w:lineRule="auto"/>
              <w:ind w:left="106" w:right="3001"/>
              <w:outlineLvl w:val="9"/>
              <w:rPr>
                <w:rFonts w:eastAsia="宋体"/>
                <w:b/>
                <w:sz w:val="24"/>
              </w:rPr>
            </w:pPr>
            <w:r>
              <w:rPr>
                <w:rFonts w:hint="eastAsia" w:eastAsia="宋体"/>
                <w:b/>
                <w:spacing w:val="-10"/>
                <w:sz w:val="24"/>
              </w:rPr>
              <w:t>法定</w:t>
            </w:r>
            <w:r>
              <w:rPr>
                <w:rFonts w:hint="eastAsia" w:eastAsia="宋体"/>
                <w:b/>
                <w:spacing w:val="-8"/>
                <w:sz w:val="24"/>
              </w:rPr>
              <w:t>代</w:t>
            </w:r>
            <w:r>
              <w:rPr>
                <w:rFonts w:hint="eastAsia" w:eastAsia="宋体"/>
                <w:b/>
                <w:spacing w:val="-10"/>
                <w:sz w:val="24"/>
              </w:rPr>
              <w:t>表人</w:t>
            </w:r>
            <w:r>
              <w:rPr>
                <w:rFonts w:hint="eastAsia" w:eastAsia="宋体"/>
                <w:b/>
                <w:spacing w:val="-14"/>
                <w:sz w:val="24"/>
              </w:rPr>
              <w:t xml:space="preserve">： </w:t>
            </w:r>
            <w:r>
              <w:rPr>
                <w:rFonts w:hint="eastAsia" w:eastAsia="宋体"/>
                <w:b/>
                <w:sz w:val="24"/>
                <w:lang w:val="en-US"/>
              </w:rPr>
              <w:t>被授权人</w:t>
            </w:r>
            <w:r>
              <w:rPr>
                <w:rFonts w:hint="eastAsia" w:eastAsia="宋体"/>
                <w:b/>
                <w:sz w:val="24"/>
              </w:rPr>
              <w:t>： 日</w:t>
            </w:r>
            <w:r>
              <w:rPr>
                <w:rFonts w:hint="eastAsia" w:eastAsia="宋体"/>
                <w:b/>
                <w:sz w:val="24"/>
              </w:rPr>
              <w:tab/>
            </w:r>
            <w:r>
              <w:rPr>
                <w:rFonts w:hint="eastAsia" w:eastAsia="宋体"/>
                <w:b/>
                <w:spacing w:val="-10"/>
                <w:sz w:val="24"/>
              </w:rPr>
              <w:t>期</w:t>
            </w:r>
            <w:r>
              <w:rPr>
                <w:rFonts w:hint="eastAsia" w:eastAsia="宋体"/>
                <w:b/>
                <w:sz w:val="24"/>
              </w:rPr>
              <w:t>：</w:t>
            </w:r>
          </w:p>
        </w:tc>
        <w:tc>
          <w:tcPr>
            <w:tcW w:w="4582" w:type="dxa"/>
          </w:tcPr>
          <w:p w14:paraId="23E80F71">
            <w:pPr>
              <w:pStyle w:val="106"/>
              <w:outlineLvl w:val="9"/>
              <w:rPr>
                <w:rFonts w:eastAsia="宋体"/>
                <w:sz w:val="24"/>
              </w:rPr>
            </w:pPr>
          </w:p>
          <w:p w14:paraId="4831DC5A">
            <w:pPr>
              <w:pStyle w:val="106"/>
              <w:spacing w:before="10"/>
              <w:outlineLvl w:val="9"/>
              <w:rPr>
                <w:rFonts w:eastAsia="宋体"/>
                <w:sz w:val="18"/>
              </w:rPr>
            </w:pPr>
          </w:p>
          <w:p w14:paraId="5FE6F2A2">
            <w:pPr>
              <w:pStyle w:val="106"/>
              <w:tabs>
                <w:tab w:val="left" w:pos="780"/>
              </w:tabs>
              <w:spacing w:before="1" w:line="583" w:lineRule="auto"/>
              <w:ind w:left="108" w:right="3067"/>
              <w:outlineLvl w:val="9"/>
              <w:rPr>
                <w:rFonts w:eastAsia="宋体"/>
                <w:b/>
                <w:sz w:val="24"/>
              </w:rPr>
            </w:pPr>
            <w:r>
              <w:rPr>
                <w:rFonts w:hint="eastAsia" w:eastAsia="宋体"/>
                <w:b/>
                <w:spacing w:val="-10"/>
                <w:sz w:val="24"/>
              </w:rPr>
              <w:t>法定</w:t>
            </w:r>
            <w:r>
              <w:rPr>
                <w:rFonts w:hint="eastAsia" w:eastAsia="宋体"/>
                <w:b/>
                <w:spacing w:val="-8"/>
                <w:sz w:val="24"/>
              </w:rPr>
              <w:t>代</w:t>
            </w:r>
            <w:r>
              <w:rPr>
                <w:rFonts w:hint="eastAsia" w:eastAsia="宋体"/>
                <w:b/>
                <w:spacing w:val="-10"/>
                <w:sz w:val="24"/>
              </w:rPr>
              <w:t>表人</w:t>
            </w:r>
            <w:r>
              <w:rPr>
                <w:rFonts w:hint="eastAsia" w:eastAsia="宋体"/>
                <w:b/>
                <w:spacing w:val="-15"/>
                <w:sz w:val="24"/>
              </w:rPr>
              <w:t xml:space="preserve">： </w:t>
            </w:r>
            <w:r>
              <w:rPr>
                <w:rFonts w:hint="eastAsia" w:eastAsia="宋体"/>
                <w:b/>
                <w:sz w:val="24"/>
                <w:lang w:val="en-US"/>
              </w:rPr>
              <w:t>被授权人</w:t>
            </w:r>
            <w:r>
              <w:rPr>
                <w:rFonts w:hint="eastAsia" w:eastAsia="宋体"/>
                <w:b/>
                <w:sz w:val="24"/>
              </w:rPr>
              <w:t>： 日</w:t>
            </w:r>
            <w:r>
              <w:rPr>
                <w:rFonts w:hint="eastAsia" w:eastAsia="宋体"/>
                <w:b/>
                <w:sz w:val="24"/>
              </w:rPr>
              <w:tab/>
            </w:r>
            <w:r>
              <w:rPr>
                <w:rFonts w:hint="eastAsia" w:eastAsia="宋体"/>
                <w:b/>
                <w:spacing w:val="-10"/>
                <w:sz w:val="24"/>
              </w:rPr>
              <w:t>期</w:t>
            </w:r>
            <w:r>
              <w:rPr>
                <w:rFonts w:hint="eastAsia" w:eastAsia="宋体"/>
                <w:b/>
                <w:sz w:val="24"/>
              </w:rPr>
              <w:t>：</w:t>
            </w:r>
          </w:p>
        </w:tc>
      </w:tr>
      <w:tr w14:paraId="07CF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6" w:hRule="atLeast"/>
          <w:jc w:val="center"/>
        </w:trPr>
        <w:tc>
          <w:tcPr>
            <w:tcW w:w="4515" w:type="dxa"/>
          </w:tcPr>
          <w:p w14:paraId="66892BB3">
            <w:pPr>
              <w:pStyle w:val="106"/>
              <w:spacing w:before="5"/>
              <w:outlineLvl w:val="9"/>
              <w:rPr>
                <w:rFonts w:eastAsia="宋体"/>
                <w:sz w:val="27"/>
              </w:rPr>
            </w:pPr>
          </w:p>
          <w:p w14:paraId="67816CED">
            <w:pPr>
              <w:pStyle w:val="106"/>
              <w:tabs>
                <w:tab w:val="left" w:pos="557"/>
              </w:tabs>
              <w:spacing w:line="583" w:lineRule="auto"/>
              <w:ind w:left="106" w:right="3462"/>
              <w:outlineLvl w:val="9"/>
              <w:rPr>
                <w:rFonts w:eastAsia="宋体"/>
                <w:b/>
                <w:sz w:val="24"/>
              </w:rPr>
            </w:pPr>
            <w:r>
              <w:rPr>
                <w:rFonts w:hint="eastAsia" w:eastAsia="宋体"/>
                <w:b/>
                <w:sz w:val="24"/>
              </w:rPr>
              <w:t>账</w:t>
            </w:r>
            <w:r>
              <w:rPr>
                <w:rFonts w:hint="eastAsia" w:eastAsia="宋体"/>
                <w:b/>
                <w:sz w:val="24"/>
              </w:rPr>
              <w:tab/>
            </w:r>
            <w:r>
              <w:rPr>
                <w:rFonts w:hint="eastAsia" w:eastAsia="宋体"/>
                <w:b/>
                <w:spacing w:val="-10"/>
                <w:sz w:val="24"/>
              </w:rPr>
              <w:t>号</w:t>
            </w:r>
            <w:r>
              <w:rPr>
                <w:rFonts w:hint="eastAsia" w:eastAsia="宋体"/>
                <w:b/>
                <w:sz w:val="24"/>
              </w:rPr>
              <w:t xml:space="preserve">： </w:t>
            </w:r>
            <w:r>
              <w:rPr>
                <w:rFonts w:hint="eastAsia" w:eastAsia="宋体"/>
                <w:b/>
                <w:spacing w:val="-10"/>
                <w:sz w:val="24"/>
              </w:rPr>
              <w:t>开户</w:t>
            </w:r>
            <w:r>
              <w:rPr>
                <w:rFonts w:hint="eastAsia" w:eastAsia="宋体"/>
                <w:b/>
                <w:spacing w:val="-8"/>
                <w:sz w:val="24"/>
              </w:rPr>
              <w:t>行</w:t>
            </w:r>
            <w:r>
              <w:rPr>
                <w:rFonts w:hint="eastAsia" w:eastAsia="宋体"/>
                <w:b/>
                <w:spacing w:val="-15"/>
                <w:sz w:val="24"/>
              </w:rPr>
              <w:t>：</w:t>
            </w:r>
          </w:p>
        </w:tc>
        <w:tc>
          <w:tcPr>
            <w:tcW w:w="4582" w:type="dxa"/>
          </w:tcPr>
          <w:p w14:paraId="1B5DA24D">
            <w:pPr>
              <w:pStyle w:val="106"/>
              <w:spacing w:before="5"/>
              <w:outlineLvl w:val="9"/>
              <w:rPr>
                <w:rFonts w:eastAsia="宋体"/>
                <w:sz w:val="27"/>
              </w:rPr>
            </w:pPr>
          </w:p>
          <w:p w14:paraId="45FE45F5">
            <w:pPr>
              <w:pStyle w:val="106"/>
              <w:tabs>
                <w:tab w:val="left" w:pos="559"/>
              </w:tabs>
              <w:spacing w:line="583" w:lineRule="auto"/>
              <w:ind w:left="108" w:right="3527"/>
              <w:outlineLvl w:val="9"/>
              <w:rPr>
                <w:rFonts w:eastAsia="宋体"/>
                <w:b/>
                <w:sz w:val="24"/>
              </w:rPr>
            </w:pPr>
            <w:r>
              <w:rPr>
                <w:rFonts w:hint="eastAsia" w:eastAsia="宋体"/>
                <w:b/>
                <w:sz w:val="24"/>
              </w:rPr>
              <w:t>账</w:t>
            </w:r>
            <w:r>
              <w:rPr>
                <w:rFonts w:hint="eastAsia" w:eastAsia="宋体"/>
                <w:b/>
                <w:sz w:val="24"/>
              </w:rPr>
              <w:tab/>
            </w:r>
            <w:r>
              <w:rPr>
                <w:rFonts w:hint="eastAsia" w:eastAsia="宋体"/>
                <w:b/>
                <w:spacing w:val="-10"/>
                <w:sz w:val="24"/>
              </w:rPr>
              <w:t>号</w:t>
            </w:r>
            <w:r>
              <w:rPr>
                <w:rFonts w:hint="eastAsia" w:eastAsia="宋体"/>
                <w:b/>
                <w:sz w:val="24"/>
              </w:rPr>
              <w:t xml:space="preserve">： </w:t>
            </w:r>
            <w:r>
              <w:rPr>
                <w:rFonts w:hint="eastAsia" w:eastAsia="宋体"/>
                <w:b/>
                <w:spacing w:val="-10"/>
                <w:sz w:val="24"/>
              </w:rPr>
              <w:t>开户</w:t>
            </w:r>
            <w:r>
              <w:rPr>
                <w:rFonts w:hint="eastAsia" w:eastAsia="宋体"/>
                <w:b/>
                <w:spacing w:val="-8"/>
                <w:sz w:val="24"/>
              </w:rPr>
              <w:t>行</w:t>
            </w:r>
            <w:r>
              <w:rPr>
                <w:rFonts w:hint="eastAsia" w:eastAsia="宋体"/>
                <w:b/>
                <w:spacing w:val="-15"/>
                <w:sz w:val="24"/>
              </w:rPr>
              <w:t>：</w:t>
            </w:r>
          </w:p>
        </w:tc>
      </w:tr>
      <w:tr w14:paraId="2E18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9" w:hRule="atLeast"/>
          <w:jc w:val="center"/>
        </w:trPr>
        <w:tc>
          <w:tcPr>
            <w:tcW w:w="9097" w:type="dxa"/>
            <w:gridSpan w:val="2"/>
          </w:tcPr>
          <w:p w14:paraId="7510CB5E">
            <w:pPr>
              <w:pStyle w:val="106"/>
              <w:spacing w:before="156"/>
              <w:outlineLvl w:val="9"/>
              <w:rPr>
                <w:rFonts w:eastAsia="宋体"/>
                <w:b/>
                <w:sz w:val="24"/>
              </w:rPr>
            </w:pPr>
            <w:r>
              <w:rPr>
                <w:rFonts w:hint="eastAsia" w:eastAsia="宋体"/>
                <w:b/>
                <w:sz w:val="24"/>
              </w:rPr>
              <w:t>代理机构（盖章）</w:t>
            </w:r>
          </w:p>
          <w:p w14:paraId="0660053A">
            <w:pPr>
              <w:pStyle w:val="106"/>
              <w:spacing w:before="156"/>
              <w:outlineLvl w:val="9"/>
              <w:rPr>
                <w:rFonts w:eastAsia="宋体"/>
                <w:b/>
                <w:sz w:val="24"/>
              </w:rPr>
            </w:pPr>
          </w:p>
          <w:p w14:paraId="5A9CDBDE">
            <w:pPr>
              <w:pStyle w:val="106"/>
              <w:spacing w:before="156"/>
              <w:ind w:left="106"/>
              <w:outlineLvl w:val="9"/>
              <w:rPr>
                <w:rFonts w:eastAsia="宋体"/>
                <w:b/>
                <w:spacing w:val="-8"/>
                <w:sz w:val="24"/>
              </w:rPr>
            </w:pPr>
            <w:r>
              <w:rPr>
                <w:rFonts w:hint="eastAsia" w:eastAsia="宋体"/>
                <w:b/>
                <w:sz w:val="24"/>
              </w:rPr>
              <w:t>地</w:t>
            </w:r>
            <w:r>
              <w:rPr>
                <w:rFonts w:hint="eastAsia" w:eastAsia="宋体"/>
                <w:b/>
                <w:sz w:val="24"/>
              </w:rPr>
              <w:tab/>
            </w:r>
            <w:r>
              <w:rPr>
                <w:rFonts w:hint="eastAsia" w:eastAsia="宋体"/>
                <w:b/>
                <w:spacing w:val="-8"/>
                <w:sz w:val="24"/>
              </w:rPr>
              <w:t>址：</w:t>
            </w:r>
          </w:p>
          <w:p w14:paraId="5C8B009A">
            <w:pPr>
              <w:pStyle w:val="106"/>
              <w:spacing w:before="156"/>
              <w:ind w:left="106"/>
              <w:outlineLvl w:val="9"/>
              <w:rPr>
                <w:rFonts w:eastAsia="宋体"/>
                <w:b/>
                <w:spacing w:val="-8"/>
                <w:sz w:val="24"/>
                <w:lang w:val="en-US"/>
              </w:rPr>
            </w:pPr>
          </w:p>
          <w:p w14:paraId="2AD39BC1">
            <w:pPr>
              <w:pStyle w:val="106"/>
              <w:tabs>
                <w:tab w:val="left" w:pos="557"/>
              </w:tabs>
              <w:spacing w:line="583" w:lineRule="auto"/>
              <w:ind w:left="106" w:right="3803"/>
              <w:outlineLvl w:val="9"/>
              <w:rPr>
                <w:rFonts w:eastAsia="宋体"/>
                <w:sz w:val="24"/>
                <w:lang w:val="en-US"/>
              </w:rPr>
            </w:pPr>
            <w:r>
              <w:rPr>
                <w:rFonts w:hint="eastAsia" w:eastAsia="宋体"/>
                <w:b/>
                <w:sz w:val="24"/>
              </w:rPr>
              <w:t>电</w:t>
            </w:r>
            <w:r>
              <w:rPr>
                <w:rFonts w:hint="eastAsia" w:eastAsia="宋体"/>
                <w:b/>
                <w:sz w:val="24"/>
              </w:rPr>
              <w:tab/>
            </w:r>
            <w:r>
              <w:rPr>
                <w:rFonts w:hint="eastAsia" w:eastAsia="宋体"/>
                <w:b/>
                <w:spacing w:val="-8"/>
                <w:sz w:val="24"/>
              </w:rPr>
              <w:t>话</w:t>
            </w:r>
            <w:r>
              <w:rPr>
                <w:rFonts w:hint="eastAsia" w:eastAsia="宋体"/>
                <w:b/>
                <w:sz w:val="24"/>
              </w:rPr>
              <w:t>:</w:t>
            </w:r>
          </w:p>
        </w:tc>
      </w:tr>
    </w:tbl>
    <w:p w14:paraId="36D3E297">
      <w:pPr>
        <w:autoSpaceDE w:val="0"/>
        <w:autoSpaceDN w:val="0"/>
        <w:spacing w:line="516" w:lineRule="exact"/>
        <w:outlineLvl w:val="9"/>
        <w:rPr>
          <w:rStyle w:val="33"/>
          <w:rFonts w:ascii="宋体" w:hAnsi="宋体" w:eastAsia="宋体" w:cs="宋体"/>
          <w:sz w:val="24"/>
          <w:szCs w:val="24"/>
        </w:rPr>
      </w:pPr>
      <w:r>
        <w:rPr>
          <w:rFonts w:hint="eastAsia" w:ascii="宋体" w:hAnsi="宋体" w:eastAsia="宋体" w:cs="宋体"/>
          <w:b/>
          <w:bCs/>
          <w:spacing w:val="-6"/>
          <w:sz w:val="24"/>
          <w:szCs w:val="24"/>
        </w:rPr>
        <w:t>注：本合同中主要条款必须全部响应，但格式仅作为参考文本，合同签订双方可根据项目的具体要求进行修订。</w:t>
      </w:r>
    </w:p>
    <w:p w14:paraId="4E967092">
      <w:pPr>
        <w:outlineLvl w:val="9"/>
        <w:rPr>
          <w:rFonts w:ascii="宋体" w:hAnsi="宋体" w:eastAsia="宋体" w:cs="仿宋"/>
          <w:sz w:val="28"/>
          <w:szCs w:val="28"/>
        </w:rPr>
        <w:sectPr>
          <w:headerReference r:id="rId10" w:type="default"/>
          <w:pgSz w:w="11906" w:h="16838"/>
          <w:pgMar w:top="1440" w:right="1080" w:bottom="1440" w:left="1080" w:header="851" w:footer="992" w:gutter="0"/>
          <w:pgNumType w:fmt="decimal"/>
          <w:cols w:space="720" w:num="1"/>
          <w:docGrid w:linePitch="312" w:charSpace="0"/>
        </w:sectPr>
      </w:pPr>
    </w:p>
    <w:p w14:paraId="10261A49">
      <w:pPr>
        <w:adjustRightInd/>
        <w:snapToGrid/>
        <w:spacing w:after="0" w:line="360" w:lineRule="auto"/>
        <w:jc w:val="center"/>
        <w:textAlignment w:val="baseline"/>
        <w:outlineLvl w:val="9"/>
        <w:rPr>
          <w:rFonts w:ascii="宋体" w:hAnsi="宋体" w:eastAsia="宋体" w:cs="Times New Roman"/>
          <w:b/>
          <w:bCs/>
          <w:kern w:val="44"/>
          <w:sz w:val="30"/>
        </w:rPr>
      </w:pPr>
      <w:bookmarkStart w:id="127" w:name="_Toc32174"/>
      <w:bookmarkStart w:id="128" w:name="_Toc9709"/>
      <w:r>
        <w:rPr>
          <w:rFonts w:hint="eastAsia" w:ascii="宋体" w:hAnsi="宋体" w:eastAsia="宋体" w:cs="Times New Roman"/>
          <w:b/>
          <w:bCs/>
          <w:kern w:val="44"/>
          <w:sz w:val="30"/>
        </w:rPr>
        <w:t>第七章</w:t>
      </w:r>
      <w:bookmarkEnd w:id="127"/>
      <w:r>
        <w:rPr>
          <w:rFonts w:hint="eastAsia" w:ascii="宋体" w:hAnsi="宋体" w:eastAsia="宋体" w:cs="Times New Roman"/>
          <w:b/>
          <w:bCs/>
          <w:kern w:val="44"/>
          <w:sz w:val="30"/>
        </w:rPr>
        <w:t>、</w:t>
      </w:r>
      <w:bookmarkStart w:id="129" w:name="_Toc31301"/>
      <w:r>
        <w:rPr>
          <w:rFonts w:hint="eastAsia" w:ascii="宋体" w:hAnsi="宋体" w:eastAsia="宋体" w:cs="Times New Roman"/>
          <w:b/>
          <w:bCs/>
          <w:kern w:val="44"/>
          <w:sz w:val="30"/>
        </w:rPr>
        <w:t>投标文件格式及附件</w:t>
      </w:r>
      <w:bookmarkEnd w:id="128"/>
      <w:bookmarkEnd w:id="129"/>
    </w:p>
    <w:p w14:paraId="57F9E5DE">
      <w:pPr>
        <w:outlineLvl w:val="9"/>
        <w:rPr>
          <w:rFonts w:ascii="宋体" w:hAnsi="宋体" w:eastAsia="宋体" w:cs="宋体"/>
          <w:sz w:val="24"/>
          <w:szCs w:val="24"/>
        </w:rPr>
      </w:pPr>
      <w:bookmarkStart w:id="130" w:name="_Toc8478"/>
      <w:bookmarkStart w:id="131" w:name="_Toc4544"/>
      <w:bookmarkStart w:id="132" w:name="_Toc25475"/>
      <w:r>
        <w:rPr>
          <w:rFonts w:hint="eastAsia" w:ascii="宋体" w:hAnsi="宋体" w:eastAsia="宋体" w:cs="宋体"/>
          <w:sz w:val="24"/>
          <w:szCs w:val="24"/>
        </w:rPr>
        <w:t>附件1: 投标文件封面格式</w:t>
      </w:r>
      <w:bookmarkEnd w:id="130"/>
      <w:bookmarkEnd w:id="131"/>
      <w:bookmarkEnd w:id="132"/>
    </w:p>
    <w:p w14:paraId="0DD5B3A7">
      <w:pPr>
        <w:outlineLvl w:val="9"/>
        <w:rPr>
          <w:rFonts w:ascii="宋体" w:hAnsi="宋体" w:eastAsia="宋体" w:cs="宋体"/>
          <w:sz w:val="24"/>
          <w:szCs w:val="24"/>
        </w:rPr>
      </w:pPr>
      <w:bookmarkStart w:id="133" w:name="_Toc18914"/>
      <w:bookmarkStart w:id="134" w:name="_Toc14058"/>
      <w:bookmarkStart w:id="135" w:name="_Toc7203"/>
      <w:bookmarkStart w:id="136" w:name="_Toc28442"/>
      <w:r>
        <w:rPr>
          <w:rFonts w:hint="eastAsia" w:ascii="宋体" w:hAnsi="宋体" w:eastAsia="宋体" w:cs="宋体"/>
          <w:sz w:val="24"/>
          <w:szCs w:val="24"/>
        </w:rPr>
        <w:t>附件2: 投标函</w:t>
      </w:r>
      <w:bookmarkEnd w:id="133"/>
      <w:bookmarkEnd w:id="134"/>
      <w:bookmarkEnd w:id="135"/>
      <w:bookmarkEnd w:id="136"/>
    </w:p>
    <w:p w14:paraId="08005791">
      <w:pPr>
        <w:outlineLvl w:val="9"/>
        <w:rPr>
          <w:rFonts w:ascii="宋体" w:hAnsi="宋体" w:eastAsia="宋体" w:cs="宋体"/>
          <w:sz w:val="24"/>
          <w:szCs w:val="24"/>
        </w:rPr>
      </w:pPr>
      <w:bookmarkStart w:id="137" w:name="_Toc20862"/>
      <w:bookmarkStart w:id="138" w:name="_Toc32154"/>
      <w:bookmarkStart w:id="139" w:name="_Toc8429"/>
      <w:bookmarkStart w:id="140" w:name="_Toc22478"/>
      <w:r>
        <w:rPr>
          <w:rFonts w:hint="eastAsia" w:ascii="宋体" w:hAnsi="宋体" w:eastAsia="宋体" w:cs="宋体"/>
          <w:sz w:val="24"/>
          <w:szCs w:val="24"/>
        </w:rPr>
        <w:t>附件3：法定代表人身份证明</w:t>
      </w:r>
      <w:bookmarkEnd w:id="137"/>
      <w:bookmarkEnd w:id="138"/>
      <w:bookmarkEnd w:id="139"/>
      <w:bookmarkEnd w:id="140"/>
    </w:p>
    <w:p w14:paraId="5D01A47B">
      <w:pPr>
        <w:outlineLvl w:val="9"/>
        <w:rPr>
          <w:rFonts w:ascii="宋体" w:hAnsi="宋体" w:eastAsia="宋体" w:cs="宋体"/>
          <w:sz w:val="24"/>
          <w:szCs w:val="24"/>
        </w:rPr>
      </w:pPr>
      <w:bookmarkStart w:id="141" w:name="_Toc1916"/>
      <w:bookmarkStart w:id="142" w:name="_Toc12782"/>
      <w:bookmarkStart w:id="143" w:name="_Toc12490"/>
      <w:bookmarkStart w:id="144" w:name="_Toc18231"/>
      <w:r>
        <w:rPr>
          <w:rFonts w:hint="eastAsia" w:ascii="宋体" w:hAnsi="宋体" w:eastAsia="宋体" w:cs="宋体"/>
          <w:sz w:val="24"/>
          <w:szCs w:val="24"/>
        </w:rPr>
        <w:t>附件4：法人授权委托函</w:t>
      </w:r>
      <w:bookmarkEnd w:id="141"/>
      <w:bookmarkEnd w:id="142"/>
      <w:bookmarkEnd w:id="143"/>
      <w:bookmarkEnd w:id="144"/>
    </w:p>
    <w:p w14:paraId="0DFA2B48">
      <w:pPr>
        <w:outlineLvl w:val="9"/>
        <w:rPr>
          <w:rFonts w:ascii="宋体" w:hAnsi="宋体" w:eastAsia="宋体" w:cs="宋体"/>
          <w:sz w:val="24"/>
          <w:szCs w:val="24"/>
        </w:rPr>
      </w:pPr>
      <w:bookmarkStart w:id="145" w:name="_Toc21750"/>
      <w:bookmarkStart w:id="146" w:name="_Toc22513"/>
      <w:bookmarkStart w:id="147" w:name="_Toc25885"/>
      <w:bookmarkStart w:id="148" w:name="_Toc12856"/>
      <w:r>
        <w:rPr>
          <w:rFonts w:hint="eastAsia" w:ascii="宋体" w:hAnsi="宋体" w:eastAsia="宋体" w:cs="宋体"/>
          <w:sz w:val="24"/>
          <w:szCs w:val="24"/>
        </w:rPr>
        <w:t>附件5：投标报价表</w:t>
      </w:r>
      <w:bookmarkEnd w:id="145"/>
      <w:bookmarkEnd w:id="146"/>
      <w:bookmarkEnd w:id="147"/>
      <w:bookmarkEnd w:id="148"/>
    </w:p>
    <w:p w14:paraId="0E9CAD72">
      <w:pPr>
        <w:outlineLvl w:val="9"/>
        <w:rPr>
          <w:rFonts w:hint="default" w:ascii="宋体" w:hAnsi="宋体" w:eastAsia="宋体" w:cs="宋体"/>
          <w:sz w:val="24"/>
          <w:szCs w:val="24"/>
          <w:lang w:val="en-US" w:eastAsia="zh-CN"/>
        </w:rPr>
      </w:pPr>
      <w:r>
        <w:rPr>
          <w:rFonts w:hint="eastAsia" w:ascii="宋体" w:hAnsi="宋体" w:eastAsia="宋体" w:cs="宋体"/>
          <w:sz w:val="24"/>
          <w:szCs w:val="24"/>
        </w:rPr>
        <w:t>附件6：</w:t>
      </w:r>
      <w:bookmarkStart w:id="149" w:name="_Toc19779"/>
      <w:bookmarkStart w:id="150" w:name="_Toc18771"/>
      <w:bookmarkStart w:id="151" w:name="_Toc29610"/>
      <w:r>
        <w:rPr>
          <w:rFonts w:hint="eastAsia" w:ascii="宋体" w:hAnsi="宋体" w:eastAsia="宋体" w:cs="宋体"/>
          <w:sz w:val="24"/>
          <w:szCs w:val="24"/>
          <w:lang w:val="en-US" w:eastAsia="zh-CN"/>
        </w:rPr>
        <w:t>投标方案说明书</w:t>
      </w:r>
    </w:p>
    <w:p w14:paraId="34A8FD9D">
      <w:pPr>
        <w:outlineLvl w:val="9"/>
        <w:rPr>
          <w:rFonts w:ascii="宋体" w:hAnsi="宋体" w:eastAsia="宋体" w:cs="宋体"/>
          <w:sz w:val="24"/>
          <w:szCs w:val="24"/>
        </w:rPr>
      </w:pPr>
      <w:r>
        <w:rPr>
          <w:rFonts w:hint="eastAsia" w:ascii="宋体" w:hAnsi="宋体" w:eastAsia="宋体" w:cs="宋体"/>
          <w:sz w:val="24"/>
          <w:szCs w:val="24"/>
        </w:rPr>
        <w:t>附件7：投标材料真实性保证承诺书</w:t>
      </w:r>
      <w:bookmarkEnd w:id="149"/>
      <w:bookmarkEnd w:id="150"/>
      <w:bookmarkEnd w:id="151"/>
    </w:p>
    <w:p w14:paraId="0953F75D">
      <w:pPr>
        <w:outlineLvl w:val="9"/>
        <w:rPr>
          <w:rFonts w:ascii="宋体" w:hAnsi="宋体" w:eastAsia="宋体" w:cs="宋体"/>
          <w:sz w:val="24"/>
          <w:szCs w:val="24"/>
        </w:rPr>
      </w:pPr>
      <w:bookmarkStart w:id="152" w:name="_Toc17893"/>
      <w:bookmarkStart w:id="153" w:name="_Toc14128"/>
      <w:bookmarkStart w:id="154" w:name="_Toc20879"/>
      <w:bookmarkStart w:id="155" w:name="_Toc28286"/>
      <w:r>
        <w:rPr>
          <w:rFonts w:hint="eastAsia" w:ascii="宋体" w:hAnsi="宋体" w:eastAsia="宋体" w:cs="宋体"/>
          <w:sz w:val="24"/>
          <w:szCs w:val="24"/>
        </w:rPr>
        <w:t>附件8：投标人资质证明文件及认为有必要的其他相关证明材料</w:t>
      </w:r>
      <w:bookmarkEnd w:id="152"/>
      <w:bookmarkEnd w:id="153"/>
      <w:bookmarkEnd w:id="154"/>
      <w:bookmarkEnd w:id="155"/>
    </w:p>
    <w:p w14:paraId="62006FAC">
      <w:pPr>
        <w:outlineLvl w:val="9"/>
        <w:rPr>
          <w:rFonts w:ascii="宋体" w:hAnsi="宋体" w:eastAsia="宋体" w:cs="宋体"/>
          <w:sz w:val="24"/>
          <w:szCs w:val="24"/>
        </w:rPr>
      </w:pPr>
      <w:r>
        <w:rPr>
          <w:rFonts w:hint="eastAsia" w:ascii="宋体" w:hAnsi="宋体" w:eastAsia="宋体" w:cs="宋体"/>
          <w:sz w:val="24"/>
          <w:szCs w:val="24"/>
        </w:rPr>
        <w:t>附件9：商务偏离表</w:t>
      </w:r>
    </w:p>
    <w:p w14:paraId="5C8329DE">
      <w:pPr>
        <w:outlineLvl w:val="9"/>
        <w:rPr>
          <w:rFonts w:ascii="宋体" w:hAnsi="宋体" w:eastAsia="宋体" w:cs="宋体"/>
          <w:sz w:val="24"/>
          <w:szCs w:val="24"/>
        </w:rPr>
      </w:pPr>
      <w:bookmarkStart w:id="156" w:name="_Toc24039"/>
      <w:bookmarkStart w:id="157" w:name="_Toc6497"/>
      <w:bookmarkStart w:id="158" w:name="_Toc14469"/>
      <w:bookmarkStart w:id="159" w:name="_Toc19802"/>
      <w:r>
        <w:rPr>
          <w:rFonts w:hint="eastAsia" w:ascii="宋体" w:hAnsi="宋体" w:eastAsia="宋体" w:cs="宋体"/>
          <w:sz w:val="24"/>
          <w:szCs w:val="24"/>
        </w:rPr>
        <w:t>附件10</w:t>
      </w:r>
      <w:bookmarkEnd w:id="156"/>
      <w:bookmarkEnd w:id="157"/>
      <w:bookmarkEnd w:id="158"/>
      <w:bookmarkEnd w:id="159"/>
      <w:bookmarkStart w:id="160" w:name="_Toc27625"/>
      <w:bookmarkStart w:id="161" w:name="_Toc5871"/>
      <w:bookmarkStart w:id="162" w:name="_Toc30321"/>
      <w:bookmarkStart w:id="163" w:name="_Toc9930"/>
      <w:r>
        <w:rPr>
          <w:rFonts w:hint="eastAsia" w:ascii="宋体" w:hAnsi="宋体" w:eastAsia="宋体" w:cs="宋体"/>
          <w:sz w:val="24"/>
          <w:szCs w:val="24"/>
        </w:rPr>
        <w:t>：优惠条件承诺书</w:t>
      </w:r>
      <w:bookmarkEnd w:id="160"/>
      <w:bookmarkEnd w:id="161"/>
      <w:bookmarkEnd w:id="162"/>
      <w:bookmarkEnd w:id="163"/>
    </w:p>
    <w:p w14:paraId="43866FCA">
      <w:pPr>
        <w:outlineLvl w:val="9"/>
        <w:rPr>
          <w:rFonts w:ascii="宋体" w:hAnsi="宋体" w:eastAsia="宋体" w:cs="宋体"/>
          <w:sz w:val="24"/>
          <w:szCs w:val="24"/>
        </w:rPr>
      </w:pPr>
      <w:bookmarkStart w:id="164" w:name="_Toc25200"/>
      <w:bookmarkStart w:id="165" w:name="_Toc6060"/>
      <w:bookmarkStart w:id="166" w:name="_Toc19824"/>
      <w:bookmarkStart w:id="167" w:name="_Toc23992"/>
      <w:r>
        <w:rPr>
          <w:rFonts w:hint="eastAsia" w:ascii="宋体" w:hAnsi="宋体" w:eastAsia="宋体" w:cs="宋体"/>
          <w:sz w:val="24"/>
          <w:szCs w:val="24"/>
        </w:rPr>
        <w:t>附件11</w:t>
      </w:r>
      <w:bookmarkEnd w:id="164"/>
      <w:bookmarkEnd w:id="165"/>
      <w:bookmarkEnd w:id="166"/>
      <w:bookmarkEnd w:id="167"/>
      <w:bookmarkStart w:id="168" w:name="_Toc8973"/>
      <w:bookmarkStart w:id="169" w:name="_Toc28591"/>
      <w:bookmarkStart w:id="170" w:name="_Toc23249"/>
      <w:bookmarkStart w:id="171" w:name="_Toc1857"/>
      <w:r>
        <w:rPr>
          <w:rFonts w:hint="eastAsia" w:ascii="宋体" w:hAnsi="宋体" w:eastAsia="宋体" w:cs="宋体"/>
          <w:sz w:val="24"/>
          <w:szCs w:val="24"/>
        </w:rPr>
        <w:t>：无重大违法记录声明</w:t>
      </w:r>
      <w:bookmarkEnd w:id="168"/>
      <w:bookmarkEnd w:id="169"/>
      <w:bookmarkEnd w:id="170"/>
      <w:bookmarkEnd w:id="171"/>
    </w:p>
    <w:p w14:paraId="0C9F7872">
      <w:pPr>
        <w:outlineLvl w:val="9"/>
        <w:rPr>
          <w:rFonts w:ascii="宋体" w:hAnsi="宋体" w:eastAsia="宋体" w:cs="宋体"/>
          <w:sz w:val="24"/>
          <w:szCs w:val="24"/>
        </w:rPr>
      </w:pPr>
      <w:bookmarkStart w:id="172" w:name="_Toc12724"/>
      <w:bookmarkStart w:id="173" w:name="_Toc22743"/>
      <w:bookmarkStart w:id="174" w:name="_Toc24308"/>
      <w:bookmarkStart w:id="175" w:name="_Toc1110"/>
      <w:r>
        <w:rPr>
          <w:rFonts w:hint="eastAsia" w:ascii="宋体" w:hAnsi="宋体" w:eastAsia="宋体" w:cs="宋体"/>
          <w:sz w:val="24"/>
          <w:szCs w:val="24"/>
        </w:rPr>
        <w:t>附件12：中小企业声明函</w:t>
      </w:r>
      <w:bookmarkEnd w:id="172"/>
      <w:bookmarkEnd w:id="173"/>
      <w:bookmarkEnd w:id="174"/>
      <w:bookmarkEnd w:id="175"/>
    </w:p>
    <w:p w14:paraId="50B3E6A4">
      <w:pPr>
        <w:outlineLvl w:val="9"/>
        <w:rPr>
          <w:rFonts w:ascii="宋体" w:hAnsi="宋体" w:eastAsia="宋体" w:cs="宋体"/>
          <w:sz w:val="24"/>
          <w:szCs w:val="24"/>
        </w:rPr>
      </w:pPr>
      <w:bookmarkStart w:id="176" w:name="_Toc31816"/>
      <w:bookmarkStart w:id="177" w:name="_Toc21178"/>
      <w:bookmarkStart w:id="178" w:name="_Toc7393"/>
      <w:bookmarkStart w:id="179" w:name="_Toc20710"/>
      <w:r>
        <w:rPr>
          <w:rFonts w:hint="eastAsia" w:ascii="宋体" w:hAnsi="宋体" w:eastAsia="宋体" w:cs="宋体"/>
          <w:sz w:val="24"/>
          <w:szCs w:val="24"/>
        </w:rPr>
        <w:t>附件13：同意招标文件条款声明</w:t>
      </w:r>
      <w:bookmarkEnd w:id="176"/>
      <w:bookmarkEnd w:id="177"/>
      <w:bookmarkEnd w:id="178"/>
      <w:bookmarkEnd w:id="179"/>
    </w:p>
    <w:p w14:paraId="6BD98385">
      <w:pPr>
        <w:outlineLvl w:val="9"/>
        <w:rPr>
          <w:rFonts w:ascii="宋体" w:hAnsi="宋体" w:eastAsia="宋体" w:cs="宋体"/>
          <w:sz w:val="24"/>
          <w:szCs w:val="24"/>
        </w:rPr>
      </w:pPr>
      <w:bookmarkStart w:id="180" w:name="_Toc3434"/>
      <w:bookmarkStart w:id="181" w:name="_Toc3792"/>
      <w:bookmarkStart w:id="182" w:name="_Toc31791"/>
      <w:bookmarkStart w:id="183" w:name="_Toc13934"/>
      <w:r>
        <w:rPr>
          <w:rFonts w:hint="eastAsia" w:ascii="宋体" w:hAnsi="宋体" w:eastAsia="宋体" w:cs="宋体"/>
          <w:sz w:val="24"/>
          <w:szCs w:val="24"/>
        </w:rPr>
        <w:t>附件14：虚假应标承担责任声明</w:t>
      </w:r>
      <w:bookmarkEnd w:id="180"/>
      <w:bookmarkEnd w:id="181"/>
      <w:bookmarkEnd w:id="182"/>
      <w:bookmarkEnd w:id="183"/>
    </w:p>
    <w:p w14:paraId="4594427E">
      <w:pPr>
        <w:outlineLvl w:val="9"/>
        <w:rPr>
          <w:rFonts w:ascii="宋体" w:hAnsi="宋体" w:eastAsia="宋体" w:cs="宋体"/>
          <w:sz w:val="24"/>
          <w:szCs w:val="24"/>
        </w:rPr>
      </w:pPr>
      <w:bookmarkStart w:id="184" w:name="_Toc20563"/>
      <w:bookmarkStart w:id="185" w:name="_Toc7731"/>
      <w:bookmarkStart w:id="186" w:name="_Toc28777"/>
      <w:bookmarkStart w:id="187" w:name="_Toc13824"/>
      <w:r>
        <w:rPr>
          <w:rFonts w:hint="eastAsia" w:ascii="宋体" w:hAnsi="宋体" w:eastAsia="宋体" w:cs="宋体"/>
          <w:sz w:val="24"/>
          <w:szCs w:val="24"/>
        </w:rPr>
        <w:t>附件15：代理服务费确认书</w:t>
      </w:r>
      <w:bookmarkEnd w:id="184"/>
      <w:bookmarkEnd w:id="185"/>
      <w:bookmarkEnd w:id="186"/>
      <w:bookmarkEnd w:id="187"/>
    </w:p>
    <w:p w14:paraId="3A39ABCE">
      <w:pPr>
        <w:outlineLvl w:val="9"/>
        <w:rPr>
          <w:rFonts w:ascii="宋体" w:hAnsi="宋体" w:eastAsia="宋体" w:cs="宋体"/>
          <w:sz w:val="24"/>
          <w:szCs w:val="24"/>
        </w:rPr>
      </w:pPr>
      <w:bookmarkStart w:id="188" w:name="_Toc27827"/>
      <w:bookmarkStart w:id="189" w:name="_Toc23678"/>
      <w:bookmarkStart w:id="190" w:name="_Toc29129"/>
      <w:r>
        <w:rPr>
          <w:rFonts w:hint="eastAsia" w:ascii="宋体" w:hAnsi="宋体" w:eastAsia="宋体" w:cs="宋体"/>
          <w:sz w:val="24"/>
          <w:szCs w:val="24"/>
        </w:rPr>
        <w:t>附件16：代理服务费承诺书</w:t>
      </w:r>
    </w:p>
    <w:p w14:paraId="228358E1">
      <w:pPr>
        <w:outlineLvl w:val="9"/>
        <w:rPr>
          <w:rFonts w:ascii="宋体" w:hAnsi="宋体" w:eastAsia="宋体" w:cs="宋体"/>
          <w:sz w:val="24"/>
          <w:szCs w:val="24"/>
        </w:rPr>
      </w:pPr>
      <w:r>
        <w:rPr>
          <w:rFonts w:hint="eastAsia" w:ascii="宋体" w:hAnsi="宋体" w:eastAsia="宋体" w:cs="宋体"/>
          <w:sz w:val="24"/>
          <w:szCs w:val="24"/>
        </w:rPr>
        <w:t>附件17：残疾人福利性单位声明函</w:t>
      </w:r>
      <w:bookmarkEnd w:id="188"/>
      <w:bookmarkEnd w:id="189"/>
      <w:bookmarkEnd w:id="190"/>
    </w:p>
    <w:p w14:paraId="486A726E">
      <w:pPr>
        <w:spacing w:after="0" w:line="360" w:lineRule="auto"/>
        <w:outlineLvl w:val="9"/>
        <w:rPr>
          <w:rFonts w:ascii="宋体" w:hAnsi="宋体" w:eastAsia="宋体" w:cs="宋体"/>
          <w:sz w:val="24"/>
          <w:szCs w:val="24"/>
        </w:rPr>
      </w:pPr>
      <w:bookmarkStart w:id="191" w:name="_Toc30333"/>
      <w:bookmarkStart w:id="192" w:name="_Toc31572"/>
      <w:bookmarkStart w:id="193" w:name="_Toc18863"/>
      <w:bookmarkStart w:id="194" w:name="_Toc7636"/>
      <w:r>
        <w:rPr>
          <w:rFonts w:hint="eastAsia" w:ascii="宋体" w:hAnsi="宋体" w:eastAsia="宋体" w:cs="宋体"/>
          <w:sz w:val="24"/>
          <w:szCs w:val="24"/>
        </w:rPr>
        <w:t>附件18：</w:t>
      </w:r>
      <w:bookmarkEnd w:id="191"/>
      <w:bookmarkEnd w:id="192"/>
      <w:bookmarkEnd w:id="193"/>
      <w:bookmarkEnd w:id="194"/>
      <w:r>
        <w:rPr>
          <w:rFonts w:hint="eastAsia" w:ascii="宋体" w:hAnsi="宋体" w:eastAsia="宋体" w:cs="宋体"/>
          <w:sz w:val="24"/>
          <w:szCs w:val="24"/>
        </w:rPr>
        <w:t>政府采购促进中小企业发展管理办法及关于进一步加大政府采购支持中小企业力度的通知</w:t>
      </w:r>
    </w:p>
    <w:p w14:paraId="18F75AF0">
      <w:pPr>
        <w:outlineLvl w:val="9"/>
        <w:rPr>
          <w:rFonts w:ascii="宋体" w:hAnsi="宋体" w:eastAsia="宋体" w:cs="宋体"/>
          <w:sz w:val="24"/>
          <w:szCs w:val="24"/>
        </w:rPr>
      </w:pPr>
      <w:bookmarkStart w:id="195" w:name="_Toc27198"/>
      <w:bookmarkStart w:id="196" w:name="_Toc19890"/>
      <w:bookmarkStart w:id="197" w:name="_Toc23498"/>
      <w:bookmarkStart w:id="198" w:name="_Toc32355"/>
      <w:r>
        <w:rPr>
          <w:rFonts w:hint="eastAsia" w:ascii="宋体" w:hAnsi="宋体" w:eastAsia="宋体" w:cs="宋体"/>
          <w:sz w:val="24"/>
          <w:szCs w:val="24"/>
        </w:rPr>
        <w:t>附件19：中小企业划型标准规定</w:t>
      </w:r>
      <w:bookmarkEnd w:id="195"/>
      <w:bookmarkEnd w:id="196"/>
      <w:bookmarkEnd w:id="197"/>
      <w:bookmarkEnd w:id="198"/>
    </w:p>
    <w:p w14:paraId="3A918AA7">
      <w:pPr>
        <w:outlineLvl w:val="9"/>
        <w:rPr>
          <w:rFonts w:ascii="宋体" w:hAnsi="宋体" w:eastAsia="宋体" w:cs="宋体"/>
          <w:sz w:val="24"/>
          <w:szCs w:val="24"/>
        </w:rPr>
      </w:pPr>
      <w:bookmarkStart w:id="199" w:name="_Toc30312"/>
      <w:bookmarkStart w:id="200" w:name="_Toc25951"/>
      <w:bookmarkStart w:id="201" w:name="_Toc31763"/>
      <w:bookmarkStart w:id="202" w:name="_Toc1167"/>
      <w:r>
        <w:rPr>
          <w:rFonts w:hint="eastAsia" w:ascii="宋体" w:hAnsi="宋体" w:eastAsia="宋体" w:cs="宋体"/>
          <w:sz w:val="24"/>
          <w:szCs w:val="24"/>
        </w:rPr>
        <w:t>附件20：三部门联合发布关于促进残疾人就业政府采购政策的通知</w:t>
      </w:r>
      <w:bookmarkEnd w:id="199"/>
      <w:bookmarkEnd w:id="200"/>
      <w:bookmarkEnd w:id="201"/>
      <w:bookmarkEnd w:id="202"/>
    </w:p>
    <w:p w14:paraId="4D07F3B5">
      <w:pPr>
        <w:outlineLvl w:val="9"/>
        <w:rPr>
          <w:rFonts w:ascii="宋体" w:hAnsi="宋体" w:eastAsia="宋体" w:cs="宋体"/>
          <w:sz w:val="24"/>
          <w:szCs w:val="24"/>
        </w:rPr>
      </w:pPr>
      <w:r>
        <w:rPr>
          <w:rFonts w:hint="eastAsia" w:ascii="宋体" w:hAnsi="宋体" w:eastAsia="宋体" w:cs="宋体"/>
          <w:sz w:val="24"/>
          <w:szCs w:val="24"/>
        </w:rPr>
        <w:t>附近21：关于政府采购支持监狱企业发展有关问题的通知</w:t>
      </w:r>
    </w:p>
    <w:p w14:paraId="31BE4C1C">
      <w:pPr>
        <w:adjustRightInd/>
        <w:snapToGrid/>
        <w:spacing w:after="0" w:line="360" w:lineRule="auto"/>
        <w:ind w:firstLine="482" w:firstLineChars="200"/>
        <w:textAlignment w:val="baseline"/>
        <w:outlineLvl w:val="9"/>
        <w:rPr>
          <w:rFonts w:ascii="宋体" w:hAnsi="宋体" w:eastAsia="宋体" w:cs="宋体"/>
          <w:b/>
          <w:bCs/>
          <w:kern w:val="2"/>
          <w:sz w:val="24"/>
          <w:szCs w:val="24"/>
        </w:rPr>
        <w:sectPr>
          <w:headerReference r:id="rId11" w:type="default"/>
          <w:pgSz w:w="11906" w:h="16838"/>
          <w:pgMar w:top="1440" w:right="1080" w:bottom="1440" w:left="1080" w:header="850" w:footer="850" w:gutter="0"/>
          <w:pgNumType w:fmt="decimal"/>
          <w:cols w:space="720" w:num="1"/>
          <w:docGrid w:linePitch="381" w:charSpace="0"/>
        </w:sectPr>
      </w:pPr>
      <w:r>
        <w:rPr>
          <w:rFonts w:hint="eastAsia" w:ascii="宋体" w:hAnsi="宋体" w:eastAsia="宋体" w:cs="宋体"/>
          <w:b/>
          <w:bCs/>
          <w:kern w:val="2"/>
          <w:sz w:val="24"/>
          <w:szCs w:val="24"/>
        </w:rPr>
        <w:t>注：上述规定格式必须严格按照招标文件要求制作，未载明的格式供应商自行拟定。</w:t>
      </w:r>
    </w:p>
    <w:p w14:paraId="397BB511">
      <w:pPr>
        <w:jc w:val="center"/>
        <w:outlineLvl w:val="9"/>
        <w:rPr>
          <w:rFonts w:ascii="宋体" w:hAnsi="宋体" w:eastAsia="宋体" w:cs="宋体"/>
          <w:sz w:val="28"/>
          <w:szCs w:val="28"/>
        </w:rPr>
      </w:pPr>
      <w:bookmarkStart w:id="203" w:name="_Toc9052"/>
      <w:bookmarkStart w:id="204" w:name="_Toc25124"/>
      <w:bookmarkStart w:id="205" w:name="_Toc8965"/>
      <w:bookmarkStart w:id="206" w:name="_Toc19385"/>
      <w:bookmarkStart w:id="207" w:name="_Toc29533"/>
      <w:bookmarkStart w:id="208" w:name="_Toc4786"/>
      <w:r>
        <w:rPr>
          <w:rFonts w:hint="eastAsia" w:ascii="宋体" w:hAnsi="宋体" w:eastAsia="宋体" w:cs="宋体"/>
          <w:b/>
          <w:bCs/>
          <w:sz w:val="28"/>
          <w:szCs w:val="28"/>
        </w:rPr>
        <w:t>附件1：</w:t>
      </w:r>
      <w:bookmarkEnd w:id="203"/>
      <w:bookmarkEnd w:id="204"/>
      <w:bookmarkEnd w:id="205"/>
      <w:bookmarkEnd w:id="206"/>
      <w:bookmarkEnd w:id="207"/>
      <w:r>
        <w:rPr>
          <w:rFonts w:hint="eastAsia" w:ascii="宋体" w:hAnsi="宋体" w:eastAsia="宋体" w:cs="宋体"/>
          <w:sz w:val="28"/>
          <w:szCs w:val="28"/>
        </w:rPr>
        <w:t xml:space="preserve"> </w:t>
      </w:r>
      <w:r>
        <w:rPr>
          <w:rFonts w:ascii="宋体" w:hAnsi="宋体" w:eastAsia="宋体" w:cs="Times New Roman"/>
          <w:kern w:val="2"/>
          <w:sz w:val="30"/>
        </w:rPr>
        <w:t>投标文件封面格式</w:t>
      </w:r>
      <w:bookmarkEnd w:id="208"/>
    </w:p>
    <w:p w14:paraId="60F02D35">
      <w:pPr>
        <w:adjustRightInd/>
        <w:snapToGrid/>
        <w:spacing w:after="0" w:line="360" w:lineRule="auto"/>
        <w:jc w:val="center"/>
        <w:textAlignment w:val="baseline"/>
        <w:outlineLvl w:val="9"/>
        <w:rPr>
          <w:rFonts w:ascii="宋体" w:hAnsi="宋体" w:eastAsia="宋体" w:cs="Times New Roman"/>
          <w:b/>
          <w:kern w:val="2"/>
          <w:sz w:val="30"/>
        </w:rPr>
      </w:pPr>
    </w:p>
    <w:p w14:paraId="4295E183">
      <w:pPr>
        <w:adjustRightInd/>
        <w:snapToGrid/>
        <w:spacing w:after="0" w:line="360" w:lineRule="auto"/>
        <w:jc w:val="center"/>
        <w:textAlignment w:val="baseline"/>
        <w:outlineLvl w:val="9"/>
        <w:rPr>
          <w:rFonts w:ascii="宋体" w:hAnsi="宋体" w:eastAsia="宋体" w:cs="Times New Roman"/>
          <w:b/>
          <w:kern w:val="2"/>
          <w:sz w:val="30"/>
        </w:rPr>
      </w:pPr>
    </w:p>
    <w:p w14:paraId="7ECDE6AE">
      <w:pPr>
        <w:tabs>
          <w:tab w:val="left" w:pos="7589"/>
        </w:tabs>
        <w:adjustRightInd/>
        <w:snapToGrid/>
        <w:spacing w:after="0" w:line="360" w:lineRule="auto"/>
        <w:textAlignment w:val="baseline"/>
        <w:outlineLvl w:val="9"/>
        <w:rPr>
          <w:rFonts w:ascii="宋体" w:hAnsi="宋体" w:eastAsia="宋体" w:cs="Times New Roman"/>
          <w:b/>
          <w:kern w:val="2"/>
          <w:sz w:val="48"/>
        </w:rPr>
      </w:pPr>
      <w:r>
        <w:rPr>
          <w:rFonts w:ascii="宋体" w:hAnsi="宋体" w:eastAsia="宋体" w:cs="Times New Roman"/>
          <w:b/>
          <w:kern w:val="2"/>
          <w:sz w:val="48"/>
        </w:rPr>
        <w:tab/>
      </w:r>
    </w:p>
    <w:p w14:paraId="433B6140">
      <w:pPr>
        <w:adjustRightInd/>
        <w:snapToGrid/>
        <w:spacing w:after="0" w:line="360" w:lineRule="auto"/>
        <w:jc w:val="center"/>
        <w:textAlignment w:val="baseline"/>
        <w:outlineLvl w:val="9"/>
        <w:rPr>
          <w:rFonts w:ascii="宋体" w:hAnsi="宋体" w:eastAsia="宋体" w:cs="Times New Roman"/>
          <w:b/>
          <w:kern w:val="2"/>
          <w:sz w:val="30"/>
        </w:rPr>
      </w:pPr>
      <w:r>
        <w:rPr>
          <w:rFonts w:hint="eastAsia" w:ascii="宋体" w:hAnsi="宋体" w:eastAsia="宋体" w:cs="Times New Roman"/>
          <w:b/>
          <w:kern w:val="2"/>
          <w:sz w:val="30"/>
          <w:lang w:eastAsia="zh-CN"/>
        </w:rPr>
        <w:t>文县市场监督管理局2024年工业产品抽检项目</w:t>
      </w:r>
      <w:r>
        <w:rPr>
          <w:rFonts w:hint="eastAsia" w:ascii="宋体" w:hAnsi="宋体" w:eastAsia="宋体" w:cs="Times New Roman"/>
          <w:b/>
          <w:kern w:val="2"/>
          <w:sz w:val="30"/>
          <w:lang w:eastAsia="zh-CN"/>
        </w:rPr>
        <w:br w:type="textWrapping"/>
      </w:r>
    </w:p>
    <w:p w14:paraId="26682CC3">
      <w:pPr>
        <w:adjustRightInd/>
        <w:snapToGrid/>
        <w:spacing w:after="0" w:line="360" w:lineRule="auto"/>
        <w:jc w:val="center"/>
        <w:textAlignment w:val="baseline"/>
        <w:outlineLvl w:val="9"/>
        <w:rPr>
          <w:rFonts w:ascii="宋体" w:hAnsi="宋体" w:eastAsia="宋体" w:cs="Times New Roman"/>
          <w:b/>
          <w:kern w:val="2"/>
          <w:sz w:val="72"/>
        </w:rPr>
      </w:pPr>
    </w:p>
    <w:p w14:paraId="1090EB8D">
      <w:pPr>
        <w:adjustRightInd/>
        <w:snapToGrid/>
        <w:spacing w:after="0" w:line="360" w:lineRule="auto"/>
        <w:jc w:val="center"/>
        <w:textAlignment w:val="baseline"/>
        <w:outlineLvl w:val="9"/>
        <w:rPr>
          <w:rFonts w:ascii="宋体" w:hAnsi="宋体" w:eastAsia="宋体" w:cs="Times New Roman"/>
          <w:b/>
          <w:kern w:val="2"/>
          <w:sz w:val="72"/>
        </w:rPr>
      </w:pPr>
    </w:p>
    <w:p w14:paraId="00C85D94">
      <w:pPr>
        <w:adjustRightInd/>
        <w:snapToGrid/>
        <w:spacing w:after="0" w:line="360" w:lineRule="auto"/>
        <w:jc w:val="center"/>
        <w:textAlignment w:val="baseline"/>
        <w:outlineLvl w:val="9"/>
        <w:rPr>
          <w:rFonts w:ascii="宋体" w:hAnsi="宋体" w:eastAsia="宋体" w:cs="Times New Roman"/>
          <w:b/>
          <w:kern w:val="2"/>
          <w:sz w:val="72"/>
        </w:rPr>
      </w:pPr>
      <w:r>
        <w:rPr>
          <w:rFonts w:ascii="宋体" w:hAnsi="宋体" w:eastAsia="宋体" w:cs="Times New Roman"/>
          <w:b/>
          <w:kern w:val="2"/>
          <w:sz w:val="72"/>
        </w:rPr>
        <w:t>投 标 文 件</w:t>
      </w:r>
    </w:p>
    <w:p w14:paraId="1E0707BA">
      <w:pPr>
        <w:adjustRightInd/>
        <w:snapToGrid/>
        <w:spacing w:after="0" w:line="360" w:lineRule="auto"/>
        <w:jc w:val="both"/>
        <w:textAlignment w:val="baseline"/>
        <w:outlineLvl w:val="9"/>
        <w:rPr>
          <w:rFonts w:ascii="宋体" w:hAnsi="宋体" w:eastAsia="宋体" w:cs="Times New Roman"/>
          <w:b/>
          <w:kern w:val="2"/>
          <w:sz w:val="30"/>
          <w:u w:val="single"/>
        </w:rPr>
      </w:pPr>
    </w:p>
    <w:p w14:paraId="7EC2BEC4">
      <w:pPr>
        <w:adjustRightInd/>
        <w:snapToGrid/>
        <w:spacing w:after="0" w:line="360" w:lineRule="auto"/>
        <w:jc w:val="both"/>
        <w:textAlignment w:val="baseline"/>
        <w:outlineLvl w:val="9"/>
        <w:rPr>
          <w:rFonts w:ascii="宋体" w:hAnsi="宋体" w:eastAsia="宋体" w:cs="Times New Roman"/>
          <w:b/>
          <w:kern w:val="2"/>
          <w:sz w:val="30"/>
          <w:u w:val="single"/>
        </w:rPr>
      </w:pPr>
    </w:p>
    <w:p w14:paraId="1BE8743F">
      <w:pPr>
        <w:adjustRightInd/>
        <w:snapToGrid/>
        <w:spacing w:after="0" w:line="360" w:lineRule="auto"/>
        <w:jc w:val="both"/>
        <w:textAlignment w:val="baseline"/>
        <w:outlineLvl w:val="9"/>
        <w:rPr>
          <w:rFonts w:ascii="宋体" w:hAnsi="宋体" w:eastAsia="宋体" w:cs="Times New Roman"/>
          <w:b/>
          <w:kern w:val="2"/>
          <w:sz w:val="30"/>
          <w:u w:val="single"/>
        </w:rPr>
      </w:pPr>
    </w:p>
    <w:p w14:paraId="07F7C68B">
      <w:pPr>
        <w:adjustRightInd/>
        <w:snapToGrid/>
        <w:spacing w:after="0" w:line="360" w:lineRule="auto"/>
        <w:ind w:firstLine="2096" w:firstLineChars="696"/>
        <w:jc w:val="both"/>
        <w:textAlignment w:val="baseline"/>
        <w:outlineLvl w:val="9"/>
        <w:rPr>
          <w:rFonts w:ascii="宋体" w:hAnsi="宋体" w:eastAsia="宋体" w:cs="Times New Roman"/>
          <w:b/>
          <w:kern w:val="2"/>
          <w:sz w:val="30"/>
        </w:rPr>
      </w:pPr>
      <w:r>
        <w:rPr>
          <w:rFonts w:hint="eastAsia" w:ascii="宋体" w:hAnsi="宋体" w:eastAsia="宋体" w:cs="Times New Roman"/>
          <w:b/>
          <w:kern w:val="2"/>
          <w:sz w:val="30"/>
        </w:rPr>
        <w:t>招标编号：</w:t>
      </w:r>
    </w:p>
    <w:p w14:paraId="0066A62F">
      <w:pPr>
        <w:adjustRightInd/>
        <w:snapToGrid/>
        <w:spacing w:after="0" w:line="360" w:lineRule="auto"/>
        <w:ind w:firstLine="2096" w:firstLineChars="696"/>
        <w:jc w:val="both"/>
        <w:textAlignment w:val="baseline"/>
        <w:outlineLvl w:val="9"/>
        <w:rPr>
          <w:rFonts w:ascii="宋体" w:hAnsi="宋体" w:eastAsia="宋体" w:cs="Times New Roman"/>
          <w:b/>
          <w:kern w:val="2"/>
          <w:sz w:val="30"/>
        </w:rPr>
      </w:pPr>
      <w:r>
        <w:rPr>
          <w:rFonts w:ascii="宋体" w:hAnsi="宋体" w:eastAsia="宋体" w:cs="Times New Roman"/>
          <w:b/>
          <w:kern w:val="2"/>
          <w:sz w:val="30"/>
        </w:rPr>
        <w:t>投标人名称：</w:t>
      </w:r>
      <w:r>
        <w:rPr>
          <w:rFonts w:ascii="宋体" w:hAnsi="宋体" w:eastAsia="宋体" w:cs="Times New Roman"/>
          <w:b/>
          <w:kern w:val="2"/>
          <w:sz w:val="30"/>
          <w:u w:val="single"/>
        </w:rPr>
        <w:t xml:space="preserve">              （公章）</w:t>
      </w:r>
    </w:p>
    <w:p w14:paraId="04B941BD">
      <w:pPr>
        <w:adjustRightInd/>
        <w:snapToGrid/>
        <w:spacing w:after="0" w:line="360" w:lineRule="auto"/>
        <w:ind w:firstLine="2096" w:firstLineChars="696"/>
        <w:jc w:val="both"/>
        <w:textAlignment w:val="baseline"/>
        <w:outlineLvl w:val="9"/>
        <w:rPr>
          <w:rFonts w:ascii="宋体" w:hAnsi="宋体" w:eastAsia="宋体" w:cs="Times New Roman"/>
          <w:b/>
          <w:kern w:val="2"/>
          <w:sz w:val="30"/>
        </w:rPr>
      </w:pPr>
      <w:r>
        <w:rPr>
          <w:rFonts w:ascii="宋体" w:hAnsi="宋体" w:eastAsia="宋体" w:cs="Times New Roman"/>
          <w:b/>
          <w:kern w:val="2"/>
          <w:sz w:val="30"/>
        </w:rPr>
        <w:t>投标人地址：</w:t>
      </w:r>
    </w:p>
    <w:p w14:paraId="6BEC1AEA">
      <w:pPr>
        <w:adjustRightInd/>
        <w:snapToGrid/>
        <w:spacing w:after="0" w:line="360" w:lineRule="auto"/>
        <w:ind w:firstLine="2096" w:firstLineChars="696"/>
        <w:jc w:val="both"/>
        <w:textAlignment w:val="baseline"/>
        <w:outlineLvl w:val="9"/>
        <w:rPr>
          <w:rFonts w:ascii="宋体" w:hAnsi="宋体" w:eastAsia="宋体" w:cs="Times New Roman"/>
          <w:b/>
          <w:kern w:val="2"/>
          <w:sz w:val="30"/>
        </w:rPr>
      </w:pPr>
      <w:r>
        <w:rPr>
          <w:rFonts w:ascii="宋体" w:hAnsi="宋体" w:eastAsia="宋体" w:cs="Times New Roman"/>
          <w:b/>
          <w:kern w:val="2"/>
          <w:sz w:val="30"/>
        </w:rPr>
        <w:t>投标人法定代表人或授权委托人（签字）：</w:t>
      </w:r>
    </w:p>
    <w:p w14:paraId="1684B540">
      <w:pPr>
        <w:adjustRightInd/>
        <w:snapToGrid/>
        <w:spacing w:after="0" w:line="360" w:lineRule="auto"/>
        <w:ind w:firstLine="3915" w:firstLineChars="1300"/>
        <w:jc w:val="both"/>
        <w:textAlignment w:val="baseline"/>
        <w:outlineLvl w:val="9"/>
        <w:rPr>
          <w:rFonts w:ascii="宋体" w:hAnsi="宋体" w:eastAsia="宋体" w:cs="Times New Roman"/>
          <w:b/>
          <w:kern w:val="2"/>
          <w:sz w:val="30"/>
        </w:rPr>
      </w:pPr>
    </w:p>
    <w:p w14:paraId="7A909CA4">
      <w:pPr>
        <w:adjustRightInd/>
        <w:snapToGrid/>
        <w:spacing w:after="0" w:line="360" w:lineRule="auto"/>
        <w:ind w:firstLine="3915" w:firstLineChars="1300"/>
        <w:jc w:val="both"/>
        <w:textAlignment w:val="baseline"/>
        <w:outlineLvl w:val="9"/>
        <w:rPr>
          <w:rFonts w:ascii="宋体" w:hAnsi="宋体" w:eastAsia="宋体" w:cs="Times New Roman"/>
          <w:b/>
          <w:kern w:val="2"/>
          <w:sz w:val="30"/>
        </w:rPr>
      </w:pPr>
      <w:r>
        <w:rPr>
          <w:rFonts w:ascii="宋体" w:hAnsi="宋体" w:eastAsia="宋体" w:cs="Times New Roman"/>
          <w:b/>
          <w:kern w:val="2"/>
          <w:sz w:val="30"/>
        </w:rPr>
        <w:t>年</w:t>
      </w:r>
      <w:r>
        <w:rPr>
          <w:rFonts w:hint="eastAsia" w:ascii="宋体" w:hAnsi="宋体" w:eastAsia="宋体" w:cs="Times New Roman"/>
          <w:b/>
          <w:kern w:val="2"/>
          <w:sz w:val="30"/>
        </w:rPr>
        <w:t xml:space="preserve"> </w:t>
      </w:r>
      <w:r>
        <w:rPr>
          <w:rFonts w:ascii="宋体" w:hAnsi="宋体" w:eastAsia="宋体" w:cs="Times New Roman"/>
          <w:b/>
          <w:kern w:val="2"/>
          <w:sz w:val="30"/>
        </w:rPr>
        <w:t>月</w:t>
      </w:r>
      <w:r>
        <w:rPr>
          <w:rFonts w:hint="eastAsia" w:ascii="宋体" w:hAnsi="宋体" w:eastAsia="宋体" w:cs="Times New Roman"/>
          <w:b/>
          <w:kern w:val="2"/>
          <w:sz w:val="30"/>
        </w:rPr>
        <w:t xml:space="preserve"> </w:t>
      </w:r>
      <w:r>
        <w:rPr>
          <w:rFonts w:ascii="宋体" w:hAnsi="宋体" w:eastAsia="宋体" w:cs="Times New Roman"/>
          <w:b/>
          <w:kern w:val="2"/>
          <w:sz w:val="30"/>
        </w:rPr>
        <w:t>日</w:t>
      </w:r>
    </w:p>
    <w:p w14:paraId="7EF31119">
      <w:pPr>
        <w:pStyle w:val="10"/>
        <w:outlineLvl w:val="9"/>
        <w:rPr>
          <w:rFonts w:ascii="宋体" w:hAnsi="宋体"/>
          <w:b/>
          <w:sz w:val="30"/>
        </w:rPr>
      </w:pPr>
    </w:p>
    <w:p w14:paraId="5A676E27">
      <w:pPr>
        <w:rPr>
          <w:rFonts w:hint="eastAsia" w:ascii="宋体" w:hAnsi="宋体" w:eastAsia="宋体" w:cs="宋体"/>
          <w:b/>
          <w:bCs/>
          <w:sz w:val="28"/>
          <w:szCs w:val="28"/>
        </w:rPr>
      </w:pPr>
      <w:bookmarkStart w:id="209" w:name="_Toc30824"/>
      <w:bookmarkStart w:id="210" w:name="_Toc28065"/>
      <w:bookmarkStart w:id="211" w:name="_Toc1130"/>
      <w:bookmarkStart w:id="212" w:name="_Toc21437"/>
      <w:bookmarkStart w:id="213" w:name="_Toc3610"/>
      <w:bookmarkStart w:id="214" w:name="_Toc28695"/>
      <w:r>
        <w:rPr>
          <w:rFonts w:hint="eastAsia" w:ascii="宋体" w:hAnsi="宋体" w:eastAsia="宋体" w:cs="宋体"/>
          <w:b/>
          <w:bCs/>
          <w:sz w:val="28"/>
          <w:szCs w:val="28"/>
        </w:rPr>
        <w:br w:type="page"/>
      </w:r>
    </w:p>
    <w:p w14:paraId="77BAE70F">
      <w:pPr>
        <w:jc w:val="center"/>
        <w:outlineLvl w:val="9"/>
        <w:rPr>
          <w:rFonts w:ascii="宋体" w:hAnsi="宋体" w:eastAsia="宋体" w:cs="宋体"/>
          <w:b/>
          <w:kern w:val="2"/>
          <w:sz w:val="28"/>
          <w:szCs w:val="28"/>
        </w:rPr>
      </w:pPr>
      <w:r>
        <w:rPr>
          <w:rFonts w:hint="eastAsia" w:ascii="宋体" w:hAnsi="宋体" w:eastAsia="宋体" w:cs="宋体"/>
          <w:b/>
          <w:bCs/>
          <w:sz w:val="28"/>
          <w:szCs w:val="28"/>
        </w:rPr>
        <w:t>附件2：</w:t>
      </w:r>
      <w:bookmarkEnd w:id="209"/>
      <w:bookmarkEnd w:id="210"/>
      <w:bookmarkEnd w:id="211"/>
      <w:bookmarkEnd w:id="212"/>
      <w:bookmarkEnd w:id="213"/>
      <w:r>
        <w:rPr>
          <w:rFonts w:hint="eastAsia" w:ascii="宋体" w:hAnsi="宋体" w:eastAsia="宋体" w:cs="宋体"/>
          <w:b/>
          <w:kern w:val="2"/>
          <w:sz w:val="28"/>
          <w:szCs w:val="28"/>
        </w:rPr>
        <w:t>投标函</w:t>
      </w:r>
      <w:bookmarkEnd w:id="214"/>
    </w:p>
    <w:p w14:paraId="4E7B2F24">
      <w:pPr>
        <w:adjustRightInd/>
        <w:snapToGrid/>
        <w:spacing w:after="0" w:line="360" w:lineRule="auto"/>
        <w:jc w:val="both"/>
        <w:textAlignment w:val="baseline"/>
        <w:outlineLvl w:val="9"/>
        <w:rPr>
          <w:rFonts w:hint="eastAsia" w:ascii="宋体" w:hAnsi="宋体" w:eastAsia="宋体" w:cs="宋体"/>
          <w:kern w:val="2"/>
          <w:sz w:val="24"/>
          <w:szCs w:val="24"/>
          <w:lang w:eastAsia="zh-CN"/>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文县市场监督管理局</w:t>
      </w:r>
    </w:p>
    <w:p w14:paraId="53597516">
      <w:pPr>
        <w:adjustRightInd/>
        <w:snapToGrid/>
        <w:spacing w:after="0" w:line="360" w:lineRule="auto"/>
        <w:ind w:firstLine="456" w:firstLineChars="200"/>
        <w:jc w:val="both"/>
        <w:textAlignment w:val="baseline"/>
        <w:outlineLvl w:val="9"/>
        <w:rPr>
          <w:rFonts w:ascii="宋体" w:hAnsi="宋体" w:eastAsia="宋体" w:cs="宋体"/>
          <w:kern w:val="2"/>
          <w:sz w:val="24"/>
          <w:szCs w:val="24"/>
        </w:rPr>
      </w:pPr>
      <w:r>
        <w:rPr>
          <w:rFonts w:hint="eastAsia" w:ascii="宋体" w:hAnsi="宋体" w:eastAsia="宋体" w:cs="宋体"/>
          <w:spacing w:val="-6"/>
          <w:kern w:val="2"/>
          <w:sz w:val="24"/>
          <w:szCs w:val="24"/>
        </w:rPr>
        <w:t>根据贵方</w:t>
      </w:r>
      <w:r>
        <w:rPr>
          <w:rFonts w:hint="eastAsia" w:ascii="宋体" w:hAnsi="宋体" w:eastAsia="宋体" w:cs="宋体"/>
          <w:spacing w:val="-6"/>
          <w:kern w:val="2"/>
          <w:sz w:val="24"/>
          <w:szCs w:val="24"/>
          <w:u w:val="single"/>
        </w:rPr>
        <w:t xml:space="preserve">     </w:t>
      </w:r>
      <w:r>
        <w:rPr>
          <w:rFonts w:hint="eastAsia" w:ascii="宋体" w:hAnsi="宋体" w:eastAsia="宋体" w:cs="宋体"/>
          <w:spacing w:val="-6"/>
          <w:kern w:val="2"/>
          <w:sz w:val="24"/>
          <w:szCs w:val="24"/>
          <w:u w:val="single"/>
          <w:lang w:val="en-US" w:eastAsia="zh-CN"/>
        </w:rPr>
        <w:t xml:space="preserve"> </w:t>
      </w:r>
      <w:r>
        <w:rPr>
          <w:rFonts w:hint="eastAsia" w:ascii="宋体" w:hAnsi="宋体" w:eastAsia="宋体" w:cs="宋体"/>
          <w:spacing w:val="-6"/>
          <w:kern w:val="2"/>
          <w:sz w:val="24"/>
          <w:szCs w:val="24"/>
          <w:u w:val="single"/>
        </w:rPr>
        <w:t xml:space="preserve"> </w:t>
      </w:r>
      <w:r>
        <w:rPr>
          <w:rFonts w:hint="eastAsia" w:ascii="宋体" w:hAnsi="宋体" w:eastAsia="宋体" w:cs="宋体"/>
          <w:spacing w:val="-6"/>
          <w:kern w:val="2"/>
          <w:sz w:val="24"/>
          <w:szCs w:val="24"/>
        </w:rPr>
        <w:t>项目</w:t>
      </w:r>
      <w:r>
        <w:rPr>
          <w:rFonts w:hint="eastAsia" w:ascii="宋体" w:hAnsi="宋体" w:eastAsia="宋体" w:cs="宋体"/>
          <w:kern w:val="2"/>
          <w:sz w:val="24"/>
          <w:szCs w:val="24"/>
        </w:rPr>
        <w:t>的</w:t>
      </w:r>
      <w:r>
        <w:rPr>
          <w:rFonts w:hint="eastAsia" w:ascii="宋体" w:hAnsi="宋体" w:eastAsia="宋体" w:cs="宋体"/>
          <w:spacing w:val="-6"/>
          <w:kern w:val="2"/>
          <w:sz w:val="24"/>
          <w:szCs w:val="24"/>
        </w:rPr>
        <w:t>招标采购</w:t>
      </w:r>
      <w:r>
        <w:rPr>
          <w:rFonts w:hint="eastAsia" w:ascii="宋体" w:hAnsi="宋体" w:eastAsia="宋体" w:cs="宋体"/>
          <w:kern w:val="2"/>
          <w:sz w:val="24"/>
          <w:szCs w:val="24"/>
        </w:rPr>
        <w:t>(招标编号: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)，正式授权的下述签字人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（姓名和职务）代表投标人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 xml:space="preserve">（投标人名称），提交电子投标文件。    </w:t>
      </w:r>
    </w:p>
    <w:p w14:paraId="234636C7">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1.投标函</w:t>
      </w:r>
    </w:p>
    <w:p w14:paraId="21C774A7">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2.开标一览表</w:t>
      </w:r>
    </w:p>
    <w:p w14:paraId="456AF03F">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3.投标报价表</w:t>
      </w:r>
    </w:p>
    <w:p w14:paraId="23CF886D">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4.按招标文件要求投标人提交的全部文件</w:t>
      </w:r>
    </w:p>
    <w:p w14:paraId="7987A341">
      <w:pPr>
        <w:adjustRightInd/>
        <w:snapToGrid/>
        <w:spacing w:after="0" w:line="360" w:lineRule="auto"/>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据此函，签字人兹宣布同意如下条款：</w:t>
      </w:r>
    </w:p>
    <w:p w14:paraId="5D2D4A2F">
      <w:pPr>
        <w:numPr>
          <w:ilvl w:val="0"/>
          <w:numId w:val="7"/>
        </w:numPr>
        <w:adjustRightInd/>
        <w:snapToGrid/>
        <w:spacing w:after="0" w:line="360" w:lineRule="auto"/>
        <w:jc w:val="both"/>
        <w:outlineLvl w:val="9"/>
        <w:rPr>
          <w:rFonts w:ascii="宋体" w:hAnsi="宋体" w:eastAsia="宋体" w:cs="宋体"/>
          <w:kern w:val="2"/>
          <w:sz w:val="24"/>
          <w:szCs w:val="24"/>
        </w:rPr>
      </w:pPr>
      <w:r>
        <w:rPr>
          <w:rFonts w:hint="eastAsia" w:ascii="宋体" w:hAnsi="宋体" w:eastAsia="宋体" w:cs="宋体"/>
          <w:kern w:val="2"/>
          <w:sz w:val="24"/>
          <w:szCs w:val="24"/>
        </w:rPr>
        <w:t>所附投标价格表中规定的应提供服务和交付的货物投标总价为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（大写）。</w:t>
      </w:r>
    </w:p>
    <w:p w14:paraId="1CDE3AEC">
      <w:pPr>
        <w:numPr>
          <w:ilvl w:val="0"/>
          <w:numId w:val="7"/>
        </w:numPr>
        <w:adjustRightInd/>
        <w:snapToGrid/>
        <w:spacing w:after="0" w:line="36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我们将按招标文件的规定履行合同责任和义务。</w:t>
      </w:r>
    </w:p>
    <w:p w14:paraId="5978D199">
      <w:pPr>
        <w:numPr>
          <w:ilvl w:val="0"/>
          <w:numId w:val="7"/>
        </w:numPr>
        <w:adjustRightInd/>
        <w:snapToGrid/>
        <w:spacing w:after="0" w:line="36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我们已详细审查全部招标文件，包括修改意见（如有则附）以及全部参考资料和有关附件。我们完全理解并同意放弃对这方面有不明及误解而要求招标方解释和承担责任的权利。</w:t>
      </w:r>
    </w:p>
    <w:p w14:paraId="23686D32">
      <w:pPr>
        <w:numPr>
          <w:ilvl w:val="0"/>
          <w:numId w:val="7"/>
        </w:numPr>
        <w:adjustRightInd/>
        <w:snapToGrid/>
        <w:spacing w:after="0" w:line="36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在投标人须知规定的投标有效期60天内遵循本投标文件，并在投标人须知规定的投标有效期期满之前具有约束力。</w:t>
      </w:r>
    </w:p>
    <w:p w14:paraId="72E05DB0">
      <w:pPr>
        <w:numPr>
          <w:ilvl w:val="0"/>
          <w:numId w:val="7"/>
        </w:numPr>
        <w:adjustRightInd/>
        <w:snapToGrid/>
        <w:spacing w:after="0" w:line="36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如果在规定的投标有效期内撤回投标，我们的投标保证金可被贵方没收。</w:t>
      </w:r>
    </w:p>
    <w:p w14:paraId="60C515DA">
      <w:pPr>
        <w:numPr>
          <w:ilvl w:val="0"/>
          <w:numId w:val="7"/>
        </w:numPr>
        <w:adjustRightInd/>
        <w:snapToGrid/>
        <w:spacing w:after="0" w:line="36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同意提供贵方可能要求的与本投标有关的任何证据或资料。</w:t>
      </w:r>
    </w:p>
    <w:p w14:paraId="34890C9C">
      <w:pPr>
        <w:numPr>
          <w:ilvl w:val="0"/>
          <w:numId w:val="7"/>
        </w:numPr>
        <w:adjustRightInd/>
        <w:snapToGrid/>
        <w:spacing w:after="0" w:line="36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我们同意提供按照招标单位可能出示的与其投标有关的一切数据或资料。</w:t>
      </w:r>
    </w:p>
    <w:p w14:paraId="67A21458">
      <w:pPr>
        <w:numPr>
          <w:ilvl w:val="0"/>
          <w:numId w:val="7"/>
        </w:numPr>
        <w:adjustRightInd/>
        <w:snapToGrid/>
        <w:spacing w:after="0" w:line="36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我们理解贵方不一定要接受最低报价的投标或收到的任何投标。</w:t>
      </w:r>
    </w:p>
    <w:p w14:paraId="0FFEA1D9">
      <w:pPr>
        <w:numPr>
          <w:ilvl w:val="0"/>
          <w:numId w:val="7"/>
        </w:numPr>
        <w:adjustRightInd/>
        <w:snapToGrid/>
        <w:spacing w:after="0" w:line="360" w:lineRule="auto"/>
        <w:jc w:val="both"/>
        <w:outlineLvl w:val="9"/>
        <w:rPr>
          <w:rFonts w:ascii="宋体" w:hAnsi="宋体" w:eastAsia="宋体" w:cs="宋体"/>
          <w:kern w:val="2"/>
          <w:sz w:val="24"/>
          <w:szCs w:val="24"/>
        </w:rPr>
      </w:pPr>
      <w:r>
        <w:rPr>
          <w:rFonts w:hint="eastAsia" w:ascii="宋体" w:hAnsi="宋体" w:eastAsia="宋体" w:cs="宋体"/>
          <w:kern w:val="2"/>
          <w:sz w:val="24"/>
          <w:szCs w:val="24"/>
        </w:rPr>
        <w:t xml:space="preserve">与本投标有关的一切正式往来通讯请寄至：     </w:t>
      </w:r>
    </w:p>
    <w:p w14:paraId="0CE8671F">
      <w:pPr>
        <w:adjustRightInd/>
        <w:snapToGrid/>
        <w:spacing w:after="0" w:line="360" w:lineRule="auto"/>
        <w:ind w:firstLine="480" w:firstLineChars="200"/>
        <w:jc w:val="both"/>
        <w:textAlignment w:val="baseline"/>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 电话：</w:t>
      </w:r>
    </w:p>
    <w:p w14:paraId="5870D6D4">
      <w:pPr>
        <w:adjustRightInd/>
        <w:snapToGrid/>
        <w:spacing w:after="0" w:line="360" w:lineRule="auto"/>
        <w:ind w:firstLine="480" w:firstLineChars="200"/>
        <w:jc w:val="both"/>
        <w:textAlignment w:val="baseline"/>
        <w:outlineLvl w:val="9"/>
        <w:rPr>
          <w:rFonts w:hint="eastAsia" w:ascii="宋体" w:hAnsi="宋体" w:eastAsia="宋体" w:cs="宋体"/>
          <w:kern w:val="2"/>
          <w:sz w:val="24"/>
          <w:szCs w:val="24"/>
        </w:rPr>
      </w:pPr>
    </w:p>
    <w:p w14:paraId="7D75E9D5">
      <w:pPr>
        <w:adjustRightInd/>
        <w:snapToGrid/>
        <w:spacing w:after="0" w:line="360" w:lineRule="auto"/>
        <w:ind w:firstLine="480" w:firstLineChars="200"/>
        <w:jc w:val="both"/>
        <w:textAlignment w:val="baseline"/>
        <w:outlineLvl w:val="9"/>
        <w:rPr>
          <w:rFonts w:hint="eastAsia" w:ascii="宋体" w:hAnsi="宋体" w:eastAsia="宋体" w:cs="宋体"/>
          <w:kern w:val="2"/>
          <w:sz w:val="24"/>
          <w:szCs w:val="24"/>
        </w:rPr>
      </w:pPr>
    </w:p>
    <w:p w14:paraId="0F8C542A">
      <w:pPr>
        <w:adjustRightInd/>
        <w:snapToGrid/>
        <w:spacing w:after="0" w:line="360" w:lineRule="auto"/>
        <w:jc w:val="both"/>
        <w:textAlignment w:val="baseline"/>
        <w:outlineLvl w:val="9"/>
        <w:rPr>
          <w:rFonts w:hAnsi="宋体" w:eastAsia="宋体" w:cs="宋体"/>
          <w:sz w:val="24"/>
          <w:szCs w:val="24"/>
        </w:rPr>
      </w:pPr>
      <w:r>
        <w:rPr>
          <w:rFonts w:hint="eastAsia" w:ascii="宋体" w:hAnsi="宋体" w:eastAsia="宋体" w:cs="宋体"/>
          <w:kern w:val="2"/>
          <w:sz w:val="24"/>
          <w:szCs w:val="24"/>
        </w:rPr>
        <w:t xml:space="preserve">                                        投标人名称（公章）：</w:t>
      </w:r>
    </w:p>
    <w:p w14:paraId="3F0830E2">
      <w:pPr>
        <w:adjustRightInd/>
        <w:snapToGrid/>
        <w:spacing w:after="0" w:line="360" w:lineRule="auto"/>
        <w:ind w:firstLine="2880" w:firstLineChars="1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 xml:space="preserve">               法定代表人或授权代表人（签字）：</w:t>
      </w:r>
    </w:p>
    <w:p w14:paraId="7301713C">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 xml:space="preserve">          日期：   年   月     日</w:t>
      </w:r>
    </w:p>
    <w:p w14:paraId="3D6199C2">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rPr>
      </w:pPr>
    </w:p>
    <w:p w14:paraId="009DFFEC">
      <w:pPr>
        <w:outlineLvl w:val="9"/>
        <w:rPr>
          <w:rFonts w:ascii="宋体" w:hAnsi="宋体" w:eastAsia="宋体" w:cs="宋体"/>
          <w:b/>
          <w:bCs/>
          <w:sz w:val="24"/>
          <w:szCs w:val="24"/>
        </w:rPr>
      </w:pPr>
      <w:bookmarkStart w:id="215" w:name="_Toc11759"/>
      <w:bookmarkStart w:id="216" w:name="_Toc13529"/>
      <w:bookmarkStart w:id="217" w:name="_Toc2787"/>
      <w:bookmarkStart w:id="218" w:name="_Toc26559"/>
      <w:r>
        <w:rPr>
          <w:rFonts w:hint="eastAsia" w:ascii="宋体" w:hAnsi="宋体" w:eastAsia="宋体" w:cs="宋体"/>
          <w:b/>
          <w:bCs/>
          <w:sz w:val="24"/>
          <w:szCs w:val="24"/>
        </w:rPr>
        <w:br w:type="page"/>
      </w:r>
    </w:p>
    <w:p w14:paraId="2AF3D227">
      <w:pPr>
        <w:jc w:val="center"/>
        <w:outlineLvl w:val="9"/>
        <w:rPr>
          <w:rFonts w:ascii="宋体" w:hAnsi="宋体" w:eastAsia="宋体" w:cs="宋体"/>
          <w:b/>
          <w:kern w:val="2"/>
          <w:sz w:val="24"/>
          <w:szCs w:val="24"/>
        </w:rPr>
      </w:pPr>
      <w:bookmarkStart w:id="219" w:name="_Toc15548"/>
      <w:r>
        <w:rPr>
          <w:rFonts w:hint="eastAsia" w:ascii="宋体" w:hAnsi="宋体" w:eastAsia="宋体" w:cs="宋体"/>
          <w:b/>
          <w:bCs/>
          <w:sz w:val="24"/>
          <w:szCs w:val="24"/>
        </w:rPr>
        <w:t>附件3：</w:t>
      </w:r>
      <w:bookmarkEnd w:id="215"/>
      <w:bookmarkEnd w:id="216"/>
      <w:bookmarkEnd w:id="217"/>
      <w:bookmarkEnd w:id="218"/>
      <w:bookmarkStart w:id="220" w:name="_Toc16377"/>
      <w:bookmarkStart w:id="221" w:name="_Toc24943"/>
      <w:bookmarkStart w:id="222" w:name="_Toc15633"/>
      <w:bookmarkStart w:id="223" w:name="_Toc10818_WPSOffice_Level2"/>
      <w:bookmarkStart w:id="224" w:name="_Toc2685_WPSOffice_Level2"/>
      <w:bookmarkStart w:id="225" w:name="_Toc6165"/>
      <w:bookmarkStart w:id="226" w:name="_Toc4031_WPSOffice_Level2"/>
      <w:bookmarkStart w:id="227" w:name="_Toc5466"/>
      <w:r>
        <w:rPr>
          <w:rFonts w:hint="eastAsia" w:ascii="宋体" w:hAnsi="宋体" w:eastAsia="宋体" w:cs="宋体"/>
          <w:b/>
          <w:kern w:val="2"/>
          <w:sz w:val="24"/>
          <w:szCs w:val="24"/>
        </w:rPr>
        <w:t>法定代表人身份证明(法定代表人参加投标)</w:t>
      </w:r>
      <w:bookmarkEnd w:id="219"/>
      <w:bookmarkEnd w:id="220"/>
      <w:bookmarkEnd w:id="221"/>
      <w:bookmarkEnd w:id="222"/>
      <w:bookmarkEnd w:id="223"/>
      <w:bookmarkEnd w:id="224"/>
      <w:bookmarkEnd w:id="225"/>
      <w:bookmarkEnd w:id="226"/>
      <w:bookmarkEnd w:id="227"/>
    </w:p>
    <w:p w14:paraId="51742CA7">
      <w:pPr>
        <w:adjustRightInd/>
        <w:snapToGrid/>
        <w:spacing w:after="0" w:line="360" w:lineRule="auto"/>
        <w:jc w:val="both"/>
        <w:textAlignment w:val="baseline"/>
        <w:outlineLvl w:val="9"/>
        <w:rPr>
          <w:rFonts w:ascii="宋体" w:hAnsi="宋体" w:eastAsia="宋体" w:cs="宋体"/>
          <w:b/>
          <w:kern w:val="2"/>
          <w:sz w:val="24"/>
          <w:szCs w:val="24"/>
        </w:rPr>
      </w:pPr>
    </w:p>
    <w:p w14:paraId="2ED6774E">
      <w:pPr>
        <w:pStyle w:val="45"/>
        <w:framePr w:wrap="around" w:vAnchor="page" w:hAnchor="page" w:x="646" w:y="1141"/>
        <w:outlineLvl w:val="9"/>
        <w:rPr>
          <w:rFonts w:cs="宋体"/>
          <w:sz w:val="24"/>
          <w:szCs w:val="24"/>
        </w:rPr>
      </w:pPr>
      <w:bookmarkStart w:id="228" w:name="_Toc21861"/>
      <w:bookmarkStart w:id="229" w:name="_Toc10536"/>
    </w:p>
    <w:p w14:paraId="3FB024EA">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 xml:space="preserve">供应商名称：                       </w:t>
      </w:r>
    </w:p>
    <w:p w14:paraId="3F520EFE">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 xml:space="preserve">单位性质：                      </w:t>
      </w:r>
    </w:p>
    <w:p w14:paraId="207154E8">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 xml:space="preserve">地址：                           </w:t>
      </w:r>
    </w:p>
    <w:p w14:paraId="3300F375">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成立时间：         年    月     日</w:t>
      </w:r>
    </w:p>
    <w:p w14:paraId="4C1229FD">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 xml:space="preserve">经营期限：                        </w:t>
      </w:r>
    </w:p>
    <w:p w14:paraId="3798A6C1">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姓名：         性别：</w:t>
      </w:r>
      <w:r>
        <w:rPr>
          <w:rFonts w:hint="eastAsia" w:ascii="宋体" w:hAnsi="宋体" w:eastAsia="宋体" w:cs="宋体"/>
          <w:bCs/>
          <w:kern w:val="2"/>
          <w:sz w:val="24"/>
          <w:szCs w:val="24"/>
          <w:lang w:val="en-US" w:eastAsia="zh-CN"/>
        </w:rPr>
        <w:t xml:space="preserve"> </w:t>
      </w:r>
      <w:r>
        <w:rPr>
          <w:rFonts w:hint="eastAsia" w:ascii="宋体" w:hAnsi="宋体" w:eastAsia="宋体" w:cs="宋体"/>
          <w:bCs/>
          <w:kern w:val="2"/>
          <w:sz w:val="24"/>
          <w:szCs w:val="24"/>
        </w:rPr>
        <w:t xml:space="preserve">  </w:t>
      </w:r>
      <w:r>
        <w:rPr>
          <w:rFonts w:hint="eastAsia" w:ascii="宋体" w:hAnsi="宋体" w:eastAsia="宋体" w:cs="宋体"/>
          <w:bCs/>
          <w:kern w:val="2"/>
          <w:sz w:val="24"/>
          <w:szCs w:val="24"/>
          <w:lang w:val="en-US" w:eastAsia="zh-CN"/>
        </w:rPr>
        <w:t xml:space="preserve">  </w:t>
      </w:r>
      <w:r>
        <w:rPr>
          <w:rFonts w:hint="eastAsia" w:ascii="宋体" w:hAnsi="宋体" w:eastAsia="宋体" w:cs="宋体"/>
          <w:bCs/>
          <w:kern w:val="2"/>
          <w:sz w:val="24"/>
          <w:szCs w:val="24"/>
        </w:rPr>
        <w:t xml:space="preserve">  年龄：</w:t>
      </w:r>
      <w:r>
        <w:rPr>
          <w:rFonts w:hint="eastAsia" w:ascii="宋体" w:hAnsi="宋体" w:eastAsia="宋体" w:cs="宋体"/>
          <w:bCs/>
          <w:kern w:val="2"/>
          <w:sz w:val="24"/>
          <w:szCs w:val="24"/>
          <w:lang w:val="en-US" w:eastAsia="zh-CN"/>
        </w:rPr>
        <w:t xml:space="preserve"> </w:t>
      </w:r>
      <w:r>
        <w:rPr>
          <w:rFonts w:hint="eastAsia" w:ascii="宋体" w:hAnsi="宋体" w:eastAsia="宋体" w:cs="宋体"/>
          <w:bCs/>
          <w:kern w:val="2"/>
          <w:sz w:val="24"/>
          <w:szCs w:val="24"/>
        </w:rPr>
        <w:t xml:space="preserve">  </w:t>
      </w:r>
      <w:r>
        <w:rPr>
          <w:rFonts w:hint="eastAsia" w:ascii="宋体" w:hAnsi="宋体" w:eastAsia="宋体" w:cs="宋体"/>
          <w:bCs/>
          <w:kern w:val="2"/>
          <w:sz w:val="24"/>
          <w:szCs w:val="24"/>
          <w:lang w:val="en-US" w:eastAsia="zh-CN"/>
        </w:rPr>
        <w:t xml:space="preserve"> </w:t>
      </w:r>
      <w:r>
        <w:rPr>
          <w:rFonts w:hint="eastAsia" w:ascii="宋体" w:hAnsi="宋体" w:eastAsia="宋体" w:cs="宋体"/>
          <w:bCs/>
          <w:kern w:val="2"/>
          <w:sz w:val="24"/>
          <w:szCs w:val="24"/>
        </w:rPr>
        <w:t xml:space="preserve">    职务：       </w:t>
      </w:r>
    </w:p>
    <w:p w14:paraId="4146AFB3">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 xml:space="preserve">身份证号码：                 联系电话：           </w:t>
      </w:r>
    </w:p>
    <w:p w14:paraId="387E62E1">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系                          （供应商名称）的法定代表人。</w:t>
      </w:r>
    </w:p>
    <w:p w14:paraId="5DFA90C1">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特此证明。</w:t>
      </w:r>
    </w:p>
    <w:p w14:paraId="64F2DC4D">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 xml:space="preserve">供应商（加盖公章）：                                       </w:t>
      </w:r>
    </w:p>
    <w:p w14:paraId="42A9B6C0">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日期：         年     月      日</w:t>
      </w:r>
    </w:p>
    <w:p w14:paraId="316EA95E">
      <w:pPr>
        <w:jc w:val="both"/>
        <w:outlineLvl w:val="9"/>
        <w:rPr>
          <w:rFonts w:ascii="宋体" w:hAnsi="宋体" w:eastAsia="宋体" w:cs="宋体"/>
          <w:bCs/>
          <w:kern w:val="2"/>
          <w:sz w:val="24"/>
          <w:szCs w:val="24"/>
        </w:rPr>
      </w:pPr>
      <w:r>
        <w:rPr>
          <w:rFonts w:hint="eastAsia" w:ascii="宋体" w:hAnsi="宋体" w:eastAsia="宋体" w:cs="宋体"/>
          <w:bCs/>
          <w:kern w:val="2"/>
          <w:sz w:val="24"/>
          <w:szCs w:val="24"/>
        </w:rPr>
        <w:t>法定代表人身份证复印件：</w:t>
      </w:r>
    </w:p>
    <w:tbl>
      <w:tblPr>
        <w:tblStyle w:val="27"/>
        <w:tblpPr w:leftFromText="180" w:rightFromText="180" w:vertAnchor="text" w:horzAnchor="page" w:tblpX="1243" w:tblpY="220"/>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5"/>
      </w:tblGrid>
      <w:tr w14:paraId="545E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trPr>
        <w:tc>
          <w:tcPr>
            <w:tcW w:w="9795" w:type="dxa"/>
          </w:tcPr>
          <w:p w14:paraId="6AD3A037">
            <w:pPr>
              <w:outlineLvl w:val="9"/>
              <w:rPr>
                <w:rFonts w:ascii="宋体" w:hAnsi="宋体" w:eastAsia="宋体" w:cs="宋体"/>
                <w:bCs/>
                <w:kern w:val="2"/>
                <w:sz w:val="24"/>
                <w:szCs w:val="24"/>
              </w:rPr>
            </w:pPr>
          </w:p>
          <w:p w14:paraId="30D8EA0D">
            <w:pPr>
              <w:outlineLvl w:val="9"/>
              <w:rPr>
                <w:rFonts w:ascii="宋体" w:hAnsi="宋体" w:eastAsia="宋体" w:cs="宋体"/>
                <w:bCs/>
                <w:kern w:val="2"/>
                <w:sz w:val="24"/>
                <w:szCs w:val="24"/>
              </w:rPr>
            </w:pPr>
          </w:p>
          <w:p w14:paraId="42183B69">
            <w:pPr>
              <w:outlineLvl w:val="9"/>
              <w:rPr>
                <w:rFonts w:ascii="宋体" w:hAnsi="宋体" w:eastAsia="宋体" w:cs="宋体"/>
                <w:bCs/>
                <w:kern w:val="2"/>
                <w:sz w:val="24"/>
                <w:szCs w:val="24"/>
              </w:rPr>
            </w:pPr>
          </w:p>
          <w:p w14:paraId="2FDB93EC">
            <w:pPr>
              <w:jc w:val="center"/>
              <w:outlineLvl w:val="9"/>
              <w:rPr>
                <w:rFonts w:ascii="宋体" w:hAnsi="宋体" w:eastAsia="宋体" w:cs="宋体"/>
                <w:bCs/>
                <w:kern w:val="2"/>
                <w:sz w:val="24"/>
                <w:szCs w:val="24"/>
              </w:rPr>
            </w:pPr>
            <w:r>
              <w:rPr>
                <w:rFonts w:hint="eastAsia" w:ascii="宋体" w:hAnsi="宋体" w:eastAsia="宋体" w:cs="宋体"/>
                <w:bCs/>
                <w:kern w:val="2"/>
                <w:sz w:val="24"/>
                <w:szCs w:val="24"/>
              </w:rPr>
              <w:t>法定代表人身份证</w:t>
            </w:r>
          </w:p>
          <w:p w14:paraId="2CCA63DF">
            <w:pPr>
              <w:jc w:val="center"/>
              <w:outlineLvl w:val="9"/>
              <w:rPr>
                <w:rFonts w:ascii="宋体" w:hAnsi="宋体" w:eastAsia="宋体" w:cs="宋体"/>
                <w:bCs/>
                <w:kern w:val="2"/>
                <w:sz w:val="24"/>
                <w:szCs w:val="24"/>
              </w:rPr>
            </w:pPr>
            <w:r>
              <w:rPr>
                <w:rFonts w:hint="eastAsia" w:ascii="宋体" w:hAnsi="宋体" w:eastAsia="宋体" w:cs="宋体"/>
                <w:bCs/>
                <w:kern w:val="2"/>
                <w:sz w:val="24"/>
                <w:szCs w:val="24"/>
              </w:rPr>
              <w:t>复印件（正反面分别加盖公章）</w:t>
            </w:r>
          </w:p>
          <w:p w14:paraId="78808977">
            <w:pPr>
              <w:outlineLvl w:val="9"/>
              <w:rPr>
                <w:rFonts w:ascii="宋体" w:hAnsi="宋体" w:eastAsia="宋体" w:cs="宋体"/>
                <w:bCs/>
                <w:kern w:val="2"/>
                <w:sz w:val="24"/>
                <w:szCs w:val="24"/>
              </w:rPr>
            </w:pPr>
          </w:p>
          <w:p w14:paraId="5150B8FA">
            <w:pPr>
              <w:outlineLvl w:val="9"/>
              <w:rPr>
                <w:rFonts w:ascii="宋体" w:hAnsi="宋体" w:eastAsia="宋体" w:cs="宋体"/>
                <w:bCs/>
                <w:kern w:val="2"/>
                <w:sz w:val="24"/>
                <w:szCs w:val="24"/>
              </w:rPr>
            </w:pPr>
          </w:p>
          <w:p w14:paraId="4955A657">
            <w:pPr>
              <w:outlineLvl w:val="9"/>
              <w:rPr>
                <w:rFonts w:ascii="宋体" w:hAnsi="宋体" w:eastAsia="宋体" w:cs="宋体"/>
                <w:bCs/>
                <w:kern w:val="2"/>
                <w:sz w:val="24"/>
                <w:szCs w:val="24"/>
              </w:rPr>
            </w:pPr>
          </w:p>
        </w:tc>
      </w:tr>
      <w:bookmarkEnd w:id="228"/>
      <w:bookmarkEnd w:id="229"/>
    </w:tbl>
    <w:p w14:paraId="46ED328B">
      <w:pPr>
        <w:pStyle w:val="7"/>
        <w:ind w:firstLine="482"/>
        <w:outlineLvl w:val="9"/>
        <w:rPr>
          <w:rFonts w:hAnsi="宋体" w:eastAsia="宋体" w:cs="宋体"/>
          <w:b/>
          <w:kern w:val="2"/>
          <w:sz w:val="24"/>
          <w:szCs w:val="24"/>
          <w:lang w:eastAsia="zh-CN"/>
        </w:rPr>
      </w:pPr>
    </w:p>
    <w:p w14:paraId="7B1E4E5D">
      <w:pPr>
        <w:pStyle w:val="7"/>
        <w:ind w:firstLine="0" w:firstLineChars="0"/>
        <w:outlineLvl w:val="9"/>
        <w:rPr>
          <w:rFonts w:hAnsi="宋体" w:eastAsia="宋体" w:cs="宋体"/>
          <w:sz w:val="24"/>
          <w:szCs w:val="24"/>
          <w:lang w:eastAsia="zh-CN"/>
        </w:rPr>
      </w:pPr>
    </w:p>
    <w:p w14:paraId="33C94861">
      <w:pPr>
        <w:outlineLvl w:val="9"/>
        <w:rPr>
          <w:rFonts w:ascii="宋体" w:hAnsi="宋体" w:eastAsia="宋体" w:cs="宋体"/>
          <w:b/>
          <w:bCs/>
          <w:sz w:val="24"/>
          <w:szCs w:val="24"/>
        </w:rPr>
        <w:sectPr>
          <w:headerReference r:id="rId12" w:type="default"/>
          <w:pgSz w:w="11906" w:h="16838"/>
          <w:pgMar w:top="1440" w:right="1080" w:bottom="1440" w:left="1080" w:header="851" w:footer="992" w:gutter="0"/>
          <w:pgNumType w:fmt="decimal"/>
          <w:cols w:space="720" w:num="1"/>
          <w:docGrid w:linePitch="312" w:charSpace="0"/>
        </w:sectPr>
      </w:pPr>
      <w:bookmarkStart w:id="230" w:name="_Toc18846"/>
      <w:bookmarkStart w:id="231" w:name="_Toc27110"/>
      <w:bookmarkStart w:id="232" w:name="_Toc20408"/>
      <w:bookmarkStart w:id="233" w:name="_Toc7412"/>
    </w:p>
    <w:p w14:paraId="530FF3A1">
      <w:pPr>
        <w:jc w:val="center"/>
        <w:outlineLvl w:val="9"/>
        <w:rPr>
          <w:rFonts w:ascii="宋体" w:hAnsi="宋体" w:eastAsia="宋体" w:cs="宋体"/>
          <w:b/>
          <w:kern w:val="2"/>
          <w:sz w:val="24"/>
          <w:szCs w:val="24"/>
        </w:rPr>
      </w:pPr>
      <w:bookmarkStart w:id="234" w:name="_Toc6116"/>
      <w:bookmarkStart w:id="235" w:name="_Toc30843"/>
      <w:r>
        <w:rPr>
          <w:rFonts w:hint="eastAsia" w:ascii="宋体" w:hAnsi="宋体" w:eastAsia="宋体" w:cs="宋体"/>
          <w:b/>
          <w:bCs/>
          <w:sz w:val="24"/>
          <w:szCs w:val="24"/>
        </w:rPr>
        <w:t>附件4：</w:t>
      </w:r>
      <w:bookmarkEnd w:id="230"/>
      <w:bookmarkEnd w:id="231"/>
      <w:bookmarkEnd w:id="232"/>
      <w:bookmarkEnd w:id="233"/>
      <w:bookmarkEnd w:id="234"/>
      <w:r>
        <w:rPr>
          <w:rFonts w:hint="eastAsia" w:ascii="宋体" w:hAnsi="宋体" w:eastAsia="宋体" w:cs="宋体"/>
          <w:b/>
          <w:kern w:val="2"/>
          <w:sz w:val="24"/>
          <w:szCs w:val="24"/>
        </w:rPr>
        <w:t>法人授权函（委托代理人参加投标时提供）</w:t>
      </w:r>
      <w:bookmarkEnd w:id="235"/>
    </w:p>
    <w:p w14:paraId="3A5973CC">
      <w:pPr>
        <w:adjustRightInd/>
        <w:snapToGrid/>
        <w:spacing w:after="0" w:line="360" w:lineRule="auto"/>
        <w:jc w:val="center"/>
        <w:textAlignment w:val="baseline"/>
        <w:outlineLvl w:val="9"/>
        <w:rPr>
          <w:rFonts w:ascii="宋体" w:hAnsi="宋体" w:eastAsia="宋体" w:cs="宋体"/>
          <w:kern w:val="2"/>
          <w:sz w:val="24"/>
          <w:szCs w:val="24"/>
        </w:rPr>
      </w:pPr>
    </w:p>
    <w:p w14:paraId="36F448D1">
      <w:pPr>
        <w:spacing w:line="50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本授权函声明：任命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为我公司的授权代表人，参与招标编号为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w:t>
      </w:r>
      <w:r>
        <w:rPr>
          <w:rFonts w:hint="eastAsia" w:ascii="宋体" w:hAnsi="宋体" w:eastAsia="宋体" w:cs="宋体"/>
          <w:sz w:val="24"/>
          <w:szCs w:val="24"/>
          <w:u w:val="single"/>
          <w:lang w:val="en-US" w:eastAsia="zh-CN"/>
        </w:rPr>
        <w:t>（第*包）</w:t>
      </w:r>
      <w:r>
        <w:rPr>
          <w:rFonts w:hint="eastAsia" w:ascii="宋体" w:hAnsi="宋体" w:eastAsia="宋体" w:cs="宋体"/>
          <w:bCs/>
          <w:sz w:val="24"/>
          <w:szCs w:val="24"/>
        </w:rPr>
        <w:t>的</w:t>
      </w:r>
      <w:r>
        <w:rPr>
          <w:rFonts w:hint="eastAsia" w:ascii="宋体" w:hAnsi="宋体" w:eastAsia="宋体" w:cs="宋体"/>
          <w:sz w:val="24"/>
          <w:szCs w:val="24"/>
        </w:rPr>
        <w:t>投标活动，以投标人的名义签署投标文件、进行合同谈判、签署合同和全权处理与之有关的一切事务。</w:t>
      </w:r>
    </w:p>
    <w:p w14:paraId="02184D04">
      <w:pPr>
        <w:spacing w:line="50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特此声明。</w:t>
      </w:r>
    </w:p>
    <w:p w14:paraId="7F9C857D">
      <w:pPr>
        <w:adjustRightInd/>
        <w:snapToGrid/>
        <w:spacing w:after="0" w:line="360" w:lineRule="auto"/>
        <w:textAlignment w:val="baseline"/>
        <w:outlineLvl w:val="9"/>
        <w:rPr>
          <w:rFonts w:ascii="宋体" w:hAnsi="宋体" w:eastAsia="宋体" w:cs="宋体"/>
          <w:kern w:val="2"/>
          <w:sz w:val="24"/>
          <w:szCs w:val="24"/>
        </w:rPr>
      </w:pPr>
    </w:p>
    <w:p w14:paraId="3B873112">
      <w:pPr>
        <w:adjustRightInd/>
        <w:snapToGrid/>
        <w:spacing w:after="120" w:line="360" w:lineRule="auto"/>
        <w:ind w:firstLine="437"/>
        <w:jc w:val="both"/>
        <w:textAlignment w:val="baseline"/>
        <w:outlineLvl w:val="9"/>
        <w:rPr>
          <w:rFonts w:ascii="宋体" w:hAnsi="宋体" w:eastAsia="宋体" w:cs="宋体"/>
          <w:b/>
          <w:kern w:val="2"/>
          <w:sz w:val="24"/>
          <w:szCs w:val="24"/>
          <w:u w:val="single"/>
        </w:rPr>
      </w:pPr>
      <w:r>
        <w:rPr>
          <w:rFonts w:hint="eastAsia" w:ascii="宋体" w:hAnsi="宋体" w:eastAsia="宋体" w:cs="宋体"/>
          <w:b/>
          <w:kern w:val="2"/>
          <w:sz w:val="24"/>
          <w:szCs w:val="24"/>
        </w:rPr>
        <w:t>投标人名称（公章）：</w:t>
      </w:r>
    </w:p>
    <w:p w14:paraId="5A896B6A">
      <w:pPr>
        <w:adjustRightInd/>
        <w:snapToGrid/>
        <w:spacing w:after="120" w:line="360" w:lineRule="auto"/>
        <w:ind w:firstLine="437"/>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法定代表人签字：</w:t>
      </w:r>
    </w:p>
    <w:p w14:paraId="36DEC22F">
      <w:pPr>
        <w:adjustRightInd/>
        <w:snapToGrid/>
        <w:spacing w:after="120" w:line="360" w:lineRule="auto"/>
        <w:ind w:firstLine="437"/>
        <w:jc w:val="both"/>
        <w:textAlignment w:val="baseline"/>
        <w:outlineLvl w:val="9"/>
        <w:rPr>
          <w:rFonts w:ascii="宋体" w:hAnsi="宋体" w:eastAsia="宋体" w:cs="宋体"/>
          <w:b/>
          <w:kern w:val="2"/>
          <w:sz w:val="24"/>
          <w:szCs w:val="24"/>
          <w:u w:val="single"/>
        </w:rPr>
      </w:pPr>
      <w:r>
        <w:rPr>
          <w:rFonts w:hint="eastAsia" w:ascii="宋体" w:hAnsi="宋体" w:eastAsia="宋体" w:cs="宋体"/>
          <w:b/>
          <w:kern w:val="2"/>
          <w:sz w:val="24"/>
          <w:szCs w:val="24"/>
        </w:rPr>
        <w:t>授权代表人签字：</w:t>
      </w:r>
    </w:p>
    <w:p w14:paraId="6603C10D">
      <w:pPr>
        <w:adjustRightInd/>
        <w:snapToGrid/>
        <w:spacing w:after="0" w:line="300" w:lineRule="auto"/>
        <w:ind w:firstLine="472" w:firstLineChars="196"/>
        <w:jc w:val="both"/>
        <w:textAlignment w:val="baseline"/>
        <w:outlineLvl w:val="9"/>
        <w:rPr>
          <w:rFonts w:ascii="宋体" w:hAnsi="宋体" w:eastAsia="宋体" w:cs="宋体"/>
          <w:kern w:val="2"/>
          <w:sz w:val="24"/>
          <w:szCs w:val="24"/>
        </w:rPr>
      </w:pPr>
      <w:r>
        <w:rPr>
          <w:rFonts w:hint="eastAsia" w:ascii="宋体" w:hAnsi="宋体" w:eastAsia="宋体" w:cs="宋体"/>
          <w:b/>
          <w:kern w:val="2"/>
          <w:sz w:val="24"/>
          <w:szCs w:val="24"/>
        </w:rPr>
        <w:t>授权日期：年月日</w:t>
      </w:r>
    </w:p>
    <w:p w14:paraId="52A89F62">
      <w:pPr>
        <w:adjustRightInd/>
        <w:snapToGrid/>
        <w:spacing w:after="0" w:line="300" w:lineRule="auto"/>
        <w:jc w:val="right"/>
        <w:textAlignment w:val="baseline"/>
        <w:outlineLvl w:val="9"/>
        <w:rPr>
          <w:rFonts w:ascii="宋体" w:hAnsi="宋体" w:eastAsia="宋体" w:cs="宋体"/>
          <w:kern w:val="2"/>
          <w:sz w:val="24"/>
          <w:szCs w:val="24"/>
        </w:rPr>
      </w:pPr>
    </w:p>
    <w:tbl>
      <w:tblPr>
        <w:tblStyle w:val="27"/>
        <w:tblW w:w="9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5"/>
        <w:gridCol w:w="4659"/>
      </w:tblGrid>
      <w:tr w14:paraId="461F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3" w:hRule="atLeast"/>
        </w:trPr>
        <w:tc>
          <w:tcPr>
            <w:tcW w:w="4545" w:type="dxa"/>
            <w:tcBorders>
              <w:top w:val="single" w:color="000000" w:sz="4" w:space="0"/>
              <w:left w:val="single" w:color="000000" w:sz="4" w:space="0"/>
              <w:bottom w:val="single" w:color="000000" w:sz="4" w:space="0"/>
              <w:right w:val="single" w:color="000000" w:sz="4" w:space="0"/>
            </w:tcBorders>
            <w:vAlign w:val="center"/>
          </w:tcPr>
          <w:p w14:paraId="5563DB7C">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法定代表人身份证</w:t>
            </w:r>
          </w:p>
          <w:p w14:paraId="47FB2E43">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复印件（正面）</w:t>
            </w:r>
          </w:p>
        </w:tc>
        <w:tc>
          <w:tcPr>
            <w:tcW w:w="4659" w:type="dxa"/>
            <w:tcBorders>
              <w:top w:val="single" w:color="000000" w:sz="4" w:space="0"/>
              <w:left w:val="single" w:color="000000" w:sz="4" w:space="0"/>
              <w:bottom w:val="single" w:color="000000" w:sz="4" w:space="0"/>
              <w:right w:val="single" w:color="000000" w:sz="4" w:space="0"/>
            </w:tcBorders>
            <w:vAlign w:val="center"/>
          </w:tcPr>
          <w:p w14:paraId="750028ED">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法定代表人身份证</w:t>
            </w:r>
          </w:p>
          <w:p w14:paraId="53B66B36">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复印件（反面）</w:t>
            </w:r>
          </w:p>
        </w:tc>
      </w:tr>
      <w:tr w14:paraId="28E34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3" w:hRule="atLeast"/>
        </w:trPr>
        <w:tc>
          <w:tcPr>
            <w:tcW w:w="4545" w:type="dxa"/>
            <w:tcBorders>
              <w:top w:val="single" w:color="000000" w:sz="4" w:space="0"/>
              <w:left w:val="single" w:color="000000" w:sz="4" w:space="0"/>
              <w:bottom w:val="single" w:color="000000" w:sz="4" w:space="0"/>
              <w:right w:val="single" w:color="000000" w:sz="4" w:space="0"/>
            </w:tcBorders>
            <w:vAlign w:val="center"/>
          </w:tcPr>
          <w:p w14:paraId="09996C98">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授权委托人身份证</w:t>
            </w:r>
          </w:p>
          <w:p w14:paraId="2068955F">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复印件（正面）</w:t>
            </w:r>
          </w:p>
        </w:tc>
        <w:tc>
          <w:tcPr>
            <w:tcW w:w="4659" w:type="dxa"/>
            <w:tcBorders>
              <w:top w:val="single" w:color="000000" w:sz="4" w:space="0"/>
              <w:left w:val="single" w:color="000000" w:sz="4" w:space="0"/>
              <w:bottom w:val="single" w:color="000000" w:sz="4" w:space="0"/>
              <w:right w:val="single" w:color="000000" w:sz="4" w:space="0"/>
            </w:tcBorders>
            <w:vAlign w:val="center"/>
          </w:tcPr>
          <w:p w14:paraId="3582601C">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授权委托人身份证</w:t>
            </w:r>
          </w:p>
          <w:p w14:paraId="6923CAE1">
            <w:pPr>
              <w:adjustRightInd/>
              <w:snapToGrid/>
              <w:spacing w:after="12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复印件（反面）</w:t>
            </w:r>
          </w:p>
        </w:tc>
      </w:tr>
    </w:tbl>
    <w:p w14:paraId="12E08032">
      <w:pPr>
        <w:pStyle w:val="8"/>
        <w:ind w:left="0" w:leftChars="0" w:firstLine="0" w:firstLineChars="0"/>
        <w:outlineLvl w:val="9"/>
        <w:rPr>
          <w:rFonts w:ascii="宋体" w:hAnsi="宋体" w:eastAsia="宋体" w:cs="宋体"/>
          <w:sz w:val="24"/>
          <w:szCs w:val="24"/>
        </w:rPr>
      </w:pPr>
    </w:p>
    <w:p w14:paraId="56C9E5E2">
      <w:pPr>
        <w:adjustRightInd/>
        <w:snapToGrid/>
        <w:spacing w:after="0" w:line="360" w:lineRule="auto"/>
        <w:textAlignment w:val="baseline"/>
        <w:outlineLvl w:val="9"/>
        <w:rPr>
          <w:rFonts w:ascii="宋体" w:hAnsi="宋体" w:eastAsia="宋体" w:cs="宋体"/>
          <w:b/>
          <w:kern w:val="2"/>
          <w:sz w:val="24"/>
          <w:szCs w:val="24"/>
        </w:rPr>
      </w:pPr>
      <w:bookmarkStart w:id="236" w:name="_Toc22997"/>
    </w:p>
    <w:p w14:paraId="006A2C4C">
      <w:pPr>
        <w:outlineLvl w:val="9"/>
        <w:rPr>
          <w:rFonts w:ascii="宋体" w:hAnsi="宋体" w:eastAsia="宋体" w:cs="宋体"/>
          <w:b/>
          <w:bCs/>
          <w:sz w:val="24"/>
          <w:szCs w:val="24"/>
        </w:rPr>
        <w:sectPr>
          <w:pgSz w:w="11906" w:h="16838"/>
          <w:pgMar w:top="1440" w:right="1080" w:bottom="1440" w:left="1080" w:header="851" w:footer="992" w:gutter="0"/>
          <w:pgNumType w:fmt="decimal"/>
          <w:cols w:space="720" w:num="1"/>
          <w:docGrid w:linePitch="312" w:charSpace="0"/>
        </w:sectPr>
      </w:pPr>
      <w:bookmarkStart w:id="237" w:name="_Toc23501"/>
      <w:bookmarkStart w:id="238" w:name="_Toc1011"/>
      <w:bookmarkStart w:id="239" w:name="_Toc15995"/>
    </w:p>
    <w:p w14:paraId="4FA0746F">
      <w:pPr>
        <w:jc w:val="center"/>
        <w:outlineLvl w:val="9"/>
        <w:rPr>
          <w:rFonts w:ascii="宋体" w:hAnsi="宋体" w:eastAsia="宋体" w:cs="宋体"/>
          <w:b/>
          <w:kern w:val="2"/>
          <w:sz w:val="24"/>
          <w:szCs w:val="24"/>
        </w:rPr>
      </w:pPr>
      <w:bookmarkStart w:id="240" w:name="_Toc26363"/>
      <w:bookmarkStart w:id="241" w:name="_Toc12200"/>
      <w:r>
        <w:rPr>
          <w:rFonts w:hint="eastAsia" w:ascii="宋体" w:hAnsi="宋体" w:eastAsia="宋体" w:cs="宋体"/>
          <w:b/>
          <w:bCs/>
          <w:sz w:val="24"/>
          <w:szCs w:val="24"/>
        </w:rPr>
        <w:t>附件5：</w:t>
      </w:r>
      <w:bookmarkEnd w:id="236"/>
      <w:bookmarkEnd w:id="237"/>
      <w:bookmarkEnd w:id="238"/>
      <w:bookmarkEnd w:id="239"/>
      <w:bookmarkEnd w:id="240"/>
      <w:r>
        <w:rPr>
          <w:rFonts w:hint="eastAsia" w:ascii="宋体" w:hAnsi="宋体" w:eastAsia="宋体" w:cs="宋体"/>
          <w:b/>
          <w:kern w:val="2"/>
          <w:sz w:val="24"/>
          <w:szCs w:val="24"/>
        </w:rPr>
        <w:t>投标报价表（开标一览表）</w:t>
      </w:r>
      <w:bookmarkEnd w:id="241"/>
    </w:p>
    <w:p w14:paraId="2CA7C186">
      <w:pPr>
        <w:spacing w:before="75" w:line="530" w:lineRule="auto"/>
        <w:ind w:left="253"/>
        <w:rPr>
          <w:rFonts w:ascii="宋体" w:hAnsi="宋体" w:eastAsia="宋体" w:cs="宋体"/>
          <w:spacing w:val="6"/>
          <w:sz w:val="23"/>
          <w:szCs w:val="23"/>
        </w:rPr>
      </w:pPr>
    </w:p>
    <w:p w14:paraId="38246AF6">
      <w:pPr>
        <w:spacing w:before="75" w:line="530" w:lineRule="auto"/>
        <w:ind w:left="253"/>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r>
        <w:rPr>
          <w:rFonts w:ascii="宋体" w:hAnsi="宋体" w:eastAsia="宋体" w:cs="宋体"/>
          <w:sz w:val="23"/>
          <w:szCs w:val="23"/>
          <w:u w:val="single" w:color="auto"/>
        </w:rPr>
        <w:t xml:space="preserve">      </w:t>
      </w:r>
      <w:r>
        <w:rPr>
          <w:rFonts w:hint="eastAsia" w:ascii="宋体" w:hAnsi="宋体" w:eastAsia="宋体" w:cs="宋体"/>
          <w:sz w:val="23"/>
          <w:szCs w:val="23"/>
          <w:u w:val="single" w:color="auto"/>
          <w:lang w:val="en-US" w:eastAsia="zh-CN"/>
        </w:rPr>
        <w:tab/>
      </w:r>
      <w:r>
        <w:rPr>
          <w:rFonts w:hint="eastAsia" w:ascii="宋体" w:hAnsi="宋体" w:eastAsia="宋体" w:cs="宋体"/>
          <w:sz w:val="23"/>
          <w:szCs w:val="23"/>
          <w:u w:val="single" w:color="auto"/>
          <w:lang w:val="en-US" w:eastAsia="zh-CN"/>
        </w:rPr>
        <w:tab/>
      </w:r>
      <w:r>
        <w:rPr>
          <w:rFonts w:hint="eastAsia" w:ascii="宋体" w:hAnsi="宋体" w:eastAsia="宋体" w:cs="宋体"/>
          <w:sz w:val="23"/>
          <w:szCs w:val="23"/>
          <w:u w:val="single" w:color="auto"/>
          <w:lang w:val="en-US" w:eastAsia="zh-CN"/>
        </w:rPr>
        <w:tab/>
      </w:r>
      <w:r>
        <w:rPr>
          <w:rFonts w:ascii="宋体" w:hAnsi="宋体" w:eastAsia="宋体" w:cs="宋体"/>
          <w:sz w:val="23"/>
          <w:szCs w:val="23"/>
          <w:u w:val="single" w:color="auto"/>
        </w:rPr>
        <w:t xml:space="preserve">          </w:t>
      </w:r>
    </w:p>
    <w:p w14:paraId="51020673">
      <w:pPr>
        <w:spacing w:line="227" w:lineRule="auto"/>
        <w:ind w:left="250"/>
        <w:rPr>
          <w:rFonts w:ascii="宋体" w:hAnsi="宋体" w:eastAsia="宋体" w:cs="宋体"/>
          <w:sz w:val="23"/>
          <w:szCs w:val="23"/>
        </w:rPr>
      </w:pPr>
      <w:r>
        <w:rPr>
          <w:rFonts w:ascii="宋体" w:hAnsi="宋体" w:eastAsia="宋体" w:cs="宋体"/>
          <w:spacing w:val="6"/>
          <w:sz w:val="23"/>
          <w:szCs w:val="23"/>
        </w:rPr>
        <w:t>招标编号</w:t>
      </w:r>
      <w:r>
        <w:rPr>
          <w:rFonts w:ascii="宋体" w:hAnsi="宋体" w:eastAsia="宋体" w:cs="宋体"/>
          <w:spacing w:val="5"/>
          <w:sz w:val="23"/>
          <w:szCs w:val="23"/>
        </w:rPr>
        <w:t>：</w:t>
      </w:r>
      <w:r>
        <w:rPr>
          <w:rFonts w:ascii="宋体" w:hAnsi="宋体" w:eastAsia="宋体" w:cs="宋体"/>
          <w:sz w:val="23"/>
          <w:szCs w:val="23"/>
          <w:u w:val="single" w:color="auto"/>
        </w:rPr>
        <w:t xml:space="preserve">     </w:t>
      </w:r>
      <w:r>
        <w:rPr>
          <w:rFonts w:hint="eastAsia" w:ascii="宋体" w:hAnsi="宋体" w:eastAsia="宋体" w:cs="宋体"/>
          <w:sz w:val="23"/>
          <w:szCs w:val="23"/>
          <w:u w:val="single" w:color="auto"/>
          <w:lang w:val="en-US" w:eastAsia="zh-CN"/>
        </w:rPr>
        <w:tab/>
      </w:r>
      <w:r>
        <w:rPr>
          <w:rFonts w:hint="eastAsia" w:ascii="宋体" w:hAnsi="宋体" w:eastAsia="宋体" w:cs="宋体"/>
          <w:sz w:val="23"/>
          <w:szCs w:val="23"/>
          <w:u w:val="single" w:color="auto"/>
          <w:lang w:val="en-US" w:eastAsia="zh-CN"/>
        </w:rPr>
        <w:tab/>
      </w:r>
      <w:r>
        <w:rPr>
          <w:rFonts w:hint="eastAsia" w:ascii="宋体" w:hAnsi="宋体" w:eastAsia="宋体" w:cs="宋体"/>
          <w:sz w:val="23"/>
          <w:szCs w:val="23"/>
          <w:u w:val="single" w:color="auto"/>
          <w:lang w:val="en-US" w:eastAsia="zh-CN"/>
        </w:rPr>
        <w:tab/>
      </w:r>
      <w:r>
        <w:rPr>
          <w:rFonts w:ascii="宋体" w:hAnsi="宋体" w:eastAsia="宋体" w:cs="宋体"/>
          <w:sz w:val="23"/>
          <w:szCs w:val="23"/>
          <w:u w:val="single" w:color="auto"/>
        </w:rPr>
        <w:t xml:space="preserve">            </w:t>
      </w:r>
    </w:p>
    <w:p w14:paraId="397B208B">
      <w:pPr>
        <w:spacing w:line="300" w:lineRule="auto"/>
        <w:rPr>
          <w:rFonts w:ascii="Arial"/>
          <w:sz w:val="21"/>
        </w:rPr>
      </w:pPr>
    </w:p>
    <w:p w14:paraId="0584E942">
      <w:pPr>
        <w:spacing w:before="75" w:line="228" w:lineRule="auto"/>
        <w:ind w:left="252"/>
        <w:rPr>
          <w:rFonts w:ascii="宋体" w:hAnsi="宋体" w:eastAsia="宋体" w:cs="宋体"/>
          <w:sz w:val="23"/>
          <w:szCs w:val="23"/>
        </w:rPr>
      </w:pPr>
    </w:p>
    <w:tbl>
      <w:tblPr>
        <w:tblStyle w:val="28"/>
        <w:tblpPr w:leftFromText="180" w:rightFromText="180" w:vertAnchor="text" w:horzAnchor="page" w:tblpX="1080" w:tblpY="568"/>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4"/>
        <w:gridCol w:w="2375"/>
        <w:gridCol w:w="2399"/>
      </w:tblGrid>
      <w:tr w14:paraId="3AA7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764" w:type="dxa"/>
          </w:tcPr>
          <w:p w14:paraId="433751AC">
            <w:pPr>
              <w:pStyle w:val="11"/>
              <w:spacing w:before="67" w:after="2" w:line="600" w:lineRule="exact"/>
              <w:jc w:val="center"/>
              <w:outlineLvl w:val="9"/>
              <w:rPr>
                <w:rFonts w:hint="default" w:ascii="宋体" w:hAnsi="宋体" w:eastAsia="宋体" w:cs="宋体"/>
                <w:sz w:val="24"/>
                <w:lang w:val="en-US" w:eastAsia="zh-CN"/>
              </w:rPr>
            </w:pPr>
            <w:r>
              <w:rPr>
                <w:rFonts w:hint="eastAsia" w:ascii="宋体" w:hAnsi="宋体" w:cs="宋体"/>
                <w:sz w:val="24"/>
                <w:lang w:val="en-US" w:eastAsia="zh-CN"/>
              </w:rPr>
              <w:t>投标人</w:t>
            </w:r>
          </w:p>
        </w:tc>
        <w:tc>
          <w:tcPr>
            <w:tcW w:w="2375" w:type="dxa"/>
          </w:tcPr>
          <w:p w14:paraId="0E8AE234">
            <w:pPr>
              <w:pStyle w:val="11"/>
              <w:spacing w:before="67" w:after="2" w:line="600" w:lineRule="exact"/>
              <w:jc w:val="center"/>
              <w:outlineLvl w:val="9"/>
              <w:rPr>
                <w:rFonts w:ascii="宋体" w:hAnsi="宋体" w:cs="宋体"/>
                <w:sz w:val="24"/>
              </w:rPr>
            </w:pPr>
            <w:r>
              <w:rPr>
                <w:rFonts w:hint="eastAsia" w:ascii="宋体" w:hAnsi="宋体" w:cs="宋体"/>
                <w:sz w:val="24"/>
                <w:lang w:val="en-US" w:eastAsia="zh-CN"/>
              </w:rPr>
              <w:t>投标</w:t>
            </w:r>
            <w:r>
              <w:rPr>
                <w:rFonts w:hint="eastAsia" w:ascii="宋体" w:hAnsi="宋体" w:cs="宋体"/>
                <w:sz w:val="24"/>
              </w:rPr>
              <w:t>报价（万元）</w:t>
            </w:r>
          </w:p>
        </w:tc>
        <w:tc>
          <w:tcPr>
            <w:tcW w:w="2399" w:type="dxa"/>
          </w:tcPr>
          <w:p w14:paraId="01508C64">
            <w:pPr>
              <w:pStyle w:val="11"/>
              <w:spacing w:before="67" w:after="2" w:line="600" w:lineRule="exact"/>
              <w:jc w:val="center"/>
              <w:outlineLvl w:val="9"/>
              <w:rPr>
                <w:rFonts w:hint="eastAsia" w:ascii="宋体" w:hAnsi="宋体" w:eastAsia="宋体" w:cs="宋体"/>
                <w:sz w:val="24"/>
                <w:lang w:eastAsia="zh-CN"/>
              </w:rPr>
            </w:pPr>
            <w:r>
              <w:rPr>
                <w:rFonts w:hint="eastAsia" w:ascii="宋体" w:hAnsi="宋体" w:cs="宋体"/>
                <w:sz w:val="24"/>
                <w:lang w:val="en-US" w:eastAsia="zh-CN"/>
              </w:rPr>
              <w:t>服务期（天）</w:t>
            </w:r>
          </w:p>
        </w:tc>
      </w:tr>
      <w:tr w14:paraId="56CA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764" w:type="dxa"/>
          </w:tcPr>
          <w:p w14:paraId="135A1B70">
            <w:pPr>
              <w:pStyle w:val="11"/>
              <w:spacing w:before="67" w:after="2" w:line="600" w:lineRule="exact"/>
              <w:jc w:val="center"/>
              <w:outlineLvl w:val="9"/>
              <w:rPr>
                <w:rFonts w:ascii="宋体" w:hAnsi="宋体" w:cs="宋体"/>
                <w:sz w:val="24"/>
              </w:rPr>
            </w:pPr>
          </w:p>
        </w:tc>
        <w:tc>
          <w:tcPr>
            <w:tcW w:w="2375" w:type="dxa"/>
          </w:tcPr>
          <w:p w14:paraId="6B77C444">
            <w:pPr>
              <w:pStyle w:val="11"/>
              <w:spacing w:before="67" w:after="2" w:line="600" w:lineRule="exact"/>
              <w:jc w:val="center"/>
              <w:outlineLvl w:val="9"/>
              <w:rPr>
                <w:rFonts w:ascii="宋体" w:hAnsi="宋体" w:cs="宋体"/>
                <w:sz w:val="24"/>
              </w:rPr>
            </w:pPr>
          </w:p>
        </w:tc>
        <w:tc>
          <w:tcPr>
            <w:tcW w:w="2399" w:type="dxa"/>
          </w:tcPr>
          <w:p w14:paraId="5C40BD4E">
            <w:pPr>
              <w:pStyle w:val="11"/>
              <w:spacing w:before="67" w:after="2" w:line="360" w:lineRule="auto"/>
              <w:outlineLvl w:val="9"/>
              <w:rPr>
                <w:rFonts w:ascii="宋体" w:hAnsi="宋体" w:cs="宋体"/>
                <w:sz w:val="24"/>
              </w:rPr>
            </w:pPr>
          </w:p>
        </w:tc>
      </w:tr>
      <w:tr w14:paraId="31C7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538" w:type="dxa"/>
            <w:gridSpan w:val="3"/>
            <w:vAlign w:val="center"/>
          </w:tcPr>
          <w:p w14:paraId="4605BEFB">
            <w:pPr>
              <w:pStyle w:val="11"/>
              <w:spacing w:before="67" w:after="2" w:line="600" w:lineRule="exact"/>
              <w:outlineLvl w:val="9"/>
              <w:rPr>
                <w:rFonts w:ascii="宋体" w:hAnsi="宋体" w:cs="宋体"/>
                <w:sz w:val="24"/>
              </w:rPr>
            </w:pPr>
            <w:r>
              <w:rPr>
                <w:rFonts w:ascii="宋体" w:hAnsi="宋体" w:eastAsia="宋体" w:cs="宋体"/>
                <w:spacing w:val="24"/>
                <w:sz w:val="23"/>
                <w:szCs w:val="23"/>
              </w:rPr>
              <w:t>(</w:t>
            </w:r>
            <w:r>
              <w:rPr>
                <w:rFonts w:ascii="宋体" w:hAnsi="宋体" w:eastAsia="宋体" w:cs="宋体"/>
                <w:spacing w:val="20"/>
                <w:sz w:val="23"/>
                <w:szCs w:val="23"/>
              </w:rPr>
              <w:t>大写) 人民币</w:t>
            </w:r>
          </w:p>
        </w:tc>
      </w:tr>
    </w:tbl>
    <w:p w14:paraId="62DB2F39">
      <w:pPr>
        <w:adjustRightInd/>
        <w:snapToGrid/>
        <w:spacing w:after="0" w:line="360" w:lineRule="auto"/>
        <w:jc w:val="both"/>
        <w:textAlignment w:val="baseline"/>
        <w:outlineLvl w:val="9"/>
        <w:rPr>
          <w:rFonts w:ascii="宋体" w:hAnsi="宋体" w:eastAsia="宋体" w:cs="宋体"/>
          <w:b/>
          <w:kern w:val="2"/>
          <w:sz w:val="24"/>
          <w:szCs w:val="24"/>
          <w:lang w:bidi="zh-CN"/>
        </w:rPr>
      </w:pPr>
    </w:p>
    <w:p w14:paraId="30E0963B">
      <w:pPr>
        <w:adjustRightInd/>
        <w:snapToGrid/>
        <w:spacing w:after="0" w:line="360" w:lineRule="auto"/>
        <w:jc w:val="both"/>
        <w:textAlignment w:val="baseline"/>
        <w:outlineLvl w:val="9"/>
        <w:rPr>
          <w:rFonts w:ascii="宋体" w:hAnsi="宋体" w:eastAsia="宋体" w:cs="宋体"/>
          <w:kern w:val="2"/>
          <w:sz w:val="24"/>
          <w:szCs w:val="24"/>
        </w:rPr>
      </w:pPr>
    </w:p>
    <w:p w14:paraId="7B998790">
      <w:pPr>
        <w:pStyle w:val="11"/>
        <w:spacing w:before="67" w:after="2" w:line="600" w:lineRule="exact"/>
        <w:jc w:val="left"/>
        <w:outlineLvl w:val="9"/>
        <w:rPr>
          <w:rFonts w:ascii="宋体" w:hAnsi="宋体" w:cs="宋体"/>
          <w:sz w:val="24"/>
        </w:rPr>
      </w:pPr>
      <w:r>
        <w:rPr>
          <w:rFonts w:hint="eastAsia" w:ascii="宋体" w:hAnsi="宋体" w:cs="宋体"/>
          <w:sz w:val="24"/>
        </w:rPr>
        <w:t>注：服务、验收、保修、保险、税金、政策性文件规定及合同包含的所有风险、优惠率、责任等各项应有费用。</w:t>
      </w:r>
    </w:p>
    <w:p w14:paraId="4876C279">
      <w:pPr>
        <w:adjustRightInd/>
        <w:snapToGrid/>
        <w:spacing w:after="0" w:line="360" w:lineRule="auto"/>
        <w:ind w:firstLine="3600" w:firstLineChars="1500"/>
        <w:jc w:val="both"/>
        <w:textAlignment w:val="baseline"/>
        <w:outlineLvl w:val="9"/>
        <w:rPr>
          <w:rFonts w:ascii="宋体" w:hAnsi="宋体" w:eastAsia="宋体" w:cs="宋体"/>
          <w:kern w:val="2"/>
          <w:sz w:val="24"/>
          <w:szCs w:val="24"/>
        </w:rPr>
      </w:pPr>
    </w:p>
    <w:p w14:paraId="384302D7">
      <w:pPr>
        <w:adjustRightInd/>
        <w:snapToGrid/>
        <w:spacing w:after="0" w:line="360" w:lineRule="auto"/>
        <w:ind w:firstLine="3600" w:firstLineChars="15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投标人名称（公章）：</w:t>
      </w:r>
    </w:p>
    <w:p w14:paraId="47D8958D">
      <w:pPr>
        <w:adjustRightInd/>
        <w:snapToGrid/>
        <w:spacing w:after="0" w:line="360" w:lineRule="auto"/>
        <w:ind w:firstLine="3360" w:firstLineChars="14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法定代表人或法人授权代表（签字）：</w:t>
      </w:r>
    </w:p>
    <w:p w14:paraId="1D5C9CF6">
      <w:pPr>
        <w:adjustRightInd/>
        <w:snapToGrid/>
        <w:spacing w:after="0" w:line="360" w:lineRule="auto"/>
        <w:ind w:firstLine="4080" w:firstLineChars="17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日期：  年  月   日</w:t>
      </w:r>
    </w:p>
    <w:p w14:paraId="70ACEDFF">
      <w:pPr>
        <w:pStyle w:val="7"/>
        <w:ind w:firstLine="480"/>
        <w:outlineLvl w:val="9"/>
        <w:rPr>
          <w:rFonts w:hAnsi="宋体" w:eastAsia="宋体" w:cs="宋体"/>
          <w:kern w:val="2"/>
          <w:sz w:val="24"/>
          <w:szCs w:val="24"/>
          <w:lang w:eastAsia="zh-CN"/>
        </w:rPr>
      </w:pPr>
    </w:p>
    <w:p w14:paraId="6030183C">
      <w:pPr>
        <w:outlineLvl w:val="9"/>
        <w:rPr>
          <w:rFonts w:hint="eastAsia" w:ascii="宋体" w:hAnsi="宋体" w:eastAsia="宋体" w:cs="宋体"/>
          <w:sz w:val="24"/>
          <w:szCs w:val="24"/>
          <w:lang w:val="en-US"/>
        </w:rPr>
      </w:pPr>
      <w:r>
        <w:rPr>
          <w:rFonts w:hint="eastAsia" w:ascii="宋体" w:hAnsi="宋体" w:eastAsia="宋体" w:cs="宋体"/>
          <w:sz w:val="24"/>
          <w:szCs w:val="24"/>
          <w:lang w:val="en-US"/>
        </w:rPr>
        <w:br w:type="page"/>
      </w:r>
    </w:p>
    <w:p w14:paraId="07979BFF">
      <w:pPr>
        <w:spacing w:before="29"/>
        <w:ind w:right="742"/>
        <w:jc w:val="center"/>
        <w:outlineLvl w:val="9"/>
        <w:rPr>
          <w:rFonts w:hint="eastAsia" w:ascii="宋体" w:hAnsi="宋体" w:eastAsia="宋体" w:cs="宋体"/>
          <w:sz w:val="24"/>
          <w:szCs w:val="24"/>
        </w:rPr>
      </w:pPr>
      <w:r>
        <w:rPr>
          <w:rFonts w:hint="eastAsia" w:ascii="宋体" w:hAnsi="宋体" w:eastAsia="宋体" w:cs="宋体"/>
          <w:sz w:val="24"/>
          <w:szCs w:val="24"/>
        </w:rPr>
        <w:t>分项报价表</w:t>
      </w:r>
    </w:p>
    <w:p w14:paraId="2663D0CB">
      <w:pPr>
        <w:spacing w:before="185" w:line="228" w:lineRule="auto"/>
        <w:ind w:left="294"/>
        <w:rPr>
          <w:rFonts w:ascii="宋体" w:hAnsi="宋体" w:eastAsia="宋体" w:cs="宋体"/>
          <w:spacing w:val="6"/>
          <w:sz w:val="23"/>
          <w:szCs w:val="23"/>
        </w:rPr>
      </w:pPr>
    </w:p>
    <w:p w14:paraId="639BA49E">
      <w:pPr>
        <w:spacing w:before="185" w:line="228" w:lineRule="auto"/>
        <w:ind w:left="294"/>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r>
        <w:rPr>
          <w:rFonts w:ascii="宋体" w:hAnsi="宋体" w:eastAsia="宋体" w:cs="宋体"/>
          <w:sz w:val="23"/>
          <w:szCs w:val="23"/>
          <w:u w:val="single" w:color="auto"/>
        </w:rPr>
        <w:t xml:space="preserve">                     </w:t>
      </w:r>
    </w:p>
    <w:p w14:paraId="1BAE0364">
      <w:pPr>
        <w:spacing w:before="213" w:line="227" w:lineRule="auto"/>
        <w:ind w:left="291"/>
        <w:rPr>
          <w:rFonts w:ascii="宋体" w:hAnsi="宋体" w:eastAsia="宋体" w:cs="宋体"/>
          <w:sz w:val="23"/>
          <w:szCs w:val="23"/>
        </w:rPr>
      </w:pPr>
      <w:r>
        <w:rPr>
          <w:rFonts w:ascii="宋体" w:hAnsi="宋体" w:eastAsia="宋体" w:cs="宋体"/>
          <w:spacing w:val="6"/>
          <w:sz w:val="23"/>
          <w:szCs w:val="23"/>
        </w:rPr>
        <w:t>招标编号</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14:paraId="06D538B3">
      <w:pPr>
        <w:rPr>
          <w:rFonts w:hint="eastAsia" w:ascii="宋体" w:hAnsi="宋体" w:eastAsia="宋体" w:cs="宋体"/>
          <w:b w:val="0"/>
          <w:bCs w:val="0"/>
          <w:sz w:val="24"/>
          <w:szCs w:val="24"/>
        </w:rPr>
      </w:pPr>
    </w:p>
    <w:p w14:paraId="71D682B0">
      <w:pPr>
        <w:pStyle w:val="24"/>
        <w:rPr>
          <w:rFonts w:hint="eastAsia"/>
        </w:rPr>
      </w:pPr>
    </w:p>
    <w:tbl>
      <w:tblPr>
        <w:tblStyle w:val="164"/>
        <w:tblW w:w="8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529"/>
        <w:gridCol w:w="1201"/>
        <w:gridCol w:w="1170"/>
        <w:gridCol w:w="1267"/>
        <w:gridCol w:w="983"/>
        <w:gridCol w:w="1256"/>
        <w:gridCol w:w="719"/>
      </w:tblGrid>
      <w:tr w14:paraId="55754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30" w:type="dxa"/>
            <w:vAlign w:val="center"/>
          </w:tcPr>
          <w:p w14:paraId="1C72D26E">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序号</w:t>
            </w:r>
          </w:p>
        </w:tc>
        <w:tc>
          <w:tcPr>
            <w:tcW w:w="1529" w:type="dxa"/>
            <w:vAlign w:val="center"/>
          </w:tcPr>
          <w:p w14:paraId="5BC2FFF1">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分项</w:t>
            </w:r>
            <w:r>
              <w:rPr>
                <w:rFonts w:hint="eastAsia" w:ascii="宋体" w:hAnsi="宋体" w:eastAsia="宋体" w:cs="宋体"/>
                <w:b w:val="0"/>
                <w:bCs w:val="0"/>
                <w:color w:val="000000"/>
                <w:sz w:val="24"/>
                <w:szCs w:val="24"/>
              </w:rPr>
              <w:t>名称</w:t>
            </w:r>
          </w:p>
        </w:tc>
        <w:tc>
          <w:tcPr>
            <w:tcW w:w="1201" w:type="dxa"/>
            <w:vAlign w:val="center"/>
          </w:tcPr>
          <w:p w14:paraId="683E041F">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厂家</w:t>
            </w:r>
          </w:p>
        </w:tc>
        <w:tc>
          <w:tcPr>
            <w:tcW w:w="1170" w:type="dxa"/>
            <w:vAlign w:val="center"/>
          </w:tcPr>
          <w:p w14:paraId="7D895DFE">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数量</w:t>
            </w:r>
          </w:p>
        </w:tc>
        <w:tc>
          <w:tcPr>
            <w:tcW w:w="1267" w:type="dxa"/>
            <w:vAlign w:val="center"/>
          </w:tcPr>
          <w:p w14:paraId="11001260">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单位</w:t>
            </w:r>
          </w:p>
        </w:tc>
        <w:tc>
          <w:tcPr>
            <w:tcW w:w="983" w:type="dxa"/>
            <w:vAlign w:val="center"/>
          </w:tcPr>
          <w:p w14:paraId="7332E93A">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单价（元）</w:t>
            </w:r>
          </w:p>
        </w:tc>
        <w:tc>
          <w:tcPr>
            <w:tcW w:w="1256" w:type="dxa"/>
            <w:vAlign w:val="center"/>
          </w:tcPr>
          <w:p w14:paraId="5FB1DDD5">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合计</w:t>
            </w:r>
          </w:p>
          <w:p w14:paraId="2AF830BF">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（元）</w:t>
            </w:r>
          </w:p>
        </w:tc>
        <w:tc>
          <w:tcPr>
            <w:tcW w:w="719" w:type="dxa"/>
            <w:vAlign w:val="center"/>
          </w:tcPr>
          <w:p w14:paraId="2C04DADD">
            <w:pPr>
              <w:keepNext w:val="0"/>
              <w:keepLines w:val="0"/>
              <w:pageBreakBefore w:val="0"/>
              <w:widowControl/>
              <w:kinsoku/>
              <w:wordWrap/>
              <w:overflowPunct/>
              <w:topLinePunct w:val="0"/>
              <w:autoSpaceDE w:val="0"/>
              <w:autoSpaceDN w:val="0"/>
              <w:bidi w:val="0"/>
              <w:adjustRightInd w:val="0"/>
              <w:snapToGrid w:val="0"/>
              <w:spacing w:after="0"/>
              <w:jc w:val="center"/>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color w:val="000000"/>
                <w:sz w:val="24"/>
                <w:szCs w:val="24"/>
              </w:rPr>
              <w:t>备注</w:t>
            </w:r>
          </w:p>
        </w:tc>
      </w:tr>
      <w:tr w14:paraId="7E914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30" w:type="dxa"/>
            <w:vAlign w:val="top"/>
          </w:tcPr>
          <w:p w14:paraId="4EE0E4B1">
            <w:pPr>
              <w:spacing w:before="289" w:line="192" w:lineRule="auto"/>
              <w:ind w:left="368"/>
              <w:rPr>
                <w:rFonts w:ascii="宋体" w:hAnsi="宋体" w:eastAsia="宋体" w:cs="宋体"/>
                <w:sz w:val="23"/>
                <w:szCs w:val="23"/>
              </w:rPr>
            </w:pPr>
            <w:r>
              <w:rPr>
                <w:rFonts w:ascii="宋体" w:hAnsi="宋体" w:eastAsia="宋体" w:cs="宋体"/>
                <w:sz w:val="23"/>
                <w:szCs w:val="23"/>
              </w:rPr>
              <w:t>1</w:t>
            </w:r>
          </w:p>
        </w:tc>
        <w:tc>
          <w:tcPr>
            <w:tcW w:w="1529" w:type="dxa"/>
            <w:vAlign w:val="top"/>
          </w:tcPr>
          <w:p w14:paraId="323079E4">
            <w:pPr>
              <w:rPr>
                <w:rFonts w:ascii="Arial"/>
                <w:sz w:val="21"/>
              </w:rPr>
            </w:pPr>
          </w:p>
        </w:tc>
        <w:tc>
          <w:tcPr>
            <w:tcW w:w="1201" w:type="dxa"/>
            <w:vAlign w:val="top"/>
          </w:tcPr>
          <w:p w14:paraId="4DCBFD0B">
            <w:pPr>
              <w:rPr>
                <w:rFonts w:ascii="Arial"/>
                <w:sz w:val="21"/>
              </w:rPr>
            </w:pPr>
          </w:p>
        </w:tc>
        <w:tc>
          <w:tcPr>
            <w:tcW w:w="1170" w:type="dxa"/>
            <w:vAlign w:val="top"/>
          </w:tcPr>
          <w:p w14:paraId="01469CBF">
            <w:pPr>
              <w:rPr>
                <w:rFonts w:ascii="Arial"/>
                <w:sz w:val="21"/>
              </w:rPr>
            </w:pPr>
          </w:p>
        </w:tc>
        <w:tc>
          <w:tcPr>
            <w:tcW w:w="1267" w:type="dxa"/>
            <w:vAlign w:val="top"/>
          </w:tcPr>
          <w:p w14:paraId="71C2A076">
            <w:pPr>
              <w:rPr>
                <w:rFonts w:ascii="Arial"/>
                <w:sz w:val="21"/>
              </w:rPr>
            </w:pPr>
          </w:p>
        </w:tc>
        <w:tc>
          <w:tcPr>
            <w:tcW w:w="983" w:type="dxa"/>
            <w:vAlign w:val="top"/>
          </w:tcPr>
          <w:p w14:paraId="0A778820">
            <w:pPr>
              <w:rPr>
                <w:rFonts w:ascii="Arial"/>
                <w:sz w:val="21"/>
              </w:rPr>
            </w:pPr>
          </w:p>
        </w:tc>
        <w:tc>
          <w:tcPr>
            <w:tcW w:w="1256" w:type="dxa"/>
            <w:vAlign w:val="top"/>
          </w:tcPr>
          <w:p w14:paraId="12433EC3">
            <w:pPr>
              <w:rPr>
                <w:rFonts w:ascii="Arial"/>
                <w:sz w:val="21"/>
              </w:rPr>
            </w:pPr>
          </w:p>
        </w:tc>
        <w:tc>
          <w:tcPr>
            <w:tcW w:w="719" w:type="dxa"/>
            <w:vAlign w:val="top"/>
          </w:tcPr>
          <w:p w14:paraId="3A62B5F9">
            <w:pPr>
              <w:rPr>
                <w:rFonts w:ascii="Arial"/>
                <w:sz w:val="21"/>
              </w:rPr>
            </w:pPr>
          </w:p>
        </w:tc>
      </w:tr>
      <w:tr w14:paraId="4E016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30" w:type="dxa"/>
            <w:vAlign w:val="top"/>
          </w:tcPr>
          <w:p w14:paraId="1A6206D3">
            <w:pPr>
              <w:spacing w:before="288" w:line="192" w:lineRule="auto"/>
              <w:ind w:left="353"/>
              <w:rPr>
                <w:rFonts w:ascii="宋体" w:hAnsi="宋体" w:eastAsia="宋体" w:cs="宋体"/>
                <w:sz w:val="23"/>
                <w:szCs w:val="23"/>
              </w:rPr>
            </w:pPr>
            <w:r>
              <w:rPr>
                <w:rFonts w:ascii="宋体" w:hAnsi="宋体" w:eastAsia="宋体" w:cs="宋体"/>
                <w:sz w:val="23"/>
                <w:szCs w:val="23"/>
              </w:rPr>
              <w:t>2</w:t>
            </w:r>
          </w:p>
        </w:tc>
        <w:tc>
          <w:tcPr>
            <w:tcW w:w="1529" w:type="dxa"/>
            <w:vAlign w:val="top"/>
          </w:tcPr>
          <w:p w14:paraId="559C1797">
            <w:pPr>
              <w:rPr>
                <w:rFonts w:ascii="Arial"/>
                <w:sz w:val="21"/>
              </w:rPr>
            </w:pPr>
          </w:p>
        </w:tc>
        <w:tc>
          <w:tcPr>
            <w:tcW w:w="1201" w:type="dxa"/>
            <w:vAlign w:val="top"/>
          </w:tcPr>
          <w:p w14:paraId="7A82BA74">
            <w:pPr>
              <w:rPr>
                <w:rFonts w:ascii="Arial"/>
                <w:sz w:val="21"/>
              </w:rPr>
            </w:pPr>
          </w:p>
        </w:tc>
        <w:tc>
          <w:tcPr>
            <w:tcW w:w="1170" w:type="dxa"/>
            <w:vAlign w:val="top"/>
          </w:tcPr>
          <w:p w14:paraId="6FB6419E">
            <w:pPr>
              <w:rPr>
                <w:rFonts w:ascii="Arial"/>
                <w:sz w:val="21"/>
              </w:rPr>
            </w:pPr>
          </w:p>
        </w:tc>
        <w:tc>
          <w:tcPr>
            <w:tcW w:w="1267" w:type="dxa"/>
            <w:vAlign w:val="top"/>
          </w:tcPr>
          <w:p w14:paraId="289C504F">
            <w:pPr>
              <w:rPr>
                <w:rFonts w:ascii="Arial"/>
                <w:sz w:val="21"/>
              </w:rPr>
            </w:pPr>
          </w:p>
        </w:tc>
        <w:tc>
          <w:tcPr>
            <w:tcW w:w="983" w:type="dxa"/>
            <w:vAlign w:val="top"/>
          </w:tcPr>
          <w:p w14:paraId="7603EE56">
            <w:pPr>
              <w:rPr>
                <w:rFonts w:ascii="Arial"/>
                <w:sz w:val="21"/>
              </w:rPr>
            </w:pPr>
          </w:p>
        </w:tc>
        <w:tc>
          <w:tcPr>
            <w:tcW w:w="1256" w:type="dxa"/>
            <w:vAlign w:val="top"/>
          </w:tcPr>
          <w:p w14:paraId="183D6947">
            <w:pPr>
              <w:rPr>
                <w:rFonts w:ascii="Arial"/>
                <w:sz w:val="21"/>
              </w:rPr>
            </w:pPr>
          </w:p>
        </w:tc>
        <w:tc>
          <w:tcPr>
            <w:tcW w:w="719" w:type="dxa"/>
            <w:vAlign w:val="top"/>
          </w:tcPr>
          <w:p w14:paraId="30C67405">
            <w:pPr>
              <w:rPr>
                <w:rFonts w:ascii="Arial"/>
                <w:sz w:val="21"/>
              </w:rPr>
            </w:pPr>
          </w:p>
        </w:tc>
      </w:tr>
      <w:tr w14:paraId="79C3A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30" w:type="dxa"/>
            <w:vAlign w:val="top"/>
          </w:tcPr>
          <w:p w14:paraId="0F010767">
            <w:pPr>
              <w:spacing w:before="290" w:line="190" w:lineRule="auto"/>
              <w:ind w:left="355"/>
              <w:rPr>
                <w:rFonts w:ascii="宋体" w:hAnsi="宋体" w:eastAsia="宋体" w:cs="宋体"/>
                <w:sz w:val="23"/>
                <w:szCs w:val="23"/>
              </w:rPr>
            </w:pPr>
            <w:r>
              <w:rPr>
                <w:rFonts w:ascii="宋体" w:hAnsi="宋体" w:eastAsia="宋体" w:cs="宋体"/>
                <w:sz w:val="23"/>
                <w:szCs w:val="23"/>
              </w:rPr>
              <w:t>3</w:t>
            </w:r>
          </w:p>
        </w:tc>
        <w:tc>
          <w:tcPr>
            <w:tcW w:w="1529" w:type="dxa"/>
            <w:vAlign w:val="top"/>
          </w:tcPr>
          <w:p w14:paraId="4C2244AE">
            <w:pPr>
              <w:rPr>
                <w:rFonts w:ascii="Arial"/>
                <w:sz w:val="21"/>
              </w:rPr>
            </w:pPr>
          </w:p>
        </w:tc>
        <w:tc>
          <w:tcPr>
            <w:tcW w:w="1201" w:type="dxa"/>
            <w:vAlign w:val="top"/>
          </w:tcPr>
          <w:p w14:paraId="5AA1E299">
            <w:pPr>
              <w:rPr>
                <w:rFonts w:ascii="Arial"/>
                <w:sz w:val="21"/>
              </w:rPr>
            </w:pPr>
          </w:p>
        </w:tc>
        <w:tc>
          <w:tcPr>
            <w:tcW w:w="1170" w:type="dxa"/>
            <w:vAlign w:val="top"/>
          </w:tcPr>
          <w:p w14:paraId="4C39D093">
            <w:pPr>
              <w:rPr>
                <w:rFonts w:ascii="Arial"/>
                <w:sz w:val="21"/>
              </w:rPr>
            </w:pPr>
          </w:p>
        </w:tc>
        <w:tc>
          <w:tcPr>
            <w:tcW w:w="1267" w:type="dxa"/>
            <w:vAlign w:val="top"/>
          </w:tcPr>
          <w:p w14:paraId="59271B68">
            <w:pPr>
              <w:rPr>
                <w:rFonts w:ascii="Arial"/>
                <w:sz w:val="21"/>
              </w:rPr>
            </w:pPr>
          </w:p>
        </w:tc>
        <w:tc>
          <w:tcPr>
            <w:tcW w:w="983" w:type="dxa"/>
            <w:vAlign w:val="top"/>
          </w:tcPr>
          <w:p w14:paraId="7257D4DD">
            <w:pPr>
              <w:rPr>
                <w:rFonts w:ascii="Arial"/>
                <w:sz w:val="21"/>
              </w:rPr>
            </w:pPr>
          </w:p>
        </w:tc>
        <w:tc>
          <w:tcPr>
            <w:tcW w:w="1256" w:type="dxa"/>
            <w:vAlign w:val="top"/>
          </w:tcPr>
          <w:p w14:paraId="4761D7DF">
            <w:pPr>
              <w:rPr>
                <w:rFonts w:ascii="Arial"/>
                <w:sz w:val="21"/>
              </w:rPr>
            </w:pPr>
          </w:p>
        </w:tc>
        <w:tc>
          <w:tcPr>
            <w:tcW w:w="719" w:type="dxa"/>
            <w:vAlign w:val="top"/>
          </w:tcPr>
          <w:p w14:paraId="48CA83F0">
            <w:pPr>
              <w:rPr>
                <w:rFonts w:ascii="Arial"/>
                <w:sz w:val="21"/>
              </w:rPr>
            </w:pPr>
          </w:p>
        </w:tc>
      </w:tr>
      <w:tr w14:paraId="3CE79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730" w:type="dxa"/>
            <w:vAlign w:val="top"/>
          </w:tcPr>
          <w:p w14:paraId="519D58C2">
            <w:pPr>
              <w:spacing w:before="74" w:line="97" w:lineRule="exact"/>
              <w:ind w:left="237"/>
              <w:rPr>
                <w:rFonts w:ascii="宋体" w:hAnsi="宋体" w:eastAsia="宋体" w:cs="宋体"/>
                <w:sz w:val="23"/>
                <w:szCs w:val="23"/>
              </w:rPr>
            </w:pPr>
            <w:r>
              <w:rPr>
                <w:rFonts w:ascii="宋体" w:hAnsi="宋体" w:eastAsia="宋体" w:cs="宋体"/>
                <w:spacing w:val="3"/>
                <w:position w:val="1"/>
                <w:sz w:val="23"/>
                <w:szCs w:val="23"/>
              </w:rPr>
              <w:t>...</w:t>
            </w:r>
          </w:p>
        </w:tc>
        <w:tc>
          <w:tcPr>
            <w:tcW w:w="1529" w:type="dxa"/>
            <w:vAlign w:val="top"/>
          </w:tcPr>
          <w:p w14:paraId="39C242A8">
            <w:pPr>
              <w:rPr>
                <w:rFonts w:ascii="Arial"/>
                <w:sz w:val="21"/>
              </w:rPr>
            </w:pPr>
          </w:p>
        </w:tc>
        <w:tc>
          <w:tcPr>
            <w:tcW w:w="1201" w:type="dxa"/>
            <w:vAlign w:val="top"/>
          </w:tcPr>
          <w:p w14:paraId="615C925F">
            <w:pPr>
              <w:rPr>
                <w:rFonts w:ascii="Arial"/>
                <w:sz w:val="21"/>
              </w:rPr>
            </w:pPr>
          </w:p>
        </w:tc>
        <w:tc>
          <w:tcPr>
            <w:tcW w:w="1170" w:type="dxa"/>
            <w:vAlign w:val="top"/>
          </w:tcPr>
          <w:p w14:paraId="79A49BA1">
            <w:pPr>
              <w:rPr>
                <w:rFonts w:ascii="Arial"/>
                <w:sz w:val="21"/>
              </w:rPr>
            </w:pPr>
          </w:p>
        </w:tc>
        <w:tc>
          <w:tcPr>
            <w:tcW w:w="1267" w:type="dxa"/>
            <w:vAlign w:val="top"/>
          </w:tcPr>
          <w:p w14:paraId="54231712">
            <w:pPr>
              <w:rPr>
                <w:rFonts w:ascii="Arial"/>
                <w:sz w:val="21"/>
              </w:rPr>
            </w:pPr>
          </w:p>
        </w:tc>
        <w:tc>
          <w:tcPr>
            <w:tcW w:w="983" w:type="dxa"/>
            <w:vAlign w:val="top"/>
          </w:tcPr>
          <w:p w14:paraId="29C9AA27">
            <w:pPr>
              <w:rPr>
                <w:rFonts w:ascii="Arial"/>
                <w:sz w:val="21"/>
              </w:rPr>
            </w:pPr>
          </w:p>
        </w:tc>
        <w:tc>
          <w:tcPr>
            <w:tcW w:w="1256" w:type="dxa"/>
            <w:vAlign w:val="top"/>
          </w:tcPr>
          <w:p w14:paraId="08502603">
            <w:pPr>
              <w:rPr>
                <w:rFonts w:ascii="Arial"/>
                <w:sz w:val="21"/>
              </w:rPr>
            </w:pPr>
          </w:p>
        </w:tc>
        <w:tc>
          <w:tcPr>
            <w:tcW w:w="719" w:type="dxa"/>
            <w:vAlign w:val="top"/>
          </w:tcPr>
          <w:p w14:paraId="231BA41A">
            <w:pPr>
              <w:rPr>
                <w:rFonts w:ascii="Arial"/>
                <w:sz w:val="21"/>
              </w:rPr>
            </w:pPr>
          </w:p>
        </w:tc>
      </w:tr>
      <w:tr w14:paraId="6E1D2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3460" w:type="dxa"/>
            <w:gridSpan w:val="3"/>
            <w:vAlign w:val="top"/>
          </w:tcPr>
          <w:p w14:paraId="05C800FA">
            <w:pPr>
              <w:spacing w:line="322" w:lineRule="auto"/>
              <w:rPr>
                <w:rFonts w:ascii="Arial"/>
                <w:sz w:val="21"/>
              </w:rPr>
            </w:pPr>
          </w:p>
          <w:p w14:paraId="3575AF5B">
            <w:pPr>
              <w:spacing w:before="74" w:line="226" w:lineRule="auto"/>
              <w:ind w:left="1212"/>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标总报价</w:t>
            </w:r>
          </w:p>
        </w:tc>
        <w:tc>
          <w:tcPr>
            <w:tcW w:w="5395" w:type="dxa"/>
            <w:gridSpan w:val="5"/>
            <w:vAlign w:val="top"/>
          </w:tcPr>
          <w:p w14:paraId="2463DC21">
            <w:pPr>
              <w:spacing w:before="117" w:line="451" w:lineRule="auto"/>
              <w:ind w:left="12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0"/>
                <w:sz w:val="23"/>
                <w:szCs w:val="23"/>
              </w:rPr>
              <w:t>大写) 人民币</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w:t>
            </w:r>
          </w:p>
          <w:p w14:paraId="1DDEDECE">
            <w:pPr>
              <w:spacing w:line="229" w:lineRule="auto"/>
              <w:ind w:left="125"/>
              <w:rPr>
                <w:rFonts w:ascii="宋体" w:hAnsi="宋体" w:eastAsia="宋体" w:cs="宋体"/>
                <w:sz w:val="23"/>
                <w:szCs w:val="23"/>
              </w:rPr>
            </w:pPr>
            <w:r>
              <w:rPr>
                <w:rFonts w:ascii="宋体" w:hAnsi="宋体" w:eastAsia="宋体" w:cs="宋体"/>
                <w:spacing w:val="2"/>
                <w:sz w:val="23"/>
                <w:szCs w:val="23"/>
              </w:rPr>
              <w:t>(小写：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tc>
      </w:tr>
    </w:tbl>
    <w:p w14:paraId="6808508F">
      <w:pPr>
        <w:spacing w:line="425" w:lineRule="exact"/>
        <w:outlineLvl w:val="9"/>
        <w:rPr>
          <w:rFonts w:hint="eastAsia" w:ascii="宋体" w:hAnsi="宋体" w:eastAsia="宋体" w:cs="宋体"/>
          <w:sz w:val="24"/>
          <w:szCs w:val="24"/>
        </w:rPr>
      </w:pPr>
    </w:p>
    <w:p w14:paraId="5BF06483">
      <w:pPr>
        <w:autoSpaceDE/>
        <w:autoSpaceDN/>
        <w:spacing w:line="480" w:lineRule="auto"/>
        <w:ind w:firstLine="360" w:firstLineChars="150"/>
        <w:outlineLvl w:val="9"/>
        <w:rPr>
          <w:rFonts w:hint="eastAsia" w:ascii="宋体" w:hAnsi="宋体" w:eastAsia="宋体" w:cs="宋体"/>
          <w:sz w:val="24"/>
          <w:szCs w:val="24"/>
          <w:lang w:val="en-US"/>
        </w:rPr>
      </w:pPr>
      <w:r>
        <w:rPr>
          <w:rFonts w:hint="eastAsia" w:ascii="宋体" w:hAnsi="宋体" w:eastAsia="宋体" w:cs="宋体"/>
          <w:sz w:val="24"/>
          <w:szCs w:val="24"/>
        </w:rPr>
        <w:t>投标人名称(盖公章)：</w:t>
      </w:r>
      <w:r>
        <w:rPr>
          <w:rFonts w:hint="eastAsia" w:ascii="宋体" w:hAnsi="宋体" w:eastAsia="宋体" w:cs="宋体"/>
          <w:sz w:val="24"/>
          <w:szCs w:val="24"/>
          <w:u w:val="single"/>
          <w:lang w:val="en-US"/>
        </w:rPr>
        <w:t xml:space="preserve">                         </w:t>
      </w:r>
    </w:p>
    <w:p w14:paraId="63E7BA53">
      <w:pPr>
        <w:autoSpaceDE/>
        <w:autoSpaceDN/>
        <w:spacing w:line="480" w:lineRule="auto"/>
        <w:ind w:firstLine="360" w:firstLineChars="150"/>
        <w:outlineLvl w:val="9"/>
        <w:rPr>
          <w:rFonts w:hint="eastAsia" w:ascii="宋体" w:hAnsi="宋体" w:eastAsia="宋体" w:cs="宋体"/>
          <w:sz w:val="24"/>
          <w:szCs w:val="24"/>
        </w:rPr>
      </w:pPr>
      <w:r>
        <w:rPr>
          <w:rFonts w:hint="eastAsia" w:ascii="宋体" w:hAnsi="宋体" w:eastAsia="宋体" w:cs="宋体"/>
          <w:sz w:val="24"/>
          <w:szCs w:val="24"/>
        </w:rPr>
        <w:t>法定代表人或其授权的代理人(签字)：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7FBA000">
      <w:pPr>
        <w:autoSpaceDE/>
        <w:autoSpaceDN/>
        <w:spacing w:line="480" w:lineRule="auto"/>
        <w:ind w:firstLine="360" w:firstLineChars="150"/>
        <w:outlineLvl w:val="9"/>
        <w:rPr>
          <w:rFonts w:hint="eastAsia" w:ascii="宋体" w:hAnsi="宋体" w:eastAsia="宋体" w:cs="宋体"/>
          <w:sz w:val="24"/>
          <w:szCs w:val="24"/>
          <w:lang w:val="en-US" w:bidi="ar-SA"/>
        </w:rPr>
      </w:pPr>
      <w:r>
        <w:rPr>
          <w:rFonts w:hint="eastAsia" w:ascii="宋体" w:hAnsi="宋体" w:eastAsia="宋体" w:cs="宋体"/>
          <w:sz w:val="24"/>
          <w:szCs w:val="24"/>
        </w:rPr>
        <w:t>日期：</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6280ABA0">
      <w:pPr>
        <w:outlineLvl w:val="9"/>
        <w:rPr>
          <w:rFonts w:hint="eastAsia" w:ascii="宋体" w:hAnsi="宋体" w:eastAsia="宋体" w:cs="宋体"/>
          <w:sz w:val="24"/>
          <w:szCs w:val="24"/>
        </w:rPr>
        <w:sectPr>
          <w:pgSz w:w="11910" w:h="16840"/>
          <w:pgMar w:top="1380" w:right="1540" w:bottom="1340" w:left="1580" w:header="359" w:footer="1157" w:gutter="0"/>
          <w:pgNumType w:fmt="decimal"/>
          <w:cols w:space="720" w:num="1"/>
        </w:sectPr>
      </w:pPr>
    </w:p>
    <w:p w14:paraId="1BCB15CD">
      <w:pPr>
        <w:keepNext w:val="0"/>
        <w:keepLines w:val="0"/>
        <w:pageBreakBefore w:val="0"/>
        <w:widowControl w:val="0"/>
        <w:kinsoku/>
        <w:wordWrap w:val="0"/>
        <w:overflowPunct/>
        <w:topLinePunct/>
        <w:autoSpaceDE/>
        <w:autoSpaceDN/>
        <w:bidi w:val="0"/>
        <w:adjustRightInd w:val="0"/>
        <w:snapToGrid w:val="0"/>
        <w:spacing w:line="480" w:lineRule="exact"/>
        <w:jc w:val="center"/>
        <w:textAlignment w:val="baseline"/>
        <w:rPr>
          <w:rFonts w:hint="eastAsia" w:ascii="宋体" w:hAnsi="宋体" w:eastAsia="宋体" w:cs="宋体"/>
          <w:b/>
          <w:bCs/>
          <w:sz w:val="24"/>
          <w:szCs w:val="24"/>
        </w:rPr>
      </w:pPr>
      <w:bookmarkStart w:id="242" w:name="_Toc26973"/>
      <w:bookmarkStart w:id="243" w:name="_Toc26870"/>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：投标方案说明书</w:t>
      </w:r>
    </w:p>
    <w:p w14:paraId="190C6F90">
      <w:pPr>
        <w:spacing w:before="193" w:line="408" w:lineRule="auto"/>
        <w:ind w:left="10" w:right="141" w:firstLine="569"/>
        <w:rPr>
          <w:rFonts w:ascii="宋体" w:hAnsi="宋体" w:eastAsia="宋体" w:cs="宋体"/>
          <w:spacing w:val="16"/>
          <w:sz w:val="23"/>
          <w:szCs w:val="23"/>
        </w:rPr>
      </w:pPr>
    </w:p>
    <w:p w14:paraId="0C842C6A">
      <w:pPr>
        <w:keepNext w:val="0"/>
        <w:keepLines w:val="0"/>
        <w:pageBreakBefore w:val="0"/>
        <w:widowControl w:val="0"/>
        <w:kinsoku/>
        <w:wordWrap w:val="0"/>
        <w:overflowPunct/>
        <w:topLinePunct/>
        <w:autoSpaceDE/>
        <w:autoSpaceDN/>
        <w:bidi w:val="0"/>
        <w:adjustRightInd w:val="0"/>
        <w:snapToGrid w:val="0"/>
        <w:spacing w:line="500" w:lineRule="exact"/>
        <w:ind w:left="0" w:leftChars="0" w:right="141" w:firstLine="539" w:firstLineChars="0"/>
        <w:textAlignment w:val="baseline"/>
        <w:rPr>
          <w:rFonts w:ascii="宋体" w:hAnsi="宋体" w:eastAsia="宋体" w:cs="宋体"/>
          <w:sz w:val="24"/>
          <w:szCs w:val="24"/>
        </w:rPr>
      </w:pPr>
      <w:r>
        <w:rPr>
          <w:rFonts w:ascii="宋体" w:hAnsi="宋体" w:eastAsia="宋体" w:cs="宋体"/>
          <w:spacing w:val="16"/>
          <w:sz w:val="24"/>
          <w:szCs w:val="24"/>
        </w:rPr>
        <w:t>按照</w:t>
      </w:r>
      <w:r>
        <w:rPr>
          <w:rFonts w:ascii="宋体" w:hAnsi="宋体" w:eastAsia="宋体" w:cs="宋体"/>
          <w:spacing w:val="10"/>
          <w:sz w:val="24"/>
          <w:szCs w:val="24"/>
        </w:rPr>
        <w:t>招</w:t>
      </w:r>
      <w:r>
        <w:rPr>
          <w:rFonts w:ascii="宋体" w:hAnsi="宋体" w:eastAsia="宋体" w:cs="宋体"/>
          <w:spacing w:val="8"/>
          <w:sz w:val="24"/>
          <w:szCs w:val="24"/>
        </w:rPr>
        <w:t>标文件的要求编制的投标方案说明书，内容包括货物或服务的详细说明、</w:t>
      </w:r>
      <w:r>
        <w:rPr>
          <w:rFonts w:ascii="宋体" w:hAnsi="宋体" w:eastAsia="宋体" w:cs="宋体"/>
          <w:sz w:val="24"/>
          <w:szCs w:val="24"/>
        </w:rPr>
        <w:t xml:space="preserve"> </w:t>
      </w:r>
      <w:r>
        <w:rPr>
          <w:rFonts w:ascii="宋体" w:hAnsi="宋体" w:eastAsia="宋体" w:cs="宋体"/>
          <w:spacing w:val="17"/>
          <w:sz w:val="24"/>
          <w:szCs w:val="24"/>
        </w:rPr>
        <w:t>技</w:t>
      </w:r>
      <w:r>
        <w:rPr>
          <w:rFonts w:ascii="宋体" w:hAnsi="宋体" w:eastAsia="宋体" w:cs="宋体"/>
          <w:spacing w:val="9"/>
          <w:sz w:val="24"/>
          <w:szCs w:val="24"/>
        </w:rPr>
        <w:t>术规格响应表、质量保证和售后服务承诺等。</w:t>
      </w:r>
    </w:p>
    <w:p w14:paraId="596A2A36">
      <w:pPr>
        <w:keepNext w:val="0"/>
        <w:keepLines w:val="0"/>
        <w:pageBreakBefore w:val="0"/>
        <w:widowControl w:val="0"/>
        <w:numPr>
          <w:ilvl w:val="0"/>
          <w:numId w:val="0"/>
        </w:numPr>
        <w:kinsoku/>
        <w:wordWrap w:val="0"/>
        <w:overflowPunct/>
        <w:topLinePunct/>
        <w:autoSpaceDE/>
        <w:autoSpaceDN/>
        <w:bidi w:val="0"/>
        <w:adjustRightInd w:val="0"/>
        <w:snapToGrid w:val="0"/>
        <w:spacing w:line="500" w:lineRule="exact"/>
        <w:ind w:left="539" w:leftChars="0"/>
        <w:textAlignment w:val="baseline"/>
        <w:rPr>
          <w:rFonts w:ascii="Arial"/>
          <w:sz w:val="24"/>
          <w:szCs w:val="24"/>
        </w:rPr>
      </w:pPr>
      <w:r>
        <w:rPr>
          <w:rFonts w:hint="eastAsia" w:ascii="宋体" w:hAnsi="宋体" w:eastAsia="宋体" w:cs="宋体"/>
          <w:spacing w:val="9"/>
          <w:sz w:val="24"/>
          <w:szCs w:val="24"/>
          <w:lang w:val="en-US" w:eastAsia="zh-CN"/>
        </w:rPr>
        <w:t>1）服务</w:t>
      </w:r>
      <w:r>
        <w:rPr>
          <w:rFonts w:ascii="宋体" w:hAnsi="宋体" w:eastAsia="宋体" w:cs="宋体"/>
          <w:spacing w:val="9"/>
          <w:sz w:val="24"/>
          <w:szCs w:val="24"/>
        </w:rPr>
        <w:t>范围和服务内容的详细说明</w:t>
      </w:r>
      <w:r>
        <w:rPr>
          <w:rFonts w:ascii="宋体" w:hAnsi="宋体" w:eastAsia="宋体" w:cs="宋体"/>
          <w:spacing w:val="7"/>
          <w:sz w:val="24"/>
          <w:szCs w:val="24"/>
        </w:rPr>
        <w:t>。</w:t>
      </w:r>
    </w:p>
    <w:p w14:paraId="306ECEDF">
      <w:pPr>
        <w:keepNext w:val="0"/>
        <w:keepLines w:val="0"/>
        <w:pageBreakBefore w:val="0"/>
        <w:widowControl w:val="0"/>
        <w:kinsoku/>
        <w:wordWrap w:val="0"/>
        <w:overflowPunct/>
        <w:topLinePunct/>
        <w:autoSpaceDE/>
        <w:autoSpaceDN/>
        <w:bidi w:val="0"/>
        <w:adjustRightInd w:val="0"/>
        <w:snapToGrid w:val="0"/>
        <w:spacing w:line="500" w:lineRule="exact"/>
        <w:ind w:left="0" w:leftChars="0" w:firstLine="539" w:firstLineChars="0"/>
        <w:textAlignment w:val="baseline"/>
        <w:rPr>
          <w:rFonts w:ascii="宋体" w:hAnsi="宋体" w:eastAsia="宋体" w:cs="宋体"/>
          <w:sz w:val="24"/>
          <w:szCs w:val="24"/>
        </w:rPr>
      </w:pPr>
      <w:r>
        <w:rPr>
          <w:rFonts w:hint="eastAsia" w:ascii="宋体" w:hAnsi="宋体" w:eastAsia="宋体" w:cs="宋体"/>
          <w:spacing w:val="16"/>
          <w:sz w:val="24"/>
          <w:szCs w:val="24"/>
          <w:lang w:val="en-US" w:eastAsia="zh-CN"/>
        </w:rPr>
        <w:t>2</w:t>
      </w:r>
      <w:r>
        <w:rPr>
          <w:rFonts w:ascii="宋体" w:hAnsi="宋体" w:eastAsia="宋体" w:cs="宋体"/>
          <w:spacing w:val="16"/>
          <w:sz w:val="24"/>
          <w:szCs w:val="24"/>
        </w:rPr>
        <w:t>)</w:t>
      </w:r>
      <w:r>
        <w:rPr>
          <w:rFonts w:ascii="宋体" w:hAnsi="宋体" w:eastAsia="宋体" w:cs="宋体"/>
          <w:spacing w:val="8"/>
          <w:sz w:val="24"/>
          <w:szCs w:val="24"/>
        </w:rPr>
        <w:t xml:space="preserve"> 质量保证措施、培训方案、售后服务的内容及承诺。</w:t>
      </w:r>
    </w:p>
    <w:p w14:paraId="0664DF8C">
      <w:pPr>
        <w:keepNext w:val="0"/>
        <w:keepLines w:val="0"/>
        <w:pageBreakBefore w:val="0"/>
        <w:widowControl w:val="0"/>
        <w:kinsoku/>
        <w:wordWrap w:val="0"/>
        <w:overflowPunct/>
        <w:topLinePunct/>
        <w:autoSpaceDE/>
        <w:autoSpaceDN/>
        <w:bidi w:val="0"/>
        <w:adjustRightInd w:val="0"/>
        <w:snapToGrid w:val="0"/>
        <w:spacing w:line="500" w:lineRule="exact"/>
        <w:ind w:left="0" w:leftChars="0" w:firstLine="539" w:firstLineChars="0"/>
        <w:textAlignment w:val="baseline"/>
        <w:rPr>
          <w:sz w:val="24"/>
          <w:szCs w:val="24"/>
        </w:rPr>
        <w:sectPr>
          <w:headerReference r:id="rId13" w:type="default"/>
          <w:footerReference r:id="rId14" w:type="default"/>
          <w:pgSz w:w="11905" w:h="16840"/>
          <w:pgMar w:top="1587" w:right="1474" w:bottom="1474" w:left="1474" w:header="850" w:footer="850" w:gutter="0"/>
          <w:pgNumType w:fmt="decimal"/>
          <w:cols w:space="0" w:num="1"/>
          <w:rtlGutter w:val="0"/>
          <w:docGrid w:linePitch="0" w:charSpace="0"/>
        </w:sectPr>
      </w:pPr>
    </w:p>
    <w:p w14:paraId="41778B59">
      <w:pPr>
        <w:spacing w:before="75" w:line="227" w:lineRule="auto"/>
        <w:ind w:left="0" w:leftChars="0" w:firstLine="0" w:firstLineChars="0"/>
        <w:jc w:val="center"/>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技</w:t>
      </w:r>
      <w:r>
        <w:rPr>
          <w:rFonts w:ascii="宋体" w:hAnsi="宋体" w:eastAsia="宋体" w:cs="宋体"/>
          <w:spacing w:val="9"/>
          <w:sz w:val="23"/>
          <w:szCs w:val="23"/>
          <w14:textOutline w14:w="4358" w14:cap="sq" w14:cmpd="sng">
            <w14:solidFill>
              <w14:srgbClr w14:val="000000"/>
            </w14:solidFill>
            <w14:prstDash w14:val="solid"/>
            <w14:bevel/>
          </w14:textOutline>
        </w:rPr>
        <w:t>术规格</w:t>
      </w:r>
      <w:r>
        <w:rPr>
          <w:rFonts w:hint="eastAsia" w:ascii="宋体" w:hAnsi="宋体" w:eastAsia="宋体" w:cs="宋体"/>
          <w:spacing w:val="9"/>
          <w:sz w:val="23"/>
          <w:szCs w:val="23"/>
          <w:lang w:val="en-US" w:eastAsia="zh-CN"/>
          <w14:textOutline w14:w="4358" w14:cap="sq" w14:cmpd="sng">
            <w14:solidFill>
              <w14:srgbClr w14:val="000000"/>
            </w14:solidFill>
            <w14:prstDash w14:val="solid"/>
            <w14:bevel/>
          </w14:textOutline>
        </w:rPr>
        <w:t>偏离</w:t>
      </w:r>
      <w:r>
        <w:rPr>
          <w:rFonts w:ascii="宋体" w:hAnsi="宋体" w:eastAsia="宋体" w:cs="宋体"/>
          <w:spacing w:val="9"/>
          <w:sz w:val="23"/>
          <w:szCs w:val="23"/>
          <w14:textOutline w14:w="4358" w14:cap="sq" w14:cmpd="sng">
            <w14:solidFill>
              <w14:srgbClr w14:val="000000"/>
            </w14:solidFill>
            <w14:prstDash w14:val="solid"/>
            <w14:bevel/>
          </w14:textOutline>
        </w:rPr>
        <w:t>表</w:t>
      </w:r>
    </w:p>
    <w:p w14:paraId="5FAAF079">
      <w:pPr>
        <w:spacing w:line="299" w:lineRule="auto"/>
        <w:rPr>
          <w:rFonts w:ascii="Arial"/>
          <w:sz w:val="21"/>
        </w:rPr>
      </w:pPr>
    </w:p>
    <w:p w14:paraId="6AF32619">
      <w:pPr>
        <w:spacing w:before="75" w:line="530" w:lineRule="auto"/>
        <w:ind w:left="654"/>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r>
        <w:rPr>
          <w:rFonts w:ascii="宋体" w:hAnsi="宋体" w:eastAsia="宋体" w:cs="宋体"/>
          <w:sz w:val="23"/>
          <w:szCs w:val="23"/>
          <w:u w:val="single" w:color="auto"/>
        </w:rPr>
        <w:t xml:space="preserve">                                                </w:t>
      </w:r>
    </w:p>
    <w:p w14:paraId="07C3F81B">
      <w:pPr>
        <w:spacing w:line="227" w:lineRule="auto"/>
        <w:ind w:left="651"/>
        <w:rPr>
          <w:rFonts w:ascii="宋体" w:hAnsi="宋体" w:eastAsia="宋体" w:cs="宋体"/>
          <w:sz w:val="23"/>
          <w:szCs w:val="23"/>
        </w:rPr>
      </w:pPr>
      <w:r>
        <w:rPr>
          <w:rFonts w:ascii="宋体" w:hAnsi="宋体" w:eastAsia="宋体" w:cs="宋体"/>
          <w:spacing w:val="6"/>
          <w:sz w:val="23"/>
          <w:szCs w:val="23"/>
        </w:rPr>
        <w:t>招标编号</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14:paraId="534ADB82">
      <w:pPr>
        <w:spacing w:line="300" w:lineRule="auto"/>
        <w:rPr>
          <w:rFonts w:ascii="Arial"/>
          <w:sz w:val="21"/>
        </w:rPr>
      </w:pPr>
    </w:p>
    <w:p w14:paraId="6EEF4C89">
      <w:pPr>
        <w:spacing w:line="180" w:lineRule="exact"/>
      </w:pPr>
    </w:p>
    <w:tbl>
      <w:tblPr>
        <w:tblStyle w:val="164"/>
        <w:tblW w:w="90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066"/>
        <w:gridCol w:w="2882"/>
        <w:gridCol w:w="1406"/>
        <w:gridCol w:w="994"/>
      </w:tblGrid>
      <w:tr w14:paraId="7BEF3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728" w:type="dxa"/>
            <w:vAlign w:val="center"/>
          </w:tcPr>
          <w:p w14:paraId="29488A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ascii="宋体" w:hAnsi="宋体" w:eastAsia="宋体" w:cs="宋体"/>
                <w:sz w:val="20"/>
                <w:szCs w:val="20"/>
              </w:rPr>
            </w:pPr>
            <w:bookmarkStart w:id="244" w:name="_Toc25092"/>
            <w:r>
              <w:rPr>
                <w:rFonts w:ascii="宋体" w:hAnsi="宋体" w:eastAsia="宋体" w:cs="宋体"/>
                <w:spacing w:val="5"/>
                <w:sz w:val="20"/>
                <w:szCs w:val="20"/>
              </w:rPr>
              <w:t>序号</w:t>
            </w:r>
            <w:bookmarkEnd w:id="244"/>
          </w:p>
        </w:tc>
        <w:tc>
          <w:tcPr>
            <w:tcW w:w="3066" w:type="dxa"/>
            <w:vAlign w:val="center"/>
          </w:tcPr>
          <w:p w14:paraId="5B1B04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ascii="宋体" w:hAnsi="宋体" w:eastAsia="宋体" w:cs="宋体"/>
                <w:sz w:val="20"/>
                <w:szCs w:val="20"/>
              </w:rPr>
            </w:pPr>
            <w:bookmarkStart w:id="245" w:name="_Toc16347"/>
            <w:r>
              <w:rPr>
                <w:rFonts w:ascii="宋体" w:hAnsi="宋体" w:eastAsia="宋体" w:cs="宋体"/>
                <w:spacing w:val="3"/>
                <w:sz w:val="20"/>
                <w:szCs w:val="20"/>
              </w:rPr>
              <w:t>☆1 招标文件技术要求</w:t>
            </w:r>
            <w:bookmarkEnd w:id="245"/>
          </w:p>
        </w:tc>
        <w:tc>
          <w:tcPr>
            <w:tcW w:w="2882" w:type="dxa"/>
            <w:vAlign w:val="center"/>
          </w:tcPr>
          <w:p w14:paraId="14B53F0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ascii="宋体" w:hAnsi="宋体" w:eastAsia="宋体" w:cs="宋体"/>
                <w:sz w:val="20"/>
                <w:szCs w:val="20"/>
              </w:rPr>
            </w:pPr>
            <w:bookmarkStart w:id="246" w:name="_Toc30481"/>
            <w:r>
              <w:rPr>
                <w:rFonts w:ascii="宋体" w:hAnsi="宋体" w:eastAsia="宋体" w:cs="宋体"/>
                <w:spacing w:val="3"/>
                <w:sz w:val="20"/>
                <w:szCs w:val="20"/>
              </w:rPr>
              <w:t>☆2 投标实际参数</w:t>
            </w:r>
            <w:bookmarkEnd w:id="246"/>
          </w:p>
        </w:tc>
        <w:tc>
          <w:tcPr>
            <w:tcW w:w="1406" w:type="dxa"/>
            <w:vAlign w:val="center"/>
          </w:tcPr>
          <w:p w14:paraId="65A9DE7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hint="eastAsia" w:ascii="宋体" w:hAnsi="宋体" w:eastAsia="宋体" w:cs="宋体"/>
                <w:spacing w:val="4"/>
                <w:sz w:val="20"/>
                <w:szCs w:val="20"/>
                <w:lang w:val="en-US" w:eastAsia="zh-CN"/>
              </w:rPr>
            </w:pPr>
            <w:bookmarkStart w:id="247" w:name="_Toc25643"/>
            <w:r>
              <w:rPr>
                <w:rFonts w:ascii="宋体" w:hAnsi="宋体" w:eastAsia="宋体" w:cs="宋体"/>
                <w:spacing w:val="4"/>
                <w:sz w:val="20"/>
                <w:szCs w:val="20"/>
              </w:rPr>
              <w:t>偏离</w:t>
            </w:r>
            <w:bookmarkEnd w:id="247"/>
            <w:r>
              <w:rPr>
                <w:rFonts w:hint="eastAsia" w:ascii="宋体" w:hAnsi="宋体" w:eastAsia="宋体" w:cs="宋体"/>
                <w:spacing w:val="4"/>
                <w:sz w:val="20"/>
                <w:szCs w:val="20"/>
                <w:lang w:val="en-US" w:eastAsia="zh-CN"/>
              </w:rPr>
              <w:t>/</w:t>
            </w:r>
          </w:p>
          <w:p w14:paraId="450D8B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hint="eastAsia" w:ascii="宋体" w:hAnsi="宋体" w:eastAsia="宋体" w:cs="宋体"/>
                <w:sz w:val="20"/>
                <w:szCs w:val="20"/>
                <w:lang w:eastAsia="zh-CN"/>
              </w:rPr>
            </w:pPr>
            <w:r>
              <w:rPr>
                <w:rFonts w:hint="eastAsia" w:ascii="宋体" w:hAnsi="宋体" w:eastAsia="宋体" w:cs="宋体"/>
                <w:spacing w:val="4"/>
                <w:sz w:val="20"/>
                <w:szCs w:val="20"/>
                <w:lang w:eastAsia="zh-CN"/>
              </w:rPr>
              <w:t>（</w:t>
            </w:r>
            <w:r>
              <w:rPr>
                <w:rFonts w:hint="eastAsia" w:ascii="宋体" w:hAnsi="宋体" w:eastAsia="宋体" w:cs="宋体"/>
                <w:spacing w:val="4"/>
                <w:sz w:val="20"/>
                <w:szCs w:val="20"/>
                <w:lang w:val="en-US" w:eastAsia="zh-CN"/>
              </w:rPr>
              <w:t>无偏离</w:t>
            </w:r>
            <w:r>
              <w:rPr>
                <w:rFonts w:hint="eastAsia" w:ascii="宋体" w:hAnsi="宋体" w:eastAsia="宋体" w:cs="宋体"/>
                <w:spacing w:val="4"/>
                <w:sz w:val="20"/>
                <w:szCs w:val="20"/>
                <w:lang w:eastAsia="zh-CN"/>
              </w:rPr>
              <w:t>）</w:t>
            </w:r>
          </w:p>
        </w:tc>
        <w:tc>
          <w:tcPr>
            <w:tcW w:w="994" w:type="dxa"/>
            <w:vAlign w:val="center"/>
          </w:tcPr>
          <w:p w14:paraId="39C484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ascii="宋体" w:hAnsi="宋体" w:eastAsia="宋体" w:cs="宋体"/>
                <w:sz w:val="20"/>
                <w:szCs w:val="20"/>
              </w:rPr>
            </w:pPr>
            <w:bookmarkStart w:id="248" w:name="_Toc5597"/>
            <w:r>
              <w:rPr>
                <w:rFonts w:ascii="宋体" w:hAnsi="宋体" w:eastAsia="宋体" w:cs="宋体"/>
                <w:spacing w:val="4"/>
                <w:sz w:val="20"/>
                <w:szCs w:val="20"/>
              </w:rPr>
              <w:t>备</w:t>
            </w:r>
            <w:r>
              <w:rPr>
                <w:rFonts w:ascii="宋体" w:hAnsi="宋体" w:eastAsia="宋体" w:cs="宋体"/>
                <w:spacing w:val="3"/>
                <w:sz w:val="20"/>
                <w:szCs w:val="20"/>
              </w:rPr>
              <w:t>注</w:t>
            </w:r>
            <w:bookmarkEnd w:id="248"/>
          </w:p>
        </w:tc>
      </w:tr>
      <w:tr w14:paraId="08BC1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28" w:type="dxa"/>
            <w:vAlign w:val="top"/>
          </w:tcPr>
          <w:p w14:paraId="68F36EF8">
            <w:pPr>
              <w:spacing w:before="254" w:line="193" w:lineRule="auto"/>
              <w:ind w:left="369"/>
              <w:outlineLvl w:val="0"/>
              <w:rPr>
                <w:rFonts w:ascii="宋体" w:hAnsi="宋体" w:eastAsia="宋体" w:cs="宋体"/>
                <w:sz w:val="20"/>
                <w:szCs w:val="20"/>
              </w:rPr>
            </w:pPr>
            <w:bookmarkStart w:id="249" w:name="_Toc16950"/>
            <w:r>
              <w:rPr>
                <w:rFonts w:ascii="宋体" w:hAnsi="宋体" w:eastAsia="宋体" w:cs="宋体"/>
                <w:sz w:val="20"/>
                <w:szCs w:val="20"/>
              </w:rPr>
              <w:t>1</w:t>
            </w:r>
            <w:bookmarkEnd w:id="249"/>
          </w:p>
        </w:tc>
        <w:tc>
          <w:tcPr>
            <w:tcW w:w="3066" w:type="dxa"/>
            <w:vAlign w:val="top"/>
          </w:tcPr>
          <w:p w14:paraId="465C7B5E">
            <w:pPr>
              <w:rPr>
                <w:rFonts w:ascii="Arial"/>
                <w:sz w:val="21"/>
              </w:rPr>
            </w:pPr>
          </w:p>
        </w:tc>
        <w:tc>
          <w:tcPr>
            <w:tcW w:w="2882" w:type="dxa"/>
            <w:vAlign w:val="top"/>
          </w:tcPr>
          <w:p w14:paraId="23EB86ED">
            <w:pPr>
              <w:rPr>
                <w:rFonts w:ascii="Arial"/>
                <w:sz w:val="21"/>
              </w:rPr>
            </w:pPr>
          </w:p>
        </w:tc>
        <w:tc>
          <w:tcPr>
            <w:tcW w:w="1406" w:type="dxa"/>
            <w:vAlign w:val="top"/>
          </w:tcPr>
          <w:p w14:paraId="25386327">
            <w:pPr>
              <w:rPr>
                <w:rFonts w:ascii="Arial"/>
                <w:sz w:val="21"/>
              </w:rPr>
            </w:pPr>
          </w:p>
        </w:tc>
        <w:tc>
          <w:tcPr>
            <w:tcW w:w="994" w:type="dxa"/>
            <w:vAlign w:val="top"/>
          </w:tcPr>
          <w:p w14:paraId="18C7DEA2">
            <w:pPr>
              <w:rPr>
                <w:rFonts w:ascii="Arial"/>
                <w:sz w:val="21"/>
              </w:rPr>
            </w:pPr>
          </w:p>
        </w:tc>
      </w:tr>
      <w:tr w14:paraId="19605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28" w:type="dxa"/>
            <w:vAlign w:val="top"/>
          </w:tcPr>
          <w:p w14:paraId="182E3E78">
            <w:pPr>
              <w:spacing w:before="255" w:line="192" w:lineRule="auto"/>
              <w:ind w:left="356"/>
              <w:outlineLvl w:val="0"/>
              <w:rPr>
                <w:rFonts w:ascii="宋体" w:hAnsi="宋体" w:eastAsia="宋体" w:cs="宋体"/>
                <w:sz w:val="20"/>
                <w:szCs w:val="20"/>
              </w:rPr>
            </w:pPr>
            <w:bookmarkStart w:id="250" w:name="_Toc13197"/>
            <w:r>
              <w:rPr>
                <w:rFonts w:ascii="宋体" w:hAnsi="宋体" w:eastAsia="宋体" w:cs="宋体"/>
                <w:sz w:val="20"/>
                <w:szCs w:val="20"/>
              </w:rPr>
              <w:t>2</w:t>
            </w:r>
            <w:bookmarkEnd w:id="250"/>
          </w:p>
        </w:tc>
        <w:tc>
          <w:tcPr>
            <w:tcW w:w="3066" w:type="dxa"/>
            <w:vAlign w:val="top"/>
          </w:tcPr>
          <w:p w14:paraId="7CF1338D">
            <w:pPr>
              <w:rPr>
                <w:rFonts w:ascii="Arial"/>
                <w:sz w:val="21"/>
              </w:rPr>
            </w:pPr>
          </w:p>
        </w:tc>
        <w:tc>
          <w:tcPr>
            <w:tcW w:w="2882" w:type="dxa"/>
            <w:vAlign w:val="top"/>
          </w:tcPr>
          <w:p w14:paraId="643A6C61">
            <w:pPr>
              <w:rPr>
                <w:rFonts w:ascii="Arial"/>
                <w:sz w:val="21"/>
              </w:rPr>
            </w:pPr>
          </w:p>
        </w:tc>
        <w:tc>
          <w:tcPr>
            <w:tcW w:w="1406" w:type="dxa"/>
            <w:vAlign w:val="top"/>
          </w:tcPr>
          <w:p w14:paraId="2D8CDF45">
            <w:pPr>
              <w:rPr>
                <w:rFonts w:ascii="Arial"/>
                <w:sz w:val="21"/>
              </w:rPr>
            </w:pPr>
          </w:p>
        </w:tc>
        <w:tc>
          <w:tcPr>
            <w:tcW w:w="994" w:type="dxa"/>
            <w:vAlign w:val="top"/>
          </w:tcPr>
          <w:p w14:paraId="0D479970">
            <w:pPr>
              <w:rPr>
                <w:rFonts w:ascii="Arial"/>
                <w:sz w:val="21"/>
              </w:rPr>
            </w:pPr>
          </w:p>
        </w:tc>
      </w:tr>
      <w:tr w14:paraId="252F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28" w:type="dxa"/>
            <w:vAlign w:val="top"/>
          </w:tcPr>
          <w:p w14:paraId="1D9A0D36">
            <w:pPr>
              <w:spacing w:before="257" w:line="190" w:lineRule="auto"/>
              <w:ind w:left="357"/>
              <w:outlineLvl w:val="0"/>
              <w:rPr>
                <w:rFonts w:ascii="宋体" w:hAnsi="宋体" w:eastAsia="宋体" w:cs="宋体"/>
                <w:sz w:val="20"/>
                <w:szCs w:val="20"/>
              </w:rPr>
            </w:pPr>
            <w:bookmarkStart w:id="251" w:name="_Toc3151"/>
            <w:r>
              <w:rPr>
                <w:rFonts w:ascii="宋体" w:hAnsi="宋体" w:eastAsia="宋体" w:cs="宋体"/>
                <w:sz w:val="20"/>
                <w:szCs w:val="20"/>
              </w:rPr>
              <w:t>3</w:t>
            </w:r>
            <w:bookmarkEnd w:id="251"/>
          </w:p>
        </w:tc>
        <w:tc>
          <w:tcPr>
            <w:tcW w:w="3066" w:type="dxa"/>
            <w:vAlign w:val="top"/>
          </w:tcPr>
          <w:p w14:paraId="4B9D6839">
            <w:pPr>
              <w:rPr>
                <w:rFonts w:ascii="Arial"/>
                <w:sz w:val="21"/>
              </w:rPr>
            </w:pPr>
          </w:p>
        </w:tc>
        <w:tc>
          <w:tcPr>
            <w:tcW w:w="2882" w:type="dxa"/>
            <w:vAlign w:val="top"/>
          </w:tcPr>
          <w:p w14:paraId="2CC52C5C">
            <w:pPr>
              <w:rPr>
                <w:rFonts w:ascii="Arial"/>
                <w:sz w:val="21"/>
              </w:rPr>
            </w:pPr>
          </w:p>
        </w:tc>
        <w:tc>
          <w:tcPr>
            <w:tcW w:w="1406" w:type="dxa"/>
            <w:vAlign w:val="top"/>
          </w:tcPr>
          <w:p w14:paraId="039E6045">
            <w:pPr>
              <w:rPr>
                <w:rFonts w:ascii="Arial"/>
                <w:sz w:val="21"/>
              </w:rPr>
            </w:pPr>
          </w:p>
        </w:tc>
        <w:tc>
          <w:tcPr>
            <w:tcW w:w="994" w:type="dxa"/>
            <w:vAlign w:val="top"/>
          </w:tcPr>
          <w:p w14:paraId="110DE7CB">
            <w:pPr>
              <w:rPr>
                <w:rFonts w:ascii="Arial"/>
                <w:sz w:val="21"/>
              </w:rPr>
            </w:pPr>
          </w:p>
        </w:tc>
      </w:tr>
    </w:tbl>
    <w:p w14:paraId="0A5EC609">
      <w:pPr>
        <w:spacing w:before="196" w:line="409" w:lineRule="auto"/>
        <w:ind w:left="-6" w:leftChars="0" w:right="580" w:firstLine="426" w:firstLineChars="0"/>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11"/>
          <w:sz w:val="23"/>
          <w:szCs w:val="23"/>
        </w:rPr>
        <w:t>:</w:t>
      </w:r>
      <w:r>
        <w:rPr>
          <w:rFonts w:ascii="宋体" w:hAnsi="宋体" w:eastAsia="宋体" w:cs="宋体"/>
          <w:spacing w:val="7"/>
          <w:sz w:val="23"/>
          <w:szCs w:val="23"/>
        </w:rPr>
        <w:t>1.☆1指招标文件中的技术规格(参数)，投标人应按照招标文件中的内容逐条抄</w:t>
      </w:r>
      <w:r>
        <w:rPr>
          <w:rFonts w:ascii="宋体" w:hAnsi="宋体" w:eastAsia="宋体" w:cs="宋体"/>
          <w:spacing w:val="-3"/>
          <w:sz w:val="23"/>
          <w:szCs w:val="23"/>
        </w:rPr>
        <w:t>写。</w:t>
      </w:r>
    </w:p>
    <w:p w14:paraId="24B87195">
      <w:pPr>
        <w:spacing w:before="140" w:line="227" w:lineRule="auto"/>
        <w:ind w:left="-6" w:leftChars="0" w:firstLine="426" w:firstLineChars="0"/>
        <w:rPr>
          <w:rFonts w:ascii="宋体" w:hAnsi="宋体" w:eastAsia="宋体" w:cs="宋体"/>
          <w:sz w:val="23"/>
          <w:szCs w:val="23"/>
        </w:rPr>
      </w:pPr>
      <w:r>
        <w:rPr>
          <w:rFonts w:ascii="宋体" w:hAnsi="宋体" w:eastAsia="宋体" w:cs="宋体"/>
          <w:spacing w:val="5"/>
          <w:sz w:val="23"/>
          <w:szCs w:val="23"/>
        </w:rPr>
        <w:t>2.☆2指投标人拟提供的投标货物/服务</w:t>
      </w:r>
      <w:r>
        <w:rPr>
          <w:rFonts w:ascii="宋体" w:hAnsi="宋体" w:eastAsia="宋体" w:cs="宋体"/>
          <w:spacing w:val="2"/>
          <w:sz w:val="23"/>
          <w:szCs w:val="23"/>
        </w:rPr>
        <w:t>。</w:t>
      </w:r>
    </w:p>
    <w:p w14:paraId="59127824">
      <w:pPr>
        <w:spacing w:line="301" w:lineRule="auto"/>
        <w:rPr>
          <w:rFonts w:ascii="Arial"/>
          <w:sz w:val="21"/>
        </w:rPr>
      </w:pPr>
    </w:p>
    <w:p w14:paraId="50D71587">
      <w:pPr>
        <w:spacing w:line="301" w:lineRule="auto"/>
        <w:rPr>
          <w:rFonts w:ascii="Arial"/>
          <w:sz w:val="21"/>
        </w:rPr>
      </w:pPr>
    </w:p>
    <w:p w14:paraId="2377DA74">
      <w:pPr>
        <w:spacing w:line="301" w:lineRule="auto"/>
        <w:rPr>
          <w:rFonts w:ascii="Arial"/>
          <w:sz w:val="21"/>
        </w:rPr>
      </w:pPr>
    </w:p>
    <w:p w14:paraId="0EC98DED">
      <w:pPr>
        <w:spacing w:line="301" w:lineRule="auto"/>
        <w:rPr>
          <w:rFonts w:ascii="Arial"/>
          <w:sz w:val="21"/>
        </w:rPr>
      </w:pPr>
    </w:p>
    <w:p w14:paraId="3559602F">
      <w:pPr>
        <w:spacing w:line="301" w:lineRule="auto"/>
        <w:rPr>
          <w:rFonts w:ascii="Arial"/>
          <w:sz w:val="21"/>
        </w:rPr>
      </w:pPr>
    </w:p>
    <w:p w14:paraId="6519D762">
      <w:pPr>
        <w:spacing w:line="301" w:lineRule="auto"/>
        <w:rPr>
          <w:rFonts w:ascii="Arial"/>
          <w:sz w:val="21"/>
        </w:rPr>
      </w:pPr>
    </w:p>
    <w:p w14:paraId="15EDF986">
      <w:pPr>
        <w:spacing w:before="76" w:line="530" w:lineRule="auto"/>
        <w:ind w:left="981" w:right="1720" w:hanging="40"/>
        <w:rPr>
          <w:rFonts w:ascii="宋体" w:hAnsi="宋体" w:eastAsia="宋体" w:cs="宋体"/>
          <w:sz w:val="23"/>
          <w:szCs w:val="23"/>
        </w:rPr>
      </w:pPr>
      <w:r>
        <w:rPr>
          <w:rFonts w:ascii="宋体" w:hAnsi="宋体" w:eastAsia="宋体" w:cs="宋体"/>
          <w:spacing w:val="2"/>
          <w:sz w:val="23"/>
          <w:szCs w:val="23"/>
        </w:rPr>
        <w:t>法定代表人或法定代表人授权代表 (签字</w:t>
      </w:r>
      <w:r>
        <w:rPr>
          <w:rFonts w:ascii="宋体" w:hAnsi="宋体" w:eastAsia="宋体" w:cs="宋体"/>
          <w:spacing w:val="1"/>
          <w:sz w:val="23"/>
          <w:szCs w:val="23"/>
        </w:rPr>
        <w:t>) ：</w:t>
      </w:r>
      <w:r>
        <w:rPr>
          <w:rFonts w:ascii="宋体" w:hAnsi="宋体" w:eastAsia="宋体" w:cs="宋体"/>
          <w:spacing w:val="1"/>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4"/>
          <w:sz w:val="23"/>
          <w:szCs w:val="23"/>
        </w:rPr>
        <w:t>日期</w:t>
      </w:r>
      <w:r>
        <w:rPr>
          <w:rFonts w:ascii="宋体" w:hAnsi="宋体" w:eastAsia="宋体" w:cs="宋体"/>
          <w:spacing w:val="-9"/>
          <w:sz w:val="23"/>
          <w:szCs w:val="23"/>
        </w:rPr>
        <w:t>：</w:t>
      </w:r>
      <w:r>
        <w:rPr>
          <w:rFonts w:ascii="宋体" w:hAnsi="宋体" w:eastAsia="宋体" w:cs="宋体"/>
          <w:spacing w:val="-7"/>
          <w:sz w:val="23"/>
          <w:szCs w:val="23"/>
          <w:u w:val="single" w:color="auto"/>
        </w:rPr>
        <w:t xml:space="preserve">  </w:t>
      </w:r>
      <w:r>
        <w:rPr>
          <w:rFonts w:hint="eastAsia" w:ascii="宋体" w:hAnsi="宋体" w:eastAsia="宋体" w:cs="宋体"/>
          <w:spacing w:val="-7"/>
          <w:sz w:val="23"/>
          <w:szCs w:val="23"/>
          <w:u w:val="single" w:color="auto"/>
          <w:lang w:val="en-US" w:eastAsia="zh-CN"/>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14:paraId="45F06B51">
      <w:pPr>
        <w:sectPr>
          <w:headerReference r:id="rId15" w:type="default"/>
          <w:footerReference r:id="rId16" w:type="default"/>
          <w:pgSz w:w="11905" w:h="16840"/>
          <w:pgMar w:top="1587" w:right="1474" w:bottom="1474" w:left="1494" w:header="850" w:footer="850" w:gutter="0"/>
          <w:pgNumType w:fmt="decimal"/>
          <w:cols w:space="0" w:num="1"/>
          <w:rtlGutter w:val="0"/>
          <w:docGrid w:linePitch="0" w:charSpace="0"/>
        </w:sectPr>
      </w:pPr>
    </w:p>
    <w:bookmarkEnd w:id="242"/>
    <w:bookmarkEnd w:id="243"/>
    <w:p w14:paraId="2AF8E732">
      <w:pPr>
        <w:outlineLvl w:val="9"/>
        <w:rPr>
          <w:rFonts w:ascii="宋体" w:hAnsi="宋体" w:eastAsia="宋体" w:cs="宋体"/>
          <w:sz w:val="24"/>
          <w:szCs w:val="24"/>
        </w:rPr>
      </w:pPr>
    </w:p>
    <w:p w14:paraId="07BCAECE">
      <w:pPr>
        <w:jc w:val="center"/>
        <w:outlineLvl w:val="9"/>
        <w:rPr>
          <w:rFonts w:hint="eastAsia" w:ascii="宋体" w:hAnsi="宋体" w:eastAsia="宋体" w:cs="宋体"/>
          <w:b/>
          <w:bCs/>
          <w:kern w:val="2"/>
          <w:sz w:val="24"/>
          <w:szCs w:val="24"/>
        </w:rPr>
      </w:pPr>
      <w:bookmarkStart w:id="252" w:name="_Toc29597"/>
      <w:bookmarkStart w:id="253" w:name="_Toc17857"/>
      <w:bookmarkStart w:id="254" w:name="_Toc10122"/>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w:t>
      </w:r>
      <w:bookmarkEnd w:id="252"/>
      <w:bookmarkEnd w:id="253"/>
      <w:r>
        <w:rPr>
          <w:rFonts w:hint="eastAsia" w:ascii="宋体" w:hAnsi="宋体" w:eastAsia="宋体" w:cs="宋体"/>
          <w:b/>
          <w:bCs/>
          <w:kern w:val="2"/>
          <w:sz w:val="24"/>
          <w:szCs w:val="24"/>
        </w:rPr>
        <w:t>投标人资质证明文件及认为有必要的其他相关证明材料</w:t>
      </w:r>
      <w:bookmarkEnd w:id="254"/>
    </w:p>
    <w:p w14:paraId="2B19A9FC">
      <w:pPr>
        <w:jc w:val="center"/>
        <w:outlineLvl w:val="9"/>
        <w:rPr>
          <w:rFonts w:hint="eastAsia" w:ascii="宋体" w:hAnsi="宋体" w:eastAsia="宋体" w:cs="宋体"/>
          <w:b/>
          <w:bCs/>
          <w:kern w:val="2"/>
          <w:sz w:val="24"/>
          <w:szCs w:val="24"/>
        </w:rPr>
      </w:pPr>
    </w:p>
    <w:p w14:paraId="0ABA3298">
      <w:pPr>
        <w:jc w:val="center"/>
        <w:outlineLvl w:val="9"/>
        <w:rPr>
          <w:rFonts w:hint="eastAsia" w:ascii="宋体" w:hAnsi="宋体" w:eastAsia="宋体" w:cs="宋体"/>
          <w:b/>
          <w:bCs/>
          <w:kern w:val="2"/>
          <w:sz w:val="24"/>
          <w:szCs w:val="24"/>
        </w:rPr>
      </w:pPr>
    </w:p>
    <w:p w14:paraId="4A22ABCC">
      <w:pPr>
        <w:jc w:val="center"/>
        <w:outlineLvl w:val="9"/>
        <w:rPr>
          <w:rFonts w:ascii="宋体" w:hAnsi="宋体" w:eastAsia="宋体" w:cs="宋体"/>
          <w:kern w:val="2"/>
          <w:sz w:val="24"/>
          <w:szCs w:val="24"/>
        </w:rPr>
      </w:pPr>
      <w:r>
        <w:rPr>
          <w:rFonts w:hint="eastAsia" w:ascii="宋体" w:hAnsi="宋体" w:eastAsia="宋体" w:cs="宋体"/>
          <w:b/>
          <w:kern w:val="2"/>
          <w:sz w:val="24"/>
          <w:szCs w:val="24"/>
          <w:lang w:val="en-US" w:eastAsia="zh-CN"/>
        </w:rPr>
        <w:t>格式自拟</w:t>
      </w:r>
    </w:p>
    <w:p w14:paraId="59F7734B">
      <w:pPr>
        <w:adjustRightInd/>
        <w:snapToGrid/>
        <w:spacing w:after="0" w:line="360" w:lineRule="auto"/>
        <w:jc w:val="both"/>
        <w:textAlignment w:val="baseline"/>
        <w:outlineLvl w:val="9"/>
        <w:rPr>
          <w:rFonts w:ascii="宋体" w:hAnsi="宋体" w:eastAsia="宋体" w:cs="宋体"/>
          <w:b/>
          <w:kern w:val="2"/>
          <w:sz w:val="24"/>
          <w:szCs w:val="24"/>
        </w:rPr>
      </w:pPr>
    </w:p>
    <w:p w14:paraId="4932812C">
      <w:pPr>
        <w:adjustRightInd/>
        <w:snapToGrid/>
        <w:spacing w:after="0"/>
        <w:outlineLvl w:val="9"/>
        <w:rPr>
          <w:rFonts w:hint="default" w:ascii="宋体" w:hAnsi="宋体" w:eastAsia="宋体" w:cs="宋体"/>
          <w:b/>
          <w:kern w:val="2"/>
          <w:sz w:val="24"/>
          <w:szCs w:val="24"/>
          <w:lang w:val="en-US" w:eastAsia="zh-CN"/>
        </w:rPr>
      </w:pPr>
      <w:r>
        <w:rPr>
          <w:rFonts w:hint="eastAsia" w:ascii="宋体" w:hAnsi="宋体" w:eastAsia="宋体" w:cs="宋体"/>
          <w:b/>
          <w:kern w:val="2"/>
          <w:sz w:val="24"/>
          <w:szCs w:val="24"/>
        </w:rPr>
        <w:br w:type="page"/>
      </w:r>
    </w:p>
    <w:p w14:paraId="777B480A">
      <w:pPr>
        <w:jc w:val="center"/>
        <w:outlineLvl w:val="9"/>
        <w:rPr>
          <w:rFonts w:ascii="宋体" w:hAnsi="宋体" w:eastAsia="宋体" w:cs="宋体"/>
          <w:b/>
          <w:kern w:val="2"/>
          <w:sz w:val="24"/>
          <w:szCs w:val="24"/>
        </w:rPr>
      </w:pPr>
      <w:bookmarkStart w:id="255" w:name="_Toc16286"/>
      <w:bookmarkStart w:id="256" w:name="_Toc31634"/>
      <w:bookmarkStart w:id="257" w:name="_Toc711"/>
      <w:bookmarkStart w:id="258" w:name="_Toc3354"/>
      <w:bookmarkStart w:id="259" w:name="_Toc13243"/>
      <w:bookmarkStart w:id="260" w:name="_Toc8674"/>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bookmarkEnd w:id="255"/>
      <w:bookmarkEnd w:id="256"/>
      <w:bookmarkEnd w:id="257"/>
      <w:bookmarkEnd w:id="258"/>
      <w:bookmarkEnd w:id="259"/>
      <w:r>
        <w:rPr>
          <w:rFonts w:hint="eastAsia" w:ascii="宋体" w:hAnsi="宋体" w:eastAsia="宋体" w:cs="宋体"/>
          <w:b/>
          <w:kern w:val="2"/>
          <w:sz w:val="24"/>
          <w:szCs w:val="24"/>
        </w:rPr>
        <w:t>商务偏离表</w:t>
      </w:r>
      <w:bookmarkEnd w:id="260"/>
    </w:p>
    <w:p w14:paraId="600F67E1">
      <w:pPr>
        <w:adjustRightInd/>
        <w:snapToGrid/>
        <w:spacing w:after="0" w:line="360" w:lineRule="auto"/>
        <w:jc w:val="center"/>
        <w:textAlignment w:val="baseline"/>
        <w:outlineLvl w:val="9"/>
        <w:rPr>
          <w:rFonts w:ascii="宋体" w:hAnsi="宋体" w:eastAsia="宋体" w:cs="宋体"/>
          <w:b/>
          <w:kern w:val="2"/>
          <w:sz w:val="24"/>
          <w:szCs w:val="24"/>
        </w:rPr>
      </w:pPr>
    </w:p>
    <w:tbl>
      <w:tblPr>
        <w:tblStyle w:val="27"/>
        <w:tblW w:w="87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2730"/>
        <w:gridCol w:w="2726"/>
        <w:gridCol w:w="1481"/>
        <w:gridCol w:w="1046"/>
      </w:tblGrid>
      <w:tr w14:paraId="6220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13EED536">
            <w:pPr>
              <w:adjustRightInd/>
              <w:snapToGrid/>
              <w:spacing w:after="0" w:line="360" w:lineRule="auto"/>
              <w:jc w:val="center"/>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2730" w:type="dxa"/>
            <w:tcBorders>
              <w:top w:val="single" w:color="000000" w:sz="6" w:space="0"/>
              <w:left w:val="single" w:color="000000" w:sz="6" w:space="0"/>
              <w:bottom w:val="single" w:color="000000" w:sz="6" w:space="0"/>
              <w:right w:val="single" w:color="000000" w:sz="6" w:space="0"/>
            </w:tcBorders>
            <w:vAlign w:val="center"/>
          </w:tcPr>
          <w:p w14:paraId="61AFB82B">
            <w:pPr>
              <w:adjustRightInd/>
              <w:snapToGrid/>
              <w:spacing w:after="0" w:line="360" w:lineRule="auto"/>
              <w:jc w:val="center"/>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招标文件的商务条款</w:t>
            </w:r>
          </w:p>
        </w:tc>
        <w:tc>
          <w:tcPr>
            <w:tcW w:w="2726" w:type="dxa"/>
            <w:tcBorders>
              <w:top w:val="single" w:color="000000" w:sz="6" w:space="0"/>
              <w:left w:val="single" w:color="000000" w:sz="6" w:space="0"/>
              <w:bottom w:val="single" w:color="000000" w:sz="6" w:space="0"/>
              <w:right w:val="single" w:color="000000" w:sz="6" w:space="0"/>
            </w:tcBorders>
            <w:vAlign w:val="center"/>
          </w:tcPr>
          <w:p w14:paraId="53B0B6A4">
            <w:pPr>
              <w:adjustRightInd/>
              <w:snapToGrid/>
              <w:spacing w:after="0" w:line="360" w:lineRule="auto"/>
              <w:jc w:val="center"/>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投标文件的商务条款</w:t>
            </w:r>
          </w:p>
        </w:tc>
        <w:tc>
          <w:tcPr>
            <w:tcW w:w="1481" w:type="dxa"/>
            <w:tcBorders>
              <w:top w:val="single" w:color="000000" w:sz="6" w:space="0"/>
              <w:left w:val="single" w:color="000000" w:sz="6" w:space="0"/>
              <w:bottom w:val="single" w:color="000000" w:sz="6" w:space="0"/>
              <w:right w:val="single" w:color="000000" w:sz="4" w:space="0"/>
            </w:tcBorders>
            <w:vAlign w:val="center"/>
          </w:tcPr>
          <w:p w14:paraId="43E37E0D">
            <w:pPr>
              <w:adjustRightInd/>
              <w:snapToGrid/>
              <w:spacing w:after="0" w:line="360" w:lineRule="auto"/>
              <w:jc w:val="center"/>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偏离情况</w:t>
            </w:r>
          </w:p>
        </w:tc>
        <w:tc>
          <w:tcPr>
            <w:tcW w:w="1046" w:type="dxa"/>
            <w:tcBorders>
              <w:top w:val="single" w:color="000000" w:sz="6" w:space="0"/>
              <w:left w:val="single" w:color="000000" w:sz="4" w:space="0"/>
              <w:bottom w:val="single" w:color="000000" w:sz="6" w:space="0"/>
              <w:right w:val="single" w:color="000000" w:sz="6" w:space="0"/>
            </w:tcBorders>
            <w:vAlign w:val="center"/>
          </w:tcPr>
          <w:p w14:paraId="4FAAD9EE">
            <w:pPr>
              <w:adjustRightInd/>
              <w:snapToGrid/>
              <w:spacing w:after="0" w:line="360" w:lineRule="auto"/>
              <w:jc w:val="center"/>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说明</w:t>
            </w:r>
          </w:p>
        </w:tc>
      </w:tr>
      <w:tr w14:paraId="382B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5D735CBF">
            <w:pPr>
              <w:adjustRightInd/>
              <w:snapToGrid/>
              <w:spacing w:after="0" w:line="360" w:lineRule="auto"/>
              <w:jc w:val="center"/>
              <w:textAlignment w:val="baseline"/>
              <w:outlineLvl w:val="9"/>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61CEE675">
            <w:pPr>
              <w:adjustRightInd/>
              <w:snapToGrid/>
              <w:spacing w:after="0" w:line="360" w:lineRule="auto"/>
              <w:jc w:val="center"/>
              <w:textAlignment w:val="baseline"/>
              <w:outlineLvl w:val="9"/>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6D8E1793">
            <w:pPr>
              <w:adjustRightInd/>
              <w:snapToGrid/>
              <w:spacing w:after="0" w:line="360" w:lineRule="auto"/>
              <w:jc w:val="center"/>
              <w:textAlignment w:val="baseline"/>
              <w:outlineLvl w:val="9"/>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46049E63">
            <w:pPr>
              <w:adjustRightInd/>
              <w:snapToGrid/>
              <w:spacing w:after="0" w:line="360" w:lineRule="auto"/>
              <w:jc w:val="center"/>
              <w:textAlignment w:val="baseline"/>
              <w:outlineLvl w:val="9"/>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6F216CF6">
            <w:pPr>
              <w:adjustRightInd/>
              <w:snapToGrid/>
              <w:spacing w:after="0" w:line="360" w:lineRule="auto"/>
              <w:jc w:val="center"/>
              <w:textAlignment w:val="baseline"/>
              <w:outlineLvl w:val="9"/>
              <w:rPr>
                <w:rFonts w:ascii="宋体" w:hAnsi="宋体" w:eastAsia="宋体" w:cs="宋体"/>
                <w:bCs/>
                <w:kern w:val="2"/>
                <w:sz w:val="24"/>
                <w:szCs w:val="24"/>
              </w:rPr>
            </w:pPr>
          </w:p>
        </w:tc>
      </w:tr>
      <w:tr w14:paraId="06F3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28B0C446">
            <w:pPr>
              <w:adjustRightInd/>
              <w:snapToGrid/>
              <w:spacing w:after="0" w:line="360" w:lineRule="auto"/>
              <w:jc w:val="center"/>
              <w:textAlignment w:val="baseline"/>
              <w:outlineLvl w:val="9"/>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2C9BE1E2">
            <w:pPr>
              <w:adjustRightInd/>
              <w:snapToGrid/>
              <w:spacing w:after="0" w:line="360" w:lineRule="auto"/>
              <w:jc w:val="center"/>
              <w:textAlignment w:val="baseline"/>
              <w:outlineLvl w:val="9"/>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4F12E8CE">
            <w:pPr>
              <w:adjustRightInd/>
              <w:snapToGrid/>
              <w:spacing w:after="0" w:line="360" w:lineRule="auto"/>
              <w:jc w:val="center"/>
              <w:textAlignment w:val="baseline"/>
              <w:outlineLvl w:val="9"/>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0445A41B">
            <w:pPr>
              <w:adjustRightInd/>
              <w:snapToGrid/>
              <w:spacing w:after="0" w:line="360" w:lineRule="auto"/>
              <w:jc w:val="center"/>
              <w:textAlignment w:val="baseline"/>
              <w:outlineLvl w:val="9"/>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628A3E8A">
            <w:pPr>
              <w:adjustRightInd/>
              <w:snapToGrid/>
              <w:spacing w:after="0" w:line="360" w:lineRule="auto"/>
              <w:jc w:val="center"/>
              <w:textAlignment w:val="baseline"/>
              <w:outlineLvl w:val="9"/>
              <w:rPr>
                <w:rFonts w:ascii="宋体" w:hAnsi="宋体" w:eastAsia="宋体" w:cs="宋体"/>
                <w:bCs/>
                <w:kern w:val="2"/>
                <w:sz w:val="24"/>
                <w:szCs w:val="24"/>
              </w:rPr>
            </w:pPr>
          </w:p>
        </w:tc>
      </w:tr>
      <w:tr w14:paraId="1F1B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23A6881F">
            <w:pPr>
              <w:adjustRightInd/>
              <w:snapToGrid/>
              <w:spacing w:after="0" w:line="360" w:lineRule="auto"/>
              <w:jc w:val="center"/>
              <w:textAlignment w:val="baseline"/>
              <w:outlineLvl w:val="9"/>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43786FCB">
            <w:pPr>
              <w:adjustRightInd/>
              <w:snapToGrid/>
              <w:spacing w:after="0" w:line="360" w:lineRule="auto"/>
              <w:jc w:val="center"/>
              <w:textAlignment w:val="baseline"/>
              <w:outlineLvl w:val="9"/>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01BAE4CF">
            <w:pPr>
              <w:adjustRightInd/>
              <w:snapToGrid/>
              <w:spacing w:after="0" w:line="360" w:lineRule="auto"/>
              <w:jc w:val="center"/>
              <w:textAlignment w:val="baseline"/>
              <w:outlineLvl w:val="9"/>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20581A3C">
            <w:pPr>
              <w:adjustRightInd/>
              <w:snapToGrid/>
              <w:spacing w:after="0" w:line="360" w:lineRule="auto"/>
              <w:jc w:val="center"/>
              <w:textAlignment w:val="baseline"/>
              <w:outlineLvl w:val="9"/>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1A7D192C">
            <w:pPr>
              <w:adjustRightInd/>
              <w:snapToGrid/>
              <w:spacing w:after="0" w:line="360" w:lineRule="auto"/>
              <w:jc w:val="center"/>
              <w:textAlignment w:val="baseline"/>
              <w:outlineLvl w:val="9"/>
              <w:rPr>
                <w:rFonts w:ascii="宋体" w:hAnsi="宋体" w:eastAsia="宋体" w:cs="宋体"/>
                <w:bCs/>
                <w:kern w:val="2"/>
                <w:sz w:val="24"/>
                <w:szCs w:val="24"/>
              </w:rPr>
            </w:pPr>
          </w:p>
        </w:tc>
      </w:tr>
      <w:tr w14:paraId="3AAC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73EF8290">
            <w:pPr>
              <w:adjustRightInd/>
              <w:snapToGrid/>
              <w:spacing w:after="0" w:line="360" w:lineRule="auto"/>
              <w:jc w:val="center"/>
              <w:textAlignment w:val="baseline"/>
              <w:outlineLvl w:val="9"/>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03F52D31">
            <w:pPr>
              <w:adjustRightInd/>
              <w:snapToGrid/>
              <w:spacing w:after="0" w:line="360" w:lineRule="auto"/>
              <w:jc w:val="center"/>
              <w:textAlignment w:val="baseline"/>
              <w:outlineLvl w:val="9"/>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265CF664">
            <w:pPr>
              <w:adjustRightInd/>
              <w:snapToGrid/>
              <w:spacing w:after="0" w:line="360" w:lineRule="auto"/>
              <w:jc w:val="center"/>
              <w:textAlignment w:val="baseline"/>
              <w:outlineLvl w:val="9"/>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117A0353">
            <w:pPr>
              <w:adjustRightInd/>
              <w:snapToGrid/>
              <w:spacing w:after="0" w:line="360" w:lineRule="auto"/>
              <w:jc w:val="center"/>
              <w:textAlignment w:val="baseline"/>
              <w:outlineLvl w:val="9"/>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565935AB">
            <w:pPr>
              <w:adjustRightInd/>
              <w:snapToGrid/>
              <w:spacing w:after="0" w:line="360" w:lineRule="auto"/>
              <w:jc w:val="center"/>
              <w:textAlignment w:val="baseline"/>
              <w:outlineLvl w:val="9"/>
              <w:rPr>
                <w:rFonts w:ascii="宋体" w:hAnsi="宋体" w:eastAsia="宋体" w:cs="宋体"/>
                <w:bCs/>
                <w:kern w:val="2"/>
                <w:sz w:val="24"/>
                <w:szCs w:val="24"/>
              </w:rPr>
            </w:pPr>
          </w:p>
        </w:tc>
      </w:tr>
      <w:tr w14:paraId="07256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5AB214A9">
            <w:pPr>
              <w:adjustRightInd/>
              <w:snapToGrid/>
              <w:spacing w:after="0" w:line="360" w:lineRule="auto"/>
              <w:jc w:val="center"/>
              <w:textAlignment w:val="baseline"/>
              <w:outlineLvl w:val="9"/>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7B00A43F">
            <w:pPr>
              <w:adjustRightInd/>
              <w:snapToGrid/>
              <w:spacing w:after="0" w:line="360" w:lineRule="auto"/>
              <w:jc w:val="center"/>
              <w:textAlignment w:val="baseline"/>
              <w:outlineLvl w:val="9"/>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5F978A15">
            <w:pPr>
              <w:adjustRightInd/>
              <w:snapToGrid/>
              <w:spacing w:after="0" w:line="360" w:lineRule="auto"/>
              <w:jc w:val="center"/>
              <w:textAlignment w:val="baseline"/>
              <w:outlineLvl w:val="9"/>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2032F799">
            <w:pPr>
              <w:adjustRightInd/>
              <w:snapToGrid/>
              <w:spacing w:after="0" w:line="360" w:lineRule="auto"/>
              <w:jc w:val="center"/>
              <w:textAlignment w:val="baseline"/>
              <w:outlineLvl w:val="9"/>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6A468414">
            <w:pPr>
              <w:adjustRightInd/>
              <w:snapToGrid/>
              <w:spacing w:after="0" w:line="360" w:lineRule="auto"/>
              <w:jc w:val="center"/>
              <w:textAlignment w:val="baseline"/>
              <w:outlineLvl w:val="9"/>
              <w:rPr>
                <w:rFonts w:ascii="宋体" w:hAnsi="宋体" w:eastAsia="宋体" w:cs="宋体"/>
                <w:bCs/>
                <w:kern w:val="2"/>
                <w:sz w:val="24"/>
                <w:szCs w:val="24"/>
              </w:rPr>
            </w:pPr>
          </w:p>
        </w:tc>
      </w:tr>
      <w:tr w14:paraId="6CBC2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02396A09">
            <w:pPr>
              <w:adjustRightInd/>
              <w:snapToGrid/>
              <w:spacing w:after="0" w:line="360" w:lineRule="auto"/>
              <w:jc w:val="center"/>
              <w:textAlignment w:val="baseline"/>
              <w:outlineLvl w:val="9"/>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253FA0B3">
            <w:pPr>
              <w:adjustRightInd/>
              <w:snapToGrid/>
              <w:spacing w:after="0" w:line="360" w:lineRule="auto"/>
              <w:jc w:val="center"/>
              <w:textAlignment w:val="baseline"/>
              <w:outlineLvl w:val="9"/>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6BC5CA77">
            <w:pPr>
              <w:adjustRightInd/>
              <w:snapToGrid/>
              <w:spacing w:after="0" w:line="360" w:lineRule="auto"/>
              <w:jc w:val="center"/>
              <w:textAlignment w:val="baseline"/>
              <w:outlineLvl w:val="9"/>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212A3A31">
            <w:pPr>
              <w:adjustRightInd/>
              <w:snapToGrid/>
              <w:spacing w:after="0" w:line="360" w:lineRule="auto"/>
              <w:jc w:val="center"/>
              <w:textAlignment w:val="baseline"/>
              <w:outlineLvl w:val="9"/>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5D978C36">
            <w:pPr>
              <w:adjustRightInd/>
              <w:snapToGrid/>
              <w:spacing w:after="0" w:line="360" w:lineRule="auto"/>
              <w:jc w:val="center"/>
              <w:textAlignment w:val="baseline"/>
              <w:outlineLvl w:val="9"/>
              <w:rPr>
                <w:rFonts w:ascii="宋体" w:hAnsi="宋体" w:eastAsia="宋体" w:cs="宋体"/>
                <w:bCs/>
                <w:kern w:val="2"/>
                <w:sz w:val="24"/>
                <w:szCs w:val="24"/>
              </w:rPr>
            </w:pPr>
          </w:p>
        </w:tc>
      </w:tr>
      <w:tr w14:paraId="07B2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4AF87BD6">
            <w:pPr>
              <w:adjustRightInd/>
              <w:snapToGrid/>
              <w:spacing w:after="0" w:line="360" w:lineRule="auto"/>
              <w:jc w:val="center"/>
              <w:textAlignment w:val="baseline"/>
              <w:outlineLvl w:val="9"/>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3FC401DC">
            <w:pPr>
              <w:adjustRightInd/>
              <w:snapToGrid/>
              <w:spacing w:after="0" w:line="360" w:lineRule="auto"/>
              <w:jc w:val="center"/>
              <w:textAlignment w:val="baseline"/>
              <w:outlineLvl w:val="9"/>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04D7CA95">
            <w:pPr>
              <w:adjustRightInd/>
              <w:snapToGrid/>
              <w:spacing w:after="0" w:line="360" w:lineRule="auto"/>
              <w:jc w:val="center"/>
              <w:textAlignment w:val="baseline"/>
              <w:outlineLvl w:val="9"/>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568FFECC">
            <w:pPr>
              <w:adjustRightInd/>
              <w:snapToGrid/>
              <w:spacing w:after="0" w:line="360" w:lineRule="auto"/>
              <w:jc w:val="center"/>
              <w:textAlignment w:val="baseline"/>
              <w:outlineLvl w:val="9"/>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02CEFAF6">
            <w:pPr>
              <w:adjustRightInd/>
              <w:snapToGrid/>
              <w:spacing w:after="0" w:line="360" w:lineRule="auto"/>
              <w:jc w:val="center"/>
              <w:textAlignment w:val="baseline"/>
              <w:outlineLvl w:val="9"/>
              <w:rPr>
                <w:rFonts w:ascii="宋体" w:hAnsi="宋体" w:eastAsia="宋体" w:cs="宋体"/>
                <w:bCs/>
                <w:kern w:val="2"/>
                <w:sz w:val="24"/>
                <w:szCs w:val="24"/>
              </w:rPr>
            </w:pPr>
          </w:p>
        </w:tc>
      </w:tr>
    </w:tbl>
    <w:p w14:paraId="7643E0AF">
      <w:pPr>
        <w:adjustRightInd/>
        <w:snapToGrid/>
        <w:spacing w:after="0" w:line="360" w:lineRule="auto"/>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注：除本商务偏离表中所列的偏离内容外，其他所有商务条款均应完全响应“招标文件”中的要求。</w:t>
      </w:r>
    </w:p>
    <w:p w14:paraId="2D7E3C14">
      <w:pPr>
        <w:adjustRightInd/>
        <w:snapToGrid/>
        <w:spacing w:after="0" w:line="360" w:lineRule="auto"/>
        <w:jc w:val="both"/>
        <w:textAlignment w:val="baseline"/>
        <w:outlineLvl w:val="9"/>
        <w:rPr>
          <w:rFonts w:ascii="宋体" w:hAnsi="宋体" w:eastAsia="宋体" w:cs="宋体"/>
          <w:kern w:val="2"/>
          <w:sz w:val="24"/>
          <w:szCs w:val="24"/>
        </w:rPr>
      </w:pPr>
    </w:p>
    <w:p w14:paraId="5C83CA45">
      <w:pPr>
        <w:adjustRightInd/>
        <w:snapToGrid/>
        <w:spacing w:after="0" w:line="360" w:lineRule="auto"/>
        <w:jc w:val="both"/>
        <w:textAlignment w:val="baseline"/>
        <w:outlineLvl w:val="9"/>
        <w:rPr>
          <w:rFonts w:ascii="宋体" w:hAnsi="宋体" w:eastAsia="宋体" w:cs="宋体"/>
          <w:kern w:val="2"/>
          <w:sz w:val="24"/>
          <w:szCs w:val="24"/>
        </w:rPr>
      </w:pPr>
    </w:p>
    <w:p w14:paraId="7B662BF0">
      <w:pPr>
        <w:adjustRightInd/>
        <w:snapToGrid/>
        <w:spacing w:after="0" w:line="360" w:lineRule="auto"/>
        <w:ind w:firstLine="3360" w:firstLineChars="14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投标人名称（</w:t>
      </w:r>
      <w:r>
        <w:rPr>
          <w:rFonts w:hint="eastAsia" w:ascii="宋体" w:hAnsi="宋体" w:eastAsia="宋体" w:cs="宋体"/>
          <w:kern w:val="2"/>
          <w:sz w:val="24"/>
          <w:szCs w:val="24"/>
        </w:rPr>
        <w:t>公章</w:t>
      </w:r>
      <w:r>
        <w:rPr>
          <w:rFonts w:hint="eastAsia" w:ascii="宋体" w:hAnsi="宋体" w:eastAsia="宋体" w:cs="宋体"/>
          <w:bCs/>
          <w:kern w:val="2"/>
          <w:sz w:val="24"/>
          <w:szCs w:val="24"/>
        </w:rPr>
        <w:t>）：</w:t>
      </w:r>
    </w:p>
    <w:p w14:paraId="3F37167E">
      <w:pPr>
        <w:adjustRightInd/>
        <w:snapToGrid/>
        <w:spacing w:after="0" w:line="360" w:lineRule="auto"/>
        <w:jc w:val="both"/>
        <w:textAlignment w:val="baseline"/>
        <w:outlineLvl w:val="9"/>
        <w:rPr>
          <w:rFonts w:ascii="宋体" w:hAnsi="宋体" w:eastAsia="宋体" w:cs="宋体"/>
          <w:bCs/>
          <w:kern w:val="2"/>
          <w:sz w:val="24"/>
          <w:szCs w:val="24"/>
        </w:rPr>
      </w:pPr>
    </w:p>
    <w:p w14:paraId="5BCD4C62">
      <w:pPr>
        <w:adjustRightInd/>
        <w:snapToGrid/>
        <w:spacing w:after="0" w:line="360" w:lineRule="auto"/>
        <w:ind w:firstLine="3360" w:firstLineChars="1400"/>
        <w:jc w:val="both"/>
        <w:textAlignment w:val="baseline"/>
        <w:outlineLvl w:val="9"/>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394E2CA7">
      <w:pPr>
        <w:adjustRightInd/>
        <w:snapToGrid/>
        <w:spacing w:after="0" w:line="360" w:lineRule="auto"/>
        <w:jc w:val="both"/>
        <w:textAlignment w:val="baseline"/>
        <w:outlineLvl w:val="9"/>
        <w:rPr>
          <w:rFonts w:ascii="宋体" w:hAnsi="宋体" w:eastAsia="宋体" w:cs="宋体"/>
          <w:bCs/>
          <w:kern w:val="2"/>
          <w:sz w:val="24"/>
          <w:szCs w:val="24"/>
          <w:u w:val="single"/>
        </w:rPr>
      </w:pPr>
    </w:p>
    <w:p w14:paraId="50C2576E">
      <w:pPr>
        <w:adjustRightInd/>
        <w:spacing w:after="0" w:line="360" w:lineRule="auto"/>
        <w:ind w:firstLine="3360" w:firstLineChars="1400"/>
        <w:jc w:val="both"/>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日    期：  年    月    日</w:t>
      </w:r>
    </w:p>
    <w:p w14:paraId="565F4653">
      <w:pPr>
        <w:adjustRightInd/>
        <w:spacing w:after="0" w:line="360" w:lineRule="auto"/>
        <w:ind w:firstLine="5880" w:firstLineChars="2450"/>
        <w:jc w:val="both"/>
        <w:textAlignment w:val="baseline"/>
        <w:outlineLvl w:val="9"/>
        <w:rPr>
          <w:rFonts w:ascii="宋体" w:hAnsi="宋体" w:eastAsia="宋体" w:cs="宋体"/>
          <w:bCs/>
          <w:kern w:val="2"/>
          <w:sz w:val="24"/>
          <w:szCs w:val="24"/>
          <w:u w:val="single"/>
        </w:rPr>
      </w:pPr>
    </w:p>
    <w:p w14:paraId="33A0F6B7">
      <w:pPr>
        <w:adjustRightInd/>
        <w:spacing w:after="0" w:line="360" w:lineRule="auto"/>
        <w:ind w:firstLine="5880" w:firstLineChars="2450"/>
        <w:jc w:val="both"/>
        <w:textAlignment w:val="baseline"/>
        <w:outlineLvl w:val="9"/>
        <w:rPr>
          <w:rFonts w:ascii="宋体" w:hAnsi="宋体" w:eastAsia="宋体" w:cs="宋体"/>
          <w:bCs/>
          <w:kern w:val="2"/>
          <w:sz w:val="24"/>
          <w:szCs w:val="24"/>
          <w:u w:val="single"/>
        </w:rPr>
      </w:pPr>
    </w:p>
    <w:p w14:paraId="347071B4">
      <w:pPr>
        <w:adjustRightInd/>
        <w:spacing w:after="0" w:line="360" w:lineRule="auto"/>
        <w:ind w:firstLine="5880" w:firstLineChars="2450"/>
        <w:jc w:val="both"/>
        <w:textAlignment w:val="baseline"/>
        <w:outlineLvl w:val="9"/>
        <w:rPr>
          <w:rFonts w:ascii="宋体" w:hAnsi="宋体" w:eastAsia="宋体" w:cs="宋体"/>
          <w:bCs/>
          <w:kern w:val="2"/>
          <w:sz w:val="24"/>
          <w:szCs w:val="24"/>
          <w:u w:val="single"/>
        </w:rPr>
      </w:pPr>
    </w:p>
    <w:p w14:paraId="07BA0597">
      <w:pPr>
        <w:outlineLvl w:val="9"/>
        <w:rPr>
          <w:rFonts w:ascii="宋体" w:hAnsi="宋体" w:eastAsia="宋体" w:cs="宋体"/>
          <w:sz w:val="24"/>
          <w:szCs w:val="24"/>
        </w:rPr>
      </w:pPr>
      <w:bookmarkStart w:id="261" w:name="_Toc1038"/>
      <w:bookmarkStart w:id="262" w:name="_Toc26546"/>
      <w:bookmarkStart w:id="263" w:name="_Toc15315"/>
      <w:bookmarkStart w:id="264" w:name="_Toc26911"/>
    </w:p>
    <w:p w14:paraId="0AEB186F">
      <w:pPr>
        <w:outlineLvl w:val="9"/>
        <w:rPr>
          <w:rFonts w:ascii="宋体" w:hAnsi="宋体" w:eastAsia="宋体" w:cs="宋体"/>
          <w:b/>
          <w:bCs/>
          <w:sz w:val="24"/>
          <w:szCs w:val="24"/>
        </w:rPr>
        <w:sectPr>
          <w:footerReference r:id="rId17" w:type="default"/>
          <w:pgSz w:w="11906" w:h="16838"/>
          <w:pgMar w:top="1440" w:right="1080" w:bottom="1440" w:left="1080" w:header="851" w:footer="992" w:gutter="0"/>
          <w:pgNumType w:fmt="decimal"/>
          <w:cols w:space="720" w:num="1"/>
          <w:docGrid w:linePitch="312" w:charSpace="0"/>
        </w:sectPr>
      </w:pPr>
    </w:p>
    <w:bookmarkEnd w:id="261"/>
    <w:bookmarkEnd w:id="262"/>
    <w:bookmarkEnd w:id="263"/>
    <w:bookmarkEnd w:id="264"/>
    <w:p w14:paraId="32FFC67A">
      <w:pPr>
        <w:jc w:val="center"/>
        <w:outlineLvl w:val="9"/>
        <w:rPr>
          <w:rFonts w:ascii="宋体" w:hAnsi="宋体" w:eastAsia="宋体" w:cs="宋体"/>
          <w:b/>
          <w:kern w:val="2"/>
          <w:sz w:val="24"/>
          <w:szCs w:val="24"/>
        </w:rPr>
      </w:pPr>
      <w:bookmarkStart w:id="265" w:name="_Toc29639"/>
      <w:bookmarkStart w:id="266" w:name="_Toc10763"/>
      <w:bookmarkStart w:id="267" w:name="_Toc26075"/>
      <w:bookmarkStart w:id="268" w:name="_Toc28422"/>
      <w:bookmarkStart w:id="269" w:name="_Toc11673"/>
      <w:bookmarkStart w:id="270" w:name="_Toc15510"/>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w:t>
      </w:r>
      <w:bookmarkEnd w:id="265"/>
      <w:bookmarkEnd w:id="266"/>
      <w:bookmarkEnd w:id="267"/>
      <w:bookmarkEnd w:id="268"/>
      <w:bookmarkEnd w:id="269"/>
      <w:r>
        <w:rPr>
          <w:rFonts w:hint="eastAsia" w:ascii="宋体" w:hAnsi="宋体" w:eastAsia="宋体" w:cs="宋体"/>
          <w:b/>
          <w:kern w:val="2"/>
          <w:sz w:val="24"/>
          <w:szCs w:val="24"/>
        </w:rPr>
        <w:t>优惠条件承诺书</w:t>
      </w:r>
      <w:bookmarkEnd w:id="270"/>
    </w:p>
    <w:p w14:paraId="6677F244">
      <w:pPr>
        <w:adjustRightInd/>
        <w:snapToGrid/>
        <w:spacing w:after="0"/>
        <w:jc w:val="center"/>
        <w:textAlignment w:val="baseline"/>
        <w:outlineLvl w:val="9"/>
        <w:rPr>
          <w:rFonts w:ascii="宋体" w:hAnsi="宋体" w:eastAsia="宋体" w:cs="宋体"/>
          <w:b/>
          <w:kern w:val="2"/>
          <w:sz w:val="24"/>
          <w:szCs w:val="24"/>
        </w:rPr>
      </w:pPr>
    </w:p>
    <w:p w14:paraId="2FEBB029">
      <w:pPr>
        <w:adjustRightInd/>
        <w:snapToGrid/>
        <w:spacing w:after="0" w:line="360" w:lineRule="auto"/>
        <w:jc w:val="both"/>
        <w:textAlignment w:val="baseline"/>
        <w:outlineLvl w:val="9"/>
        <w:rPr>
          <w:rFonts w:hint="eastAsia" w:ascii="宋体" w:hAnsi="宋体" w:eastAsia="宋体" w:cs="宋体"/>
          <w:kern w:val="2"/>
          <w:sz w:val="24"/>
          <w:szCs w:val="24"/>
          <w:u w:val="single"/>
          <w:lang w:eastAsia="zh-CN"/>
        </w:rPr>
      </w:pPr>
      <w:r>
        <w:rPr>
          <w:rFonts w:hint="eastAsia" w:ascii="宋体" w:hAnsi="宋体" w:eastAsia="宋体" w:cs="宋体"/>
          <w:kern w:val="2"/>
          <w:sz w:val="24"/>
          <w:szCs w:val="24"/>
        </w:rPr>
        <w:t>致：</w:t>
      </w:r>
      <w:r>
        <w:rPr>
          <w:rFonts w:hint="eastAsia" w:ascii="宋体" w:hAnsi="宋体" w:eastAsia="宋体" w:cs="宋体"/>
          <w:kern w:val="2"/>
          <w:sz w:val="24"/>
          <w:szCs w:val="24"/>
          <w:u w:val="single"/>
          <w:lang w:eastAsia="zh-CN"/>
        </w:rPr>
        <w:t>文县市场监督管理局</w:t>
      </w:r>
    </w:p>
    <w:p w14:paraId="45DFC823">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经仔细阅读你们的招标文件，对所投标项目向贵单位特作如下优惠条件承诺：</w:t>
      </w:r>
    </w:p>
    <w:p w14:paraId="12128529">
      <w:pPr>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w:t>
      </w:r>
    </w:p>
    <w:p w14:paraId="6070F6FA">
      <w:pPr>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w:t>
      </w:r>
    </w:p>
    <w:p w14:paraId="4F219C1A">
      <w:pPr>
        <w:adjustRightInd/>
        <w:snapToGrid/>
        <w:spacing w:after="0" w:line="360" w:lineRule="auto"/>
        <w:ind w:firstLine="360" w:firstLineChars="15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w:t>
      </w:r>
    </w:p>
    <w:p w14:paraId="41DEA719">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w:t>
      </w:r>
    </w:p>
    <w:p w14:paraId="31C0CD35">
      <w:pPr>
        <w:adjustRightInd/>
        <w:snapToGrid/>
        <w:spacing w:after="0" w:line="360" w:lineRule="auto"/>
        <w:ind w:firstLine="5280" w:firstLineChars="2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特此承诺！</w:t>
      </w:r>
    </w:p>
    <w:p w14:paraId="21813F78">
      <w:pPr>
        <w:adjustRightInd/>
        <w:snapToGrid/>
        <w:spacing w:after="0" w:line="360" w:lineRule="auto"/>
        <w:jc w:val="both"/>
        <w:textAlignment w:val="baseline"/>
        <w:outlineLvl w:val="9"/>
        <w:rPr>
          <w:rFonts w:ascii="宋体" w:hAnsi="宋体" w:eastAsia="宋体" w:cs="宋体"/>
          <w:kern w:val="2"/>
          <w:sz w:val="24"/>
          <w:szCs w:val="24"/>
        </w:rPr>
      </w:pPr>
    </w:p>
    <w:p w14:paraId="0E4C0C6F">
      <w:pPr>
        <w:adjustRightInd/>
        <w:snapToGrid/>
        <w:spacing w:after="0" w:line="360" w:lineRule="auto"/>
        <w:jc w:val="both"/>
        <w:textAlignment w:val="baseline"/>
        <w:outlineLvl w:val="9"/>
        <w:rPr>
          <w:rFonts w:ascii="宋体" w:hAnsi="宋体" w:eastAsia="宋体" w:cs="宋体"/>
          <w:kern w:val="2"/>
          <w:sz w:val="24"/>
          <w:szCs w:val="24"/>
        </w:rPr>
      </w:pPr>
    </w:p>
    <w:p w14:paraId="6744A843">
      <w:pPr>
        <w:adjustRightInd/>
        <w:snapToGrid/>
        <w:spacing w:after="0" w:line="360" w:lineRule="auto"/>
        <w:jc w:val="both"/>
        <w:textAlignment w:val="baseline"/>
        <w:outlineLvl w:val="9"/>
        <w:rPr>
          <w:rFonts w:ascii="宋体" w:hAnsi="宋体" w:eastAsia="宋体" w:cs="宋体"/>
          <w:kern w:val="2"/>
          <w:sz w:val="24"/>
          <w:szCs w:val="24"/>
        </w:rPr>
      </w:pPr>
    </w:p>
    <w:p w14:paraId="3370CB52">
      <w:pPr>
        <w:adjustRightInd/>
        <w:snapToGrid/>
        <w:spacing w:after="0" w:line="360" w:lineRule="auto"/>
        <w:jc w:val="both"/>
        <w:textAlignment w:val="baseline"/>
        <w:outlineLvl w:val="9"/>
        <w:rPr>
          <w:rFonts w:ascii="宋体" w:hAnsi="宋体" w:eastAsia="宋体" w:cs="宋体"/>
          <w:kern w:val="2"/>
          <w:sz w:val="24"/>
          <w:szCs w:val="24"/>
        </w:rPr>
      </w:pPr>
    </w:p>
    <w:p w14:paraId="56ECD962">
      <w:pPr>
        <w:adjustRightInd/>
        <w:snapToGrid/>
        <w:spacing w:after="0" w:line="360" w:lineRule="auto"/>
        <w:jc w:val="both"/>
        <w:textAlignment w:val="baseline"/>
        <w:outlineLvl w:val="9"/>
        <w:rPr>
          <w:rFonts w:ascii="宋体" w:hAnsi="宋体" w:eastAsia="宋体" w:cs="宋体"/>
          <w:kern w:val="2"/>
          <w:sz w:val="24"/>
          <w:szCs w:val="24"/>
        </w:rPr>
      </w:pPr>
    </w:p>
    <w:p w14:paraId="6C846587">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投标人名称（</w:t>
      </w:r>
      <w:r>
        <w:rPr>
          <w:rFonts w:hint="eastAsia" w:ascii="宋体" w:hAnsi="宋体" w:eastAsia="宋体" w:cs="宋体"/>
          <w:kern w:val="2"/>
          <w:sz w:val="24"/>
          <w:szCs w:val="24"/>
        </w:rPr>
        <w:t>公章</w:t>
      </w:r>
      <w:r>
        <w:rPr>
          <w:rFonts w:hint="eastAsia" w:ascii="宋体" w:hAnsi="宋体" w:eastAsia="宋体" w:cs="宋体"/>
          <w:bCs/>
          <w:kern w:val="2"/>
          <w:sz w:val="24"/>
          <w:szCs w:val="24"/>
        </w:rPr>
        <w:t>）：</w:t>
      </w:r>
    </w:p>
    <w:p w14:paraId="575671C9">
      <w:pPr>
        <w:adjustRightInd/>
        <w:snapToGrid/>
        <w:spacing w:after="0" w:line="360" w:lineRule="auto"/>
        <w:jc w:val="both"/>
        <w:textAlignment w:val="baseline"/>
        <w:outlineLvl w:val="9"/>
        <w:rPr>
          <w:rFonts w:ascii="宋体" w:hAnsi="宋体" w:eastAsia="宋体" w:cs="宋体"/>
          <w:bCs/>
          <w:kern w:val="2"/>
          <w:sz w:val="24"/>
          <w:szCs w:val="24"/>
        </w:rPr>
      </w:pPr>
    </w:p>
    <w:p w14:paraId="6D19DCA9">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3D51B5E0">
      <w:pPr>
        <w:adjustRightInd/>
        <w:snapToGrid/>
        <w:spacing w:after="0" w:line="360" w:lineRule="auto"/>
        <w:jc w:val="both"/>
        <w:textAlignment w:val="baseline"/>
        <w:outlineLvl w:val="9"/>
        <w:rPr>
          <w:rFonts w:ascii="宋体" w:hAnsi="宋体" w:eastAsia="宋体" w:cs="宋体"/>
          <w:bCs/>
          <w:kern w:val="2"/>
          <w:sz w:val="24"/>
          <w:szCs w:val="24"/>
          <w:u w:val="single"/>
        </w:rPr>
      </w:pPr>
    </w:p>
    <w:p w14:paraId="616F8FFD">
      <w:pPr>
        <w:adjustRightInd/>
        <w:spacing w:after="0" w:line="360" w:lineRule="auto"/>
        <w:ind w:firstLine="3840" w:firstLineChars="1600"/>
        <w:jc w:val="both"/>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7B420609">
      <w:pPr>
        <w:pStyle w:val="7"/>
        <w:ind w:firstLine="482"/>
        <w:outlineLvl w:val="9"/>
        <w:rPr>
          <w:rFonts w:hAnsi="宋体" w:eastAsia="宋体" w:cs="宋体"/>
          <w:kern w:val="2"/>
          <w:sz w:val="24"/>
          <w:szCs w:val="24"/>
          <w:lang w:eastAsia="zh-CN"/>
        </w:rPr>
      </w:pPr>
      <w:r>
        <w:rPr>
          <w:rFonts w:hint="eastAsia" w:hAnsi="宋体" w:eastAsia="宋体" w:cs="宋体"/>
          <w:b/>
          <w:kern w:val="2"/>
          <w:sz w:val="24"/>
          <w:szCs w:val="24"/>
          <w:lang w:eastAsia="zh-CN"/>
        </w:rPr>
        <w:br w:type="page"/>
      </w:r>
    </w:p>
    <w:p w14:paraId="47AB5511">
      <w:pPr>
        <w:jc w:val="center"/>
        <w:outlineLvl w:val="9"/>
        <w:rPr>
          <w:rFonts w:ascii="宋体" w:hAnsi="宋体" w:eastAsia="宋体" w:cs="宋体"/>
          <w:b/>
          <w:bCs/>
          <w:kern w:val="2"/>
          <w:sz w:val="24"/>
          <w:szCs w:val="24"/>
        </w:rPr>
      </w:pPr>
      <w:bookmarkStart w:id="271" w:name="_Toc20935"/>
      <w:bookmarkStart w:id="272" w:name="_Toc18946"/>
      <w:bookmarkStart w:id="273" w:name="_Toc3905"/>
      <w:bookmarkStart w:id="274" w:name="_Toc29492"/>
      <w:bookmarkStart w:id="275" w:name="_Toc10724"/>
      <w:bookmarkStart w:id="276" w:name="_Toc6928"/>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w:t>
      </w:r>
      <w:bookmarkEnd w:id="271"/>
      <w:bookmarkEnd w:id="272"/>
      <w:bookmarkEnd w:id="273"/>
      <w:bookmarkEnd w:id="274"/>
      <w:bookmarkEnd w:id="275"/>
      <w:r>
        <w:rPr>
          <w:rFonts w:hint="eastAsia" w:ascii="宋体" w:hAnsi="宋体" w:eastAsia="宋体" w:cs="宋体"/>
          <w:b/>
          <w:bCs/>
          <w:kern w:val="2"/>
          <w:sz w:val="24"/>
          <w:szCs w:val="24"/>
        </w:rPr>
        <w:t>无重大违法记录声明</w:t>
      </w:r>
      <w:bookmarkEnd w:id="276"/>
    </w:p>
    <w:p w14:paraId="345EEF21">
      <w:pPr>
        <w:adjustRightInd/>
        <w:snapToGrid/>
        <w:spacing w:after="0" w:line="360" w:lineRule="auto"/>
        <w:jc w:val="center"/>
        <w:textAlignment w:val="baseline"/>
        <w:outlineLvl w:val="9"/>
        <w:rPr>
          <w:rFonts w:ascii="宋体" w:hAnsi="宋体" w:eastAsia="宋体" w:cs="宋体"/>
          <w:b/>
          <w:bCs/>
          <w:kern w:val="2"/>
          <w:sz w:val="24"/>
          <w:szCs w:val="24"/>
        </w:rPr>
      </w:pPr>
    </w:p>
    <w:p w14:paraId="6727349E">
      <w:pPr>
        <w:adjustRightInd/>
        <w:snapToGrid/>
        <w:spacing w:after="0" w:line="360" w:lineRule="auto"/>
        <w:jc w:val="both"/>
        <w:textAlignment w:val="baseline"/>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致：</w:t>
      </w:r>
      <w:r>
        <w:rPr>
          <w:rFonts w:hint="eastAsia" w:ascii="宋体" w:hAnsi="宋体" w:eastAsia="宋体" w:cs="宋体"/>
          <w:kern w:val="2"/>
          <w:sz w:val="24"/>
          <w:szCs w:val="24"/>
          <w:lang w:eastAsia="zh-CN"/>
        </w:rPr>
        <w:t>文县市场监督管理局</w:t>
      </w:r>
    </w:p>
    <w:p w14:paraId="1F56CC79">
      <w:pPr>
        <w:adjustRightInd/>
        <w:snapToGrid/>
        <w:spacing w:after="0" w:line="360" w:lineRule="auto"/>
        <w:ind w:firstLine="48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我单位参加政府采购活动前三年内，在经营活动中没有重大违法记录。</w:t>
      </w:r>
    </w:p>
    <w:p w14:paraId="3E4EB9DC">
      <w:pPr>
        <w:adjustRightInd/>
        <w:snapToGrid/>
        <w:spacing w:after="0" w:line="360" w:lineRule="auto"/>
        <w:ind w:firstLine="48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若采购单位在本项目采购过程中发现我单位近三年内在经营活动中有重大违法记录，我单位将无条件地退出本项目的招标，并承担因此引起的一切后果。</w:t>
      </w:r>
    </w:p>
    <w:p w14:paraId="40856350">
      <w:pPr>
        <w:adjustRightInd/>
        <w:snapToGrid/>
        <w:spacing w:after="0" w:line="360" w:lineRule="auto"/>
        <w:ind w:firstLine="480"/>
        <w:jc w:val="both"/>
        <w:textAlignment w:val="baseline"/>
        <w:outlineLvl w:val="9"/>
        <w:rPr>
          <w:rFonts w:ascii="宋体" w:hAnsi="宋体" w:eastAsia="宋体" w:cs="宋体"/>
          <w:bCs/>
          <w:kern w:val="2"/>
          <w:sz w:val="24"/>
          <w:szCs w:val="24"/>
        </w:rPr>
      </w:pPr>
    </w:p>
    <w:p w14:paraId="00F32275">
      <w:pPr>
        <w:adjustRightInd/>
        <w:snapToGrid/>
        <w:spacing w:after="0" w:line="360" w:lineRule="auto"/>
        <w:ind w:firstLine="480"/>
        <w:jc w:val="both"/>
        <w:textAlignment w:val="baseline"/>
        <w:outlineLvl w:val="9"/>
        <w:rPr>
          <w:rFonts w:ascii="宋体" w:hAnsi="宋体" w:eastAsia="宋体" w:cs="宋体"/>
          <w:bCs/>
          <w:kern w:val="2"/>
          <w:sz w:val="24"/>
          <w:szCs w:val="24"/>
        </w:rPr>
      </w:pPr>
    </w:p>
    <w:p w14:paraId="5CB56C58">
      <w:pPr>
        <w:adjustRightInd/>
        <w:snapToGrid/>
        <w:spacing w:after="0" w:line="360" w:lineRule="auto"/>
        <w:ind w:firstLine="48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特此声明!</w:t>
      </w:r>
    </w:p>
    <w:p w14:paraId="536D4400">
      <w:pPr>
        <w:adjustRightInd/>
        <w:snapToGrid/>
        <w:spacing w:after="0" w:line="360" w:lineRule="auto"/>
        <w:ind w:firstLine="480"/>
        <w:jc w:val="both"/>
        <w:textAlignment w:val="baseline"/>
        <w:outlineLvl w:val="9"/>
        <w:rPr>
          <w:rFonts w:ascii="宋体" w:hAnsi="宋体" w:eastAsia="宋体" w:cs="宋体"/>
          <w:bCs/>
          <w:kern w:val="2"/>
          <w:sz w:val="24"/>
          <w:szCs w:val="24"/>
        </w:rPr>
      </w:pPr>
    </w:p>
    <w:p w14:paraId="49861A6B">
      <w:pPr>
        <w:adjustRightInd/>
        <w:snapToGrid/>
        <w:spacing w:after="0" w:line="360" w:lineRule="auto"/>
        <w:jc w:val="both"/>
        <w:textAlignment w:val="baseline"/>
        <w:outlineLvl w:val="9"/>
        <w:rPr>
          <w:rFonts w:ascii="宋体" w:hAnsi="宋体" w:eastAsia="宋体" w:cs="宋体"/>
          <w:bCs/>
          <w:kern w:val="2"/>
          <w:sz w:val="24"/>
          <w:szCs w:val="24"/>
        </w:rPr>
      </w:pPr>
    </w:p>
    <w:p w14:paraId="7156AEB5">
      <w:pPr>
        <w:adjustRightInd/>
        <w:snapToGrid/>
        <w:spacing w:after="0" w:line="360" w:lineRule="auto"/>
        <w:jc w:val="both"/>
        <w:textAlignment w:val="baseline"/>
        <w:outlineLvl w:val="9"/>
        <w:rPr>
          <w:rFonts w:ascii="宋体" w:hAnsi="宋体" w:eastAsia="宋体" w:cs="宋体"/>
          <w:bCs/>
          <w:kern w:val="2"/>
          <w:sz w:val="24"/>
          <w:szCs w:val="24"/>
        </w:rPr>
      </w:pPr>
    </w:p>
    <w:p w14:paraId="466DAFA2">
      <w:pPr>
        <w:adjustRightInd/>
        <w:snapToGrid/>
        <w:spacing w:after="0" w:line="360" w:lineRule="auto"/>
        <w:jc w:val="both"/>
        <w:textAlignment w:val="baseline"/>
        <w:outlineLvl w:val="9"/>
        <w:rPr>
          <w:rFonts w:ascii="宋体" w:hAnsi="宋体" w:eastAsia="宋体" w:cs="宋体"/>
          <w:bCs/>
          <w:kern w:val="2"/>
          <w:sz w:val="24"/>
          <w:szCs w:val="24"/>
        </w:rPr>
      </w:pPr>
    </w:p>
    <w:p w14:paraId="67C90902">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091BCC15">
      <w:pPr>
        <w:adjustRightInd/>
        <w:snapToGrid/>
        <w:spacing w:after="0" w:line="360" w:lineRule="auto"/>
        <w:jc w:val="both"/>
        <w:textAlignment w:val="baseline"/>
        <w:outlineLvl w:val="9"/>
        <w:rPr>
          <w:rFonts w:ascii="宋体" w:hAnsi="宋体" w:eastAsia="宋体" w:cs="宋体"/>
          <w:bCs/>
          <w:kern w:val="2"/>
          <w:sz w:val="24"/>
          <w:szCs w:val="24"/>
        </w:rPr>
      </w:pPr>
    </w:p>
    <w:p w14:paraId="2F798B54">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7839CBE9">
      <w:pPr>
        <w:adjustRightInd/>
        <w:snapToGrid/>
        <w:spacing w:after="0" w:line="360" w:lineRule="auto"/>
        <w:jc w:val="both"/>
        <w:textAlignment w:val="baseline"/>
        <w:outlineLvl w:val="9"/>
        <w:rPr>
          <w:rFonts w:ascii="宋体" w:hAnsi="宋体" w:eastAsia="宋体" w:cs="宋体"/>
          <w:bCs/>
          <w:kern w:val="2"/>
          <w:sz w:val="24"/>
          <w:szCs w:val="24"/>
        </w:rPr>
      </w:pPr>
    </w:p>
    <w:p w14:paraId="45AFB241">
      <w:pPr>
        <w:adjustRightInd/>
        <w:spacing w:after="0" w:line="360" w:lineRule="auto"/>
        <w:ind w:firstLine="3840" w:firstLineChars="1600"/>
        <w:jc w:val="both"/>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6B42338C">
      <w:pPr>
        <w:adjustRightInd/>
        <w:snapToGrid/>
        <w:spacing w:after="0"/>
        <w:jc w:val="both"/>
        <w:textAlignment w:val="baseline"/>
        <w:outlineLvl w:val="9"/>
        <w:rPr>
          <w:rFonts w:ascii="宋体" w:hAnsi="宋体" w:eastAsia="宋体" w:cs="宋体"/>
          <w:b/>
          <w:kern w:val="2"/>
          <w:sz w:val="24"/>
          <w:szCs w:val="24"/>
        </w:rPr>
      </w:pPr>
    </w:p>
    <w:p w14:paraId="49A4F978">
      <w:pPr>
        <w:adjustRightInd/>
        <w:snapToGrid/>
        <w:spacing w:after="0" w:line="360" w:lineRule="auto"/>
        <w:jc w:val="center"/>
        <w:textAlignment w:val="baseline"/>
        <w:outlineLvl w:val="9"/>
        <w:rPr>
          <w:rFonts w:ascii="宋体" w:hAnsi="宋体" w:eastAsia="宋体" w:cs="宋体"/>
          <w:b/>
          <w:bCs/>
          <w:kern w:val="2"/>
          <w:sz w:val="24"/>
          <w:szCs w:val="24"/>
        </w:rPr>
      </w:pPr>
    </w:p>
    <w:p w14:paraId="0B76291C">
      <w:pPr>
        <w:adjustRightInd/>
        <w:snapToGrid/>
        <w:spacing w:after="0" w:line="360" w:lineRule="auto"/>
        <w:jc w:val="center"/>
        <w:textAlignment w:val="baseline"/>
        <w:outlineLvl w:val="9"/>
        <w:rPr>
          <w:rFonts w:ascii="宋体" w:hAnsi="宋体" w:eastAsia="宋体" w:cs="宋体"/>
          <w:b/>
          <w:bCs/>
          <w:kern w:val="2"/>
          <w:sz w:val="24"/>
          <w:szCs w:val="24"/>
        </w:rPr>
      </w:pPr>
    </w:p>
    <w:p w14:paraId="0B4DFD9B">
      <w:pPr>
        <w:adjustRightInd/>
        <w:snapToGrid/>
        <w:spacing w:after="0" w:line="360" w:lineRule="auto"/>
        <w:jc w:val="center"/>
        <w:textAlignment w:val="baseline"/>
        <w:outlineLvl w:val="9"/>
        <w:rPr>
          <w:rFonts w:ascii="宋体" w:hAnsi="宋体" w:eastAsia="宋体" w:cs="宋体"/>
          <w:b/>
          <w:bCs/>
          <w:kern w:val="2"/>
          <w:sz w:val="24"/>
          <w:szCs w:val="24"/>
        </w:rPr>
      </w:pPr>
    </w:p>
    <w:p w14:paraId="51E15B57">
      <w:pPr>
        <w:outlineLvl w:val="9"/>
        <w:rPr>
          <w:rFonts w:ascii="宋体" w:hAnsi="宋体" w:eastAsia="宋体" w:cs="宋体"/>
          <w:b/>
          <w:bCs/>
          <w:sz w:val="24"/>
          <w:szCs w:val="24"/>
        </w:rPr>
        <w:sectPr>
          <w:headerReference r:id="rId18" w:type="first"/>
          <w:pgSz w:w="11907" w:h="16840"/>
          <w:pgMar w:top="1213" w:right="1514" w:bottom="1247" w:left="1888" w:header="851" w:footer="737" w:gutter="0"/>
          <w:pgNumType w:fmt="decimal"/>
          <w:cols w:space="720" w:num="1"/>
          <w:titlePg/>
          <w:docGrid w:linePitch="312" w:charSpace="0"/>
        </w:sectPr>
      </w:pPr>
      <w:bookmarkStart w:id="277" w:name="_Toc7967"/>
      <w:bookmarkStart w:id="278" w:name="_Toc25133"/>
      <w:bookmarkStart w:id="279" w:name="_Toc24603"/>
      <w:bookmarkStart w:id="280" w:name="_Toc31242"/>
    </w:p>
    <w:p w14:paraId="04CDB694">
      <w:pPr>
        <w:jc w:val="center"/>
        <w:outlineLvl w:val="9"/>
        <w:rPr>
          <w:rFonts w:ascii="宋体" w:hAnsi="宋体" w:eastAsia="宋体" w:cs="宋体"/>
          <w:b/>
          <w:bCs/>
          <w:kern w:val="2"/>
          <w:sz w:val="24"/>
          <w:szCs w:val="24"/>
        </w:rPr>
      </w:pPr>
      <w:bookmarkStart w:id="281" w:name="_Toc19865"/>
      <w:bookmarkStart w:id="282" w:name="_Toc12961"/>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bookmarkEnd w:id="277"/>
      <w:bookmarkEnd w:id="278"/>
      <w:bookmarkEnd w:id="279"/>
      <w:bookmarkEnd w:id="280"/>
      <w:bookmarkEnd w:id="281"/>
      <w:r>
        <w:rPr>
          <w:rFonts w:hint="eastAsia" w:ascii="宋体" w:hAnsi="宋体" w:eastAsia="宋体" w:cs="宋体"/>
          <w:b/>
          <w:bCs/>
          <w:kern w:val="2"/>
          <w:sz w:val="24"/>
          <w:szCs w:val="24"/>
        </w:rPr>
        <w:t>中小企业声明函</w:t>
      </w:r>
      <w:bookmarkEnd w:id="282"/>
    </w:p>
    <w:p w14:paraId="2A152A09">
      <w:pPr>
        <w:adjustRightInd/>
        <w:snapToGrid/>
        <w:spacing w:after="0" w:line="360" w:lineRule="auto"/>
        <w:jc w:val="center"/>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（非中小企业不适用）</w:t>
      </w:r>
    </w:p>
    <w:p w14:paraId="25C85636">
      <w:pPr>
        <w:keepNext w:val="0"/>
        <w:keepLines w:val="0"/>
        <w:pageBreakBefore w:val="0"/>
        <w:kinsoku/>
        <w:wordWrap/>
        <w:overflowPunct/>
        <w:topLinePunct w:val="0"/>
        <w:bidi w:val="0"/>
        <w:adjustRightInd/>
        <w:snapToGrid/>
        <w:spacing w:line="360" w:lineRule="auto"/>
        <w:jc w:val="center"/>
        <w:textAlignment w:val="auto"/>
        <w:outlineLvl w:val="9"/>
        <w:rPr>
          <w:rFonts w:ascii="宋体" w:hAnsi="宋体" w:eastAsia="宋体" w:cs="宋体"/>
          <w:kern w:val="2"/>
          <w:sz w:val="24"/>
          <w:szCs w:val="24"/>
        </w:rPr>
      </w:pPr>
      <w:r>
        <w:rPr>
          <w:rFonts w:hint="eastAsia" w:ascii="宋体" w:hAnsi="宋体" w:eastAsia="宋体" w:cs="宋体"/>
          <w:sz w:val="24"/>
          <w:lang w:val="en-US" w:eastAsia="zh-CN"/>
        </w:rPr>
        <w:t>（1）</w:t>
      </w:r>
      <w:bookmarkStart w:id="283" w:name="_Toc31678"/>
      <w:bookmarkStart w:id="284" w:name="_Toc11793"/>
      <w:bookmarkStart w:id="285" w:name="_Toc30876"/>
      <w:bookmarkStart w:id="286" w:name="_Toc11915"/>
      <w:bookmarkStart w:id="287" w:name="_Toc15833"/>
      <w:r>
        <w:rPr>
          <w:rFonts w:hint="eastAsia" w:ascii="宋体" w:hAnsi="宋体" w:eastAsia="宋体" w:cs="宋体"/>
          <w:kern w:val="2"/>
          <w:sz w:val="24"/>
          <w:szCs w:val="24"/>
        </w:rPr>
        <w:t>中小企业声明函（工程、服务）</w:t>
      </w:r>
    </w:p>
    <w:p w14:paraId="33873DAF">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本公司（联合体）郑重声明，根据《政府采购促进中小企业发展管理办法》（财库﹝2020﹞46号）的规定，本公司（联合体）参加</w:t>
      </w:r>
      <w:r>
        <w:rPr>
          <w:rFonts w:hint="eastAsia" w:ascii="宋体" w:hAnsi="宋体" w:eastAsia="宋体" w:cs="宋体"/>
          <w:kern w:val="2"/>
          <w:sz w:val="24"/>
          <w:szCs w:val="24"/>
          <w:u w:val="single"/>
        </w:rPr>
        <w:t>（单位名称）</w:t>
      </w:r>
      <w:r>
        <w:rPr>
          <w:rFonts w:hint="eastAsia" w:ascii="宋体" w:hAnsi="宋体" w:eastAsia="宋体" w:cs="宋体"/>
          <w:kern w:val="2"/>
          <w:sz w:val="24"/>
          <w:szCs w:val="24"/>
        </w:rPr>
        <w:t>的</w:t>
      </w:r>
      <w:r>
        <w:rPr>
          <w:rFonts w:hint="eastAsia" w:ascii="宋体" w:hAnsi="宋体" w:eastAsia="宋体" w:cs="宋体"/>
          <w:kern w:val="2"/>
          <w:sz w:val="24"/>
          <w:szCs w:val="24"/>
          <w:u w:val="single"/>
        </w:rPr>
        <w:t>（项目名称）</w:t>
      </w:r>
      <w:r>
        <w:rPr>
          <w:rFonts w:hint="eastAsia" w:ascii="宋体" w:hAnsi="宋体" w:eastAsia="宋体" w:cs="宋体"/>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A301B9F">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u w:val="single"/>
        </w:rPr>
        <w:t>（标的名称）</w:t>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（采购文件中明确的所属行业）</w:t>
      </w:r>
      <w:r>
        <w:rPr>
          <w:rFonts w:hint="eastAsia" w:ascii="宋体" w:hAnsi="宋体" w:eastAsia="宋体" w:cs="宋体"/>
          <w:kern w:val="2"/>
          <w:sz w:val="24"/>
          <w:szCs w:val="24"/>
        </w:rPr>
        <w:t>；承建（承接）企业为</w:t>
      </w:r>
      <w:r>
        <w:rPr>
          <w:rFonts w:hint="eastAsia" w:ascii="宋体" w:hAnsi="宋体" w:eastAsia="宋体" w:cs="宋体"/>
          <w:kern w:val="2"/>
          <w:sz w:val="24"/>
          <w:szCs w:val="24"/>
          <w:u w:val="single"/>
        </w:rPr>
        <w:t>（企业名称）</w:t>
      </w:r>
      <w:r>
        <w:rPr>
          <w:rFonts w:hint="eastAsia" w:ascii="宋体" w:hAnsi="宋体" w:eastAsia="宋体" w:cs="宋体"/>
          <w:kern w:val="2"/>
          <w:sz w:val="24"/>
          <w:szCs w:val="24"/>
        </w:rPr>
        <w:t>，从业人员人，营业收入为万元，资产总额为万元（注：</w:t>
      </w:r>
      <w:r>
        <w:fldChar w:fldCharType="begin"/>
      </w:r>
      <w:r>
        <w:instrText xml:space="preserve"> HYPERLINK \l "_bookmark0" </w:instrText>
      </w:r>
      <w:r>
        <w:fldChar w:fldCharType="separate"/>
      </w:r>
      <w:r>
        <w:rPr>
          <w:rFonts w:hint="eastAsia" w:ascii="宋体" w:hAnsi="宋体" w:eastAsia="宋体" w:cs="宋体"/>
          <w:kern w:val="2"/>
          <w:sz w:val="24"/>
          <w:szCs w:val="24"/>
        </w:rPr>
        <w:t>1</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（中型企业、小型企业、微型企业）</w:t>
      </w:r>
      <w:r>
        <w:rPr>
          <w:rFonts w:hint="eastAsia" w:ascii="宋体" w:hAnsi="宋体" w:eastAsia="宋体" w:cs="宋体"/>
          <w:kern w:val="2"/>
          <w:sz w:val="24"/>
          <w:szCs w:val="24"/>
        </w:rPr>
        <w:t>；</w:t>
      </w:r>
    </w:p>
    <w:p w14:paraId="7D418844">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u w:val="single"/>
        </w:rPr>
        <w:t>（标的名称）</w:t>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（采购文件中明确的所属行业）</w:t>
      </w:r>
      <w:r>
        <w:rPr>
          <w:rFonts w:hint="eastAsia" w:ascii="宋体" w:hAnsi="宋体" w:eastAsia="宋体" w:cs="宋体"/>
          <w:kern w:val="2"/>
          <w:sz w:val="24"/>
          <w:szCs w:val="24"/>
        </w:rPr>
        <w:t>；承建（承接）企业为</w:t>
      </w:r>
      <w:r>
        <w:rPr>
          <w:rFonts w:hint="eastAsia" w:ascii="宋体" w:hAnsi="宋体" w:eastAsia="宋体" w:cs="宋体"/>
          <w:kern w:val="2"/>
          <w:sz w:val="24"/>
          <w:szCs w:val="24"/>
          <w:u w:val="single"/>
        </w:rPr>
        <w:t>（企业名称）</w:t>
      </w:r>
      <w:r>
        <w:rPr>
          <w:rFonts w:hint="eastAsia" w:ascii="宋体" w:hAnsi="宋体" w:eastAsia="宋体" w:cs="宋体"/>
          <w:kern w:val="2"/>
          <w:sz w:val="24"/>
          <w:szCs w:val="24"/>
        </w:rPr>
        <w:t>，从业人员人，营业收入为万元，资产总额为万元（注：</w:t>
      </w:r>
      <w:r>
        <w:fldChar w:fldCharType="begin"/>
      </w:r>
      <w:r>
        <w:instrText xml:space="preserve"> HYPERLINK \l "_bookmark0" </w:instrText>
      </w:r>
      <w:r>
        <w:fldChar w:fldCharType="separate"/>
      </w:r>
      <w:r>
        <w:rPr>
          <w:rFonts w:hint="eastAsia" w:ascii="宋体" w:hAnsi="宋体" w:eastAsia="宋体" w:cs="宋体"/>
          <w:kern w:val="2"/>
          <w:sz w:val="24"/>
          <w:szCs w:val="24"/>
        </w:rPr>
        <w:t>1</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（中型企业、小型企业、微型企业）</w:t>
      </w:r>
      <w:r>
        <w:rPr>
          <w:rFonts w:hint="eastAsia" w:ascii="宋体" w:hAnsi="宋体" w:eastAsia="宋体" w:cs="宋体"/>
          <w:kern w:val="2"/>
          <w:sz w:val="24"/>
          <w:szCs w:val="24"/>
        </w:rPr>
        <w:t>；</w:t>
      </w:r>
    </w:p>
    <w:p w14:paraId="1AF4488B">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3.……</w:t>
      </w:r>
    </w:p>
    <w:p w14:paraId="54B3A1AE">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以上企业，不属于大企业的分支机构，不存在控股股东为大企业的情形，也不存在与大企业的负责人为同一人的情形。</w:t>
      </w:r>
    </w:p>
    <w:p w14:paraId="18F5F704">
      <w:pPr>
        <w:adjustRightInd/>
        <w:snapToGrid/>
        <w:spacing w:after="0" w:line="360" w:lineRule="auto"/>
        <w:ind w:firstLine="480" w:firstLineChars="2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本企业对上述声明内容的真实性负责。如有虚假，将依法承担相应责任。</w:t>
      </w:r>
    </w:p>
    <w:p w14:paraId="00B7D559">
      <w:pPr>
        <w:adjustRightInd/>
        <w:snapToGrid/>
        <w:spacing w:after="0" w:line="360" w:lineRule="auto"/>
        <w:jc w:val="both"/>
        <w:textAlignment w:val="baseline"/>
        <w:outlineLvl w:val="9"/>
        <w:rPr>
          <w:rFonts w:ascii="宋体" w:hAnsi="宋体" w:eastAsia="宋体" w:cs="宋体"/>
          <w:kern w:val="2"/>
          <w:sz w:val="24"/>
          <w:szCs w:val="24"/>
        </w:rPr>
      </w:pPr>
    </w:p>
    <w:p w14:paraId="600CD668">
      <w:pPr>
        <w:adjustRightInd/>
        <w:snapToGrid/>
        <w:spacing w:after="0" w:line="360" w:lineRule="auto"/>
        <w:ind w:firstLine="5520" w:firstLineChars="2300"/>
        <w:jc w:val="both"/>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企业名称（盖章）：</w:t>
      </w:r>
    </w:p>
    <w:p w14:paraId="297DF797">
      <w:pPr>
        <w:adjustRightInd/>
        <w:snapToGrid/>
        <w:spacing w:after="0" w:line="360" w:lineRule="auto"/>
        <w:jc w:val="center"/>
        <w:textAlignment w:val="baseline"/>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日期：</w:t>
      </w:r>
    </w:p>
    <w:p w14:paraId="613860DF">
      <w:pPr>
        <w:rPr>
          <w:rFonts w:hint="eastAsia" w:ascii="宋体" w:hAnsi="宋体" w:eastAsia="宋体" w:cs="宋体"/>
          <w:kern w:val="2"/>
          <w:sz w:val="24"/>
          <w:szCs w:val="24"/>
        </w:rPr>
      </w:pPr>
      <w:r>
        <w:rPr>
          <w:rFonts w:hint="eastAsia" w:ascii="宋体" w:hAnsi="宋体" w:eastAsia="宋体" w:cs="宋体"/>
          <w:kern w:val="2"/>
          <w:sz w:val="24"/>
          <w:szCs w:val="24"/>
        </w:rPr>
        <w:br w:type="page"/>
      </w:r>
    </w:p>
    <w:p w14:paraId="7F9BCDE9">
      <w:pPr>
        <w:adjustRightInd/>
        <w:snapToGrid/>
        <w:spacing w:after="0" w:line="360" w:lineRule="auto"/>
        <w:jc w:val="center"/>
        <w:textAlignment w:val="baseline"/>
        <w:outlineLvl w:val="9"/>
        <w:rPr>
          <w:rFonts w:ascii="宋体" w:hAnsi="宋体" w:eastAsia="宋体" w:cs="宋体"/>
          <w:b/>
          <w:bCs/>
          <w:kern w:val="2"/>
          <w:sz w:val="24"/>
          <w:szCs w:val="24"/>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bookmarkEnd w:id="283"/>
      <w:bookmarkEnd w:id="284"/>
      <w:bookmarkEnd w:id="285"/>
      <w:bookmarkEnd w:id="286"/>
      <w:bookmarkEnd w:id="287"/>
      <w:bookmarkStart w:id="288" w:name="_Toc4641_WPSOffice_Level2"/>
      <w:bookmarkStart w:id="289" w:name="_Toc13691_WPSOffice_Level2"/>
      <w:r>
        <w:rPr>
          <w:rFonts w:hint="eastAsia" w:ascii="宋体" w:hAnsi="宋体" w:eastAsia="宋体" w:cs="宋体"/>
          <w:b/>
          <w:bCs/>
          <w:kern w:val="2"/>
          <w:sz w:val="24"/>
          <w:szCs w:val="24"/>
        </w:rPr>
        <w:t>同意招标文件条款声明</w:t>
      </w:r>
      <w:bookmarkEnd w:id="288"/>
      <w:bookmarkEnd w:id="289"/>
    </w:p>
    <w:p w14:paraId="2839AEDE">
      <w:pPr>
        <w:adjustRightInd/>
        <w:snapToGrid/>
        <w:spacing w:after="0" w:line="360" w:lineRule="auto"/>
        <w:jc w:val="both"/>
        <w:textAlignment w:val="baseline"/>
        <w:outlineLvl w:val="9"/>
        <w:rPr>
          <w:rFonts w:ascii="宋体" w:hAnsi="宋体" w:eastAsia="宋体" w:cs="宋体"/>
          <w:b/>
          <w:kern w:val="2"/>
          <w:sz w:val="24"/>
          <w:szCs w:val="24"/>
          <w:lang w:bidi="zh-CN"/>
        </w:rPr>
      </w:pPr>
    </w:p>
    <w:p w14:paraId="2B05F4BA">
      <w:pPr>
        <w:spacing w:line="500" w:lineRule="exact"/>
        <w:jc w:val="both"/>
        <w:outlineLvl w:val="9"/>
        <w:rPr>
          <w:rFonts w:ascii="宋体" w:hAnsi="宋体" w:eastAsia="宋体" w:cs="宋体"/>
          <w:bCs/>
          <w:kern w:val="2"/>
          <w:sz w:val="24"/>
          <w:szCs w:val="24"/>
          <w:lang w:bidi="zh-CN"/>
        </w:rPr>
      </w:pPr>
      <w:r>
        <w:rPr>
          <w:rFonts w:hint="eastAsia" w:ascii="宋体" w:hAnsi="宋体" w:eastAsia="宋体" w:cs="宋体"/>
          <w:bCs/>
          <w:kern w:val="2"/>
          <w:sz w:val="24"/>
          <w:szCs w:val="24"/>
          <w:lang w:bidi="zh-CN"/>
        </w:rPr>
        <w:t>致：文县市场监督管理局</w:t>
      </w:r>
    </w:p>
    <w:p w14:paraId="7D3056CF">
      <w:pPr>
        <w:spacing w:line="500" w:lineRule="exact"/>
        <w:ind w:firstLine="480"/>
        <w:jc w:val="both"/>
        <w:outlineLvl w:val="9"/>
        <w:rPr>
          <w:rFonts w:ascii="宋体" w:hAnsi="宋体" w:eastAsia="宋体" w:cs="宋体"/>
          <w:bCs/>
          <w:kern w:val="2"/>
          <w:sz w:val="24"/>
          <w:szCs w:val="24"/>
          <w:lang w:bidi="zh-CN"/>
        </w:rPr>
      </w:pPr>
      <w:r>
        <w:rPr>
          <w:rFonts w:hint="eastAsia" w:ascii="宋体" w:hAnsi="宋体" w:eastAsia="宋体" w:cs="宋体"/>
          <w:bCs/>
          <w:kern w:val="2"/>
          <w:sz w:val="24"/>
          <w:szCs w:val="24"/>
          <w:lang w:bidi="zh-CN"/>
        </w:rPr>
        <w:t>为响应你方组织的项目的招标采购，招标编号为：</w:t>
      </w:r>
      <w:r>
        <w:rPr>
          <w:rFonts w:hint="eastAsia" w:ascii="宋体" w:hAnsi="宋体" w:eastAsia="宋体" w:cs="宋体"/>
          <w:bCs/>
          <w:kern w:val="2"/>
          <w:sz w:val="24"/>
          <w:szCs w:val="24"/>
          <w:u w:val="single"/>
          <w:lang w:val="en-US" w:bidi="zh-CN"/>
        </w:rPr>
        <w:t xml:space="preserve">    </w:t>
      </w:r>
      <w:r>
        <w:rPr>
          <w:rFonts w:hint="eastAsia" w:ascii="宋体" w:hAnsi="宋体" w:eastAsia="宋体" w:cs="宋体"/>
          <w:bCs/>
          <w:kern w:val="2"/>
          <w:sz w:val="24"/>
          <w:szCs w:val="24"/>
          <w:lang w:bidi="zh-CN"/>
        </w:rPr>
        <w:t>，我方在参与投标前已详细研究了招标文件的所有内容，包括修改或更改（正）文件（如果有的话）和所有已提供的参考资料以及有关附件，我方完全明白并认为此招标文件没有倾向性，也没有存在排斥潜在供应商的内容，我方同意招标文件的相关条款并承诺参与投标后不再对招标文件的任何条款提出质疑或异议。</w:t>
      </w:r>
    </w:p>
    <w:p w14:paraId="6377D770">
      <w:pPr>
        <w:spacing w:line="500" w:lineRule="exact"/>
        <w:ind w:left="480"/>
        <w:outlineLvl w:val="9"/>
        <w:rPr>
          <w:rFonts w:ascii="宋体" w:hAnsi="宋体" w:eastAsia="宋体" w:cs="宋体"/>
          <w:sz w:val="24"/>
          <w:szCs w:val="24"/>
        </w:rPr>
      </w:pPr>
    </w:p>
    <w:p w14:paraId="7A3ECFFB">
      <w:pPr>
        <w:spacing w:line="500" w:lineRule="exact"/>
        <w:ind w:left="480" w:firstLine="3360" w:firstLineChars="1400"/>
        <w:outlineLvl w:val="9"/>
        <w:rPr>
          <w:rFonts w:ascii="宋体" w:hAnsi="宋体" w:eastAsia="宋体" w:cs="宋体"/>
          <w:sz w:val="24"/>
          <w:szCs w:val="24"/>
        </w:rPr>
      </w:pPr>
      <w:r>
        <w:rPr>
          <w:rFonts w:hint="eastAsia" w:ascii="宋体" w:hAnsi="宋体" w:eastAsia="宋体" w:cs="宋体"/>
          <w:sz w:val="24"/>
          <w:szCs w:val="24"/>
        </w:rPr>
        <w:t>特此声明。</w:t>
      </w:r>
    </w:p>
    <w:p w14:paraId="530C180A">
      <w:pPr>
        <w:adjustRightInd/>
        <w:snapToGrid/>
        <w:spacing w:after="0" w:line="360" w:lineRule="auto"/>
        <w:jc w:val="both"/>
        <w:textAlignment w:val="baseline"/>
        <w:outlineLvl w:val="9"/>
        <w:rPr>
          <w:rFonts w:ascii="宋体" w:hAnsi="宋体" w:eastAsia="宋体" w:cs="宋体"/>
          <w:b/>
          <w:kern w:val="2"/>
          <w:sz w:val="24"/>
          <w:szCs w:val="24"/>
          <w:lang w:bidi="zh-CN"/>
        </w:rPr>
      </w:pPr>
    </w:p>
    <w:p w14:paraId="66BE7B72">
      <w:pPr>
        <w:adjustRightInd/>
        <w:snapToGrid/>
        <w:spacing w:after="0" w:line="360" w:lineRule="auto"/>
        <w:ind w:firstLine="4560" w:firstLineChars="19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3102E488">
      <w:pPr>
        <w:adjustRightInd/>
        <w:snapToGrid/>
        <w:spacing w:after="0" w:line="360" w:lineRule="auto"/>
        <w:jc w:val="both"/>
        <w:textAlignment w:val="baseline"/>
        <w:outlineLvl w:val="9"/>
        <w:rPr>
          <w:rFonts w:ascii="宋体" w:hAnsi="宋体" w:eastAsia="宋体" w:cs="宋体"/>
          <w:bCs/>
          <w:kern w:val="2"/>
          <w:sz w:val="24"/>
          <w:szCs w:val="24"/>
        </w:rPr>
      </w:pPr>
    </w:p>
    <w:p w14:paraId="4CB3CB00">
      <w:pPr>
        <w:adjustRightInd/>
        <w:snapToGrid/>
        <w:spacing w:after="0" w:line="360" w:lineRule="auto"/>
        <w:ind w:firstLine="4560" w:firstLineChars="1900"/>
        <w:jc w:val="both"/>
        <w:textAlignment w:val="baseline"/>
        <w:outlineLvl w:val="9"/>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025874D6">
      <w:pPr>
        <w:adjustRightInd/>
        <w:snapToGrid/>
        <w:spacing w:after="0" w:line="360" w:lineRule="auto"/>
        <w:jc w:val="both"/>
        <w:textAlignment w:val="baseline"/>
        <w:outlineLvl w:val="9"/>
        <w:rPr>
          <w:rFonts w:ascii="宋体" w:hAnsi="宋体" w:eastAsia="宋体" w:cs="宋体"/>
          <w:bCs/>
          <w:kern w:val="2"/>
          <w:sz w:val="24"/>
          <w:szCs w:val="24"/>
        </w:rPr>
      </w:pPr>
    </w:p>
    <w:p w14:paraId="6AFDE359">
      <w:pPr>
        <w:adjustRightInd/>
        <w:spacing w:after="0" w:line="360" w:lineRule="auto"/>
        <w:ind w:firstLine="4560" w:firstLineChars="1900"/>
        <w:jc w:val="both"/>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76F2E27E">
      <w:pPr>
        <w:adjustRightInd/>
        <w:snapToGrid/>
        <w:spacing w:after="0" w:line="360" w:lineRule="auto"/>
        <w:jc w:val="both"/>
        <w:textAlignment w:val="baseline"/>
        <w:outlineLvl w:val="9"/>
        <w:rPr>
          <w:rFonts w:ascii="宋体" w:hAnsi="宋体" w:eastAsia="宋体" w:cs="宋体"/>
          <w:b/>
          <w:kern w:val="2"/>
          <w:sz w:val="24"/>
          <w:szCs w:val="24"/>
          <w:lang w:bidi="zh-CN"/>
        </w:rPr>
      </w:pPr>
    </w:p>
    <w:p w14:paraId="7B68EF69">
      <w:pPr>
        <w:adjustRightInd/>
        <w:snapToGrid/>
        <w:spacing w:after="0" w:line="360" w:lineRule="auto"/>
        <w:jc w:val="both"/>
        <w:textAlignment w:val="baseline"/>
        <w:outlineLvl w:val="9"/>
        <w:rPr>
          <w:rFonts w:ascii="宋体" w:hAnsi="宋体" w:eastAsia="宋体" w:cs="宋体"/>
          <w:b/>
          <w:kern w:val="2"/>
          <w:sz w:val="24"/>
          <w:szCs w:val="24"/>
          <w:lang w:bidi="zh-CN"/>
        </w:rPr>
      </w:pPr>
    </w:p>
    <w:p w14:paraId="0EF32211">
      <w:pPr>
        <w:adjustRightInd/>
        <w:snapToGrid/>
        <w:spacing w:after="0" w:line="360" w:lineRule="auto"/>
        <w:jc w:val="both"/>
        <w:textAlignment w:val="baseline"/>
        <w:outlineLvl w:val="9"/>
        <w:rPr>
          <w:rFonts w:ascii="宋体" w:hAnsi="宋体" w:eastAsia="宋体" w:cs="宋体"/>
          <w:b/>
          <w:kern w:val="2"/>
          <w:sz w:val="24"/>
          <w:szCs w:val="24"/>
          <w:lang w:bidi="zh-CN"/>
        </w:rPr>
      </w:pPr>
    </w:p>
    <w:p w14:paraId="11332E43">
      <w:pPr>
        <w:adjustRightInd/>
        <w:snapToGrid/>
        <w:spacing w:after="0" w:line="360" w:lineRule="auto"/>
        <w:jc w:val="both"/>
        <w:textAlignment w:val="baseline"/>
        <w:outlineLvl w:val="9"/>
        <w:rPr>
          <w:rFonts w:ascii="宋体" w:hAnsi="宋体" w:eastAsia="宋体" w:cs="宋体"/>
          <w:b/>
          <w:kern w:val="2"/>
          <w:sz w:val="24"/>
          <w:szCs w:val="24"/>
          <w:lang w:bidi="zh-CN"/>
        </w:rPr>
      </w:pPr>
    </w:p>
    <w:p w14:paraId="20156606">
      <w:pPr>
        <w:adjustRightInd/>
        <w:snapToGrid/>
        <w:spacing w:after="0" w:line="360" w:lineRule="auto"/>
        <w:jc w:val="both"/>
        <w:textAlignment w:val="baseline"/>
        <w:outlineLvl w:val="9"/>
        <w:rPr>
          <w:rFonts w:ascii="宋体" w:hAnsi="宋体" w:eastAsia="宋体" w:cs="宋体"/>
          <w:b/>
          <w:kern w:val="2"/>
          <w:sz w:val="24"/>
          <w:szCs w:val="24"/>
          <w:lang w:bidi="zh-CN"/>
        </w:rPr>
      </w:pPr>
    </w:p>
    <w:p w14:paraId="3BB8DC95">
      <w:pPr>
        <w:outlineLvl w:val="9"/>
        <w:rPr>
          <w:rFonts w:ascii="宋体" w:hAnsi="宋体" w:eastAsia="宋体" w:cs="宋体"/>
          <w:sz w:val="24"/>
          <w:szCs w:val="24"/>
        </w:rPr>
      </w:pPr>
    </w:p>
    <w:p w14:paraId="07CAB7BA">
      <w:pPr>
        <w:pStyle w:val="7"/>
        <w:ind w:firstLine="480"/>
        <w:outlineLvl w:val="9"/>
        <w:rPr>
          <w:rFonts w:hAnsi="宋体" w:eastAsia="宋体" w:cs="宋体"/>
          <w:sz w:val="24"/>
          <w:szCs w:val="24"/>
          <w:lang w:eastAsia="zh-CN"/>
        </w:rPr>
      </w:pPr>
    </w:p>
    <w:p w14:paraId="2CBDC6C4">
      <w:pPr>
        <w:spacing w:line="0" w:lineRule="atLeast"/>
        <w:outlineLvl w:val="9"/>
        <w:rPr>
          <w:rFonts w:ascii="宋体" w:hAnsi="宋体" w:eastAsia="宋体" w:cs="宋体"/>
          <w:b/>
          <w:sz w:val="24"/>
          <w:szCs w:val="24"/>
        </w:rPr>
      </w:pPr>
    </w:p>
    <w:p w14:paraId="774B225F">
      <w:pPr>
        <w:adjustRightInd/>
        <w:snapToGrid/>
        <w:spacing w:after="0" w:line="360" w:lineRule="auto"/>
        <w:jc w:val="both"/>
        <w:textAlignment w:val="baseline"/>
        <w:outlineLvl w:val="9"/>
        <w:rPr>
          <w:rFonts w:ascii="宋体" w:hAnsi="宋体" w:eastAsia="宋体" w:cs="宋体"/>
          <w:b/>
          <w:bCs/>
          <w:sz w:val="24"/>
          <w:szCs w:val="24"/>
        </w:rPr>
        <w:sectPr>
          <w:headerReference r:id="rId19" w:type="default"/>
          <w:footerReference r:id="rId20" w:type="default"/>
          <w:pgSz w:w="11906" w:h="16838"/>
          <w:pgMar w:top="1440" w:right="1080" w:bottom="1440" w:left="1080" w:header="851" w:footer="992" w:gutter="0"/>
          <w:pgNumType w:fmt="decimal"/>
          <w:cols w:space="720" w:num="1"/>
          <w:docGrid w:linePitch="312" w:charSpace="0"/>
        </w:sectPr>
      </w:pPr>
      <w:bookmarkStart w:id="290" w:name="_Toc14876"/>
      <w:bookmarkStart w:id="291" w:name="_Toc2421"/>
      <w:bookmarkStart w:id="292" w:name="_Toc31382"/>
      <w:bookmarkStart w:id="293" w:name="_Toc19955"/>
      <w:bookmarkStart w:id="294" w:name="_Toc6785"/>
    </w:p>
    <w:p w14:paraId="355FB458">
      <w:pPr>
        <w:adjustRightInd/>
        <w:snapToGrid/>
        <w:spacing w:after="0" w:line="360" w:lineRule="auto"/>
        <w:jc w:val="center"/>
        <w:textAlignment w:val="baseline"/>
        <w:outlineLvl w:val="9"/>
        <w:rPr>
          <w:rFonts w:ascii="宋体" w:hAnsi="宋体" w:eastAsia="宋体" w:cs="宋体"/>
          <w:b/>
          <w:bCs/>
          <w:kern w:val="2"/>
          <w:sz w:val="24"/>
          <w:szCs w:val="24"/>
        </w:rPr>
      </w:pPr>
      <w:bookmarkStart w:id="295" w:name="_Toc2880"/>
      <w:bookmarkStart w:id="296" w:name="_Toc24602"/>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bookmarkEnd w:id="290"/>
      <w:bookmarkEnd w:id="291"/>
      <w:bookmarkEnd w:id="292"/>
      <w:bookmarkEnd w:id="293"/>
      <w:bookmarkEnd w:id="294"/>
      <w:bookmarkEnd w:id="295"/>
      <w:bookmarkStart w:id="297" w:name="_Toc1879_WPSOffice_Level2"/>
      <w:bookmarkStart w:id="298" w:name="_Toc9518_WPSOffice_Level2"/>
      <w:r>
        <w:rPr>
          <w:rFonts w:hint="eastAsia" w:ascii="宋体" w:hAnsi="宋体" w:eastAsia="宋体" w:cs="宋体"/>
          <w:b/>
          <w:bCs/>
          <w:kern w:val="2"/>
          <w:sz w:val="24"/>
          <w:szCs w:val="24"/>
        </w:rPr>
        <w:t>虚假应标承担责任声明</w:t>
      </w:r>
      <w:bookmarkEnd w:id="296"/>
      <w:bookmarkEnd w:id="297"/>
      <w:bookmarkEnd w:id="298"/>
    </w:p>
    <w:p w14:paraId="359E0A11">
      <w:pPr>
        <w:adjustRightInd/>
        <w:snapToGrid/>
        <w:spacing w:after="0" w:line="360" w:lineRule="auto"/>
        <w:jc w:val="both"/>
        <w:textAlignment w:val="baseline"/>
        <w:outlineLvl w:val="9"/>
        <w:rPr>
          <w:rFonts w:ascii="宋体" w:hAnsi="宋体" w:eastAsia="宋体" w:cs="宋体"/>
          <w:bCs/>
          <w:kern w:val="2"/>
          <w:sz w:val="24"/>
          <w:szCs w:val="24"/>
        </w:rPr>
      </w:pPr>
    </w:p>
    <w:p w14:paraId="74F8D33D">
      <w:pPr>
        <w:spacing w:line="500" w:lineRule="exact"/>
        <w:jc w:val="both"/>
        <w:outlineLvl w:val="9"/>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文县市场监督管理局</w:t>
      </w:r>
    </w:p>
    <w:p w14:paraId="0C0CF2AF">
      <w:pPr>
        <w:spacing w:line="500" w:lineRule="exact"/>
        <w:ind w:firstLine="480"/>
        <w:jc w:val="both"/>
        <w:outlineLvl w:val="9"/>
        <w:rPr>
          <w:rFonts w:ascii="宋体" w:hAnsi="宋体" w:eastAsia="宋体" w:cs="宋体"/>
          <w:bCs/>
          <w:kern w:val="2"/>
          <w:sz w:val="24"/>
          <w:szCs w:val="24"/>
          <w:lang w:bidi="zh-CN"/>
        </w:rPr>
      </w:pPr>
      <w:r>
        <w:rPr>
          <w:rFonts w:hint="eastAsia" w:ascii="宋体" w:hAnsi="宋体" w:eastAsia="宋体" w:cs="宋体"/>
          <w:bCs/>
          <w:kern w:val="2"/>
          <w:sz w:val="24"/>
          <w:szCs w:val="24"/>
          <w:lang w:bidi="zh-CN"/>
        </w:rPr>
        <w:t>我公司承诺所提供的投标文件（包括一切技术资料、技术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14:paraId="1E991D9B">
      <w:pPr>
        <w:spacing w:line="500" w:lineRule="exact"/>
        <w:outlineLvl w:val="9"/>
        <w:rPr>
          <w:rFonts w:ascii="宋体" w:hAnsi="宋体" w:eastAsia="宋体" w:cs="宋体"/>
          <w:sz w:val="24"/>
          <w:szCs w:val="24"/>
        </w:rPr>
      </w:pPr>
    </w:p>
    <w:p w14:paraId="351822D0">
      <w:pPr>
        <w:spacing w:line="500" w:lineRule="exact"/>
        <w:ind w:left="480" w:firstLine="3360" w:firstLineChars="1400"/>
        <w:outlineLvl w:val="9"/>
        <w:rPr>
          <w:rFonts w:ascii="宋体" w:hAnsi="宋体" w:eastAsia="宋体" w:cs="宋体"/>
          <w:sz w:val="24"/>
          <w:szCs w:val="24"/>
        </w:rPr>
      </w:pPr>
      <w:r>
        <w:rPr>
          <w:rFonts w:hint="eastAsia" w:ascii="宋体" w:hAnsi="宋体" w:eastAsia="宋体" w:cs="宋体"/>
          <w:sz w:val="24"/>
          <w:szCs w:val="24"/>
        </w:rPr>
        <w:t>特此声明。</w:t>
      </w:r>
    </w:p>
    <w:p w14:paraId="66A1E6D0">
      <w:pPr>
        <w:spacing w:line="500" w:lineRule="exact"/>
        <w:outlineLvl w:val="9"/>
        <w:rPr>
          <w:rFonts w:ascii="宋体" w:hAnsi="宋体" w:eastAsia="宋体" w:cs="宋体"/>
          <w:sz w:val="24"/>
          <w:szCs w:val="24"/>
        </w:rPr>
      </w:pPr>
    </w:p>
    <w:p w14:paraId="6F6DC566">
      <w:pPr>
        <w:adjustRightInd/>
        <w:snapToGrid/>
        <w:spacing w:after="0" w:line="360" w:lineRule="auto"/>
        <w:ind w:firstLine="4080" w:firstLineChars="17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561D0E6A">
      <w:pPr>
        <w:adjustRightInd/>
        <w:snapToGrid/>
        <w:spacing w:after="0" w:line="360" w:lineRule="auto"/>
        <w:jc w:val="both"/>
        <w:textAlignment w:val="baseline"/>
        <w:outlineLvl w:val="9"/>
        <w:rPr>
          <w:rFonts w:ascii="宋体" w:hAnsi="宋体" w:eastAsia="宋体" w:cs="宋体"/>
          <w:bCs/>
          <w:kern w:val="2"/>
          <w:sz w:val="24"/>
          <w:szCs w:val="24"/>
        </w:rPr>
      </w:pPr>
    </w:p>
    <w:p w14:paraId="4942985D">
      <w:pPr>
        <w:adjustRightInd/>
        <w:snapToGrid/>
        <w:spacing w:after="0" w:line="360" w:lineRule="auto"/>
        <w:ind w:firstLine="4080" w:firstLineChars="1700"/>
        <w:jc w:val="both"/>
        <w:textAlignment w:val="baseline"/>
        <w:outlineLvl w:val="9"/>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378C9405">
      <w:pPr>
        <w:adjustRightInd/>
        <w:snapToGrid/>
        <w:spacing w:after="0" w:line="360" w:lineRule="auto"/>
        <w:jc w:val="both"/>
        <w:textAlignment w:val="baseline"/>
        <w:outlineLvl w:val="9"/>
        <w:rPr>
          <w:rFonts w:ascii="宋体" w:hAnsi="宋体" w:eastAsia="宋体" w:cs="宋体"/>
          <w:bCs/>
          <w:kern w:val="2"/>
          <w:sz w:val="24"/>
          <w:szCs w:val="24"/>
        </w:rPr>
      </w:pPr>
    </w:p>
    <w:p w14:paraId="03750E8D">
      <w:pPr>
        <w:adjustRightInd/>
        <w:spacing w:after="0" w:line="360" w:lineRule="auto"/>
        <w:ind w:firstLine="4080" w:firstLineChars="1700"/>
        <w:jc w:val="both"/>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0ADB0CCD">
      <w:pPr>
        <w:spacing w:line="500" w:lineRule="exact"/>
        <w:outlineLvl w:val="9"/>
        <w:rPr>
          <w:rFonts w:ascii="宋体" w:hAnsi="宋体" w:eastAsia="宋体" w:cs="宋体"/>
          <w:sz w:val="24"/>
          <w:szCs w:val="24"/>
        </w:rPr>
      </w:pPr>
    </w:p>
    <w:p w14:paraId="4A84C8BD">
      <w:pPr>
        <w:spacing w:line="500" w:lineRule="exact"/>
        <w:outlineLvl w:val="9"/>
        <w:rPr>
          <w:rFonts w:ascii="宋体" w:hAnsi="宋体" w:eastAsia="宋体" w:cs="宋体"/>
          <w:sz w:val="24"/>
          <w:szCs w:val="24"/>
        </w:rPr>
      </w:pPr>
    </w:p>
    <w:p w14:paraId="29C8DFD9">
      <w:pPr>
        <w:spacing w:line="0" w:lineRule="atLeast"/>
        <w:outlineLvl w:val="9"/>
        <w:rPr>
          <w:rFonts w:ascii="宋体" w:hAnsi="宋体" w:eastAsia="宋体" w:cs="宋体"/>
          <w:b/>
          <w:sz w:val="24"/>
          <w:szCs w:val="24"/>
        </w:rPr>
      </w:pPr>
    </w:p>
    <w:p w14:paraId="440D88F9">
      <w:pPr>
        <w:pStyle w:val="24"/>
        <w:outlineLvl w:val="9"/>
        <w:rPr>
          <w:sz w:val="24"/>
          <w:szCs w:val="24"/>
        </w:rPr>
      </w:pPr>
    </w:p>
    <w:p w14:paraId="0C7D8EFC">
      <w:pPr>
        <w:adjustRightInd/>
        <w:snapToGrid/>
        <w:spacing w:after="0"/>
        <w:outlineLvl w:val="9"/>
        <w:rPr>
          <w:rFonts w:ascii="宋体" w:hAnsi="宋体" w:eastAsia="宋体" w:cs="宋体"/>
          <w:b/>
          <w:sz w:val="24"/>
          <w:szCs w:val="24"/>
        </w:rPr>
      </w:pPr>
      <w:r>
        <w:rPr>
          <w:rFonts w:hint="eastAsia" w:ascii="宋体" w:hAnsi="宋体" w:eastAsia="宋体" w:cs="宋体"/>
          <w:b/>
          <w:sz w:val="24"/>
          <w:szCs w:val="24"/>
        </w:rPr>
        <w:br w:type="page"/>
      </w:r>
    </w:p>
    <w:p w14:paraId="03E8F25D">
      <w:pPr>
        <w:adjustRightInd/>
        <w:snapToGrid/>
        <w:spacing w:after="0" w:line="360" w:lineRule="auto"/>
        <w:jc w:val="center"/>
        <w:textAlignment w:val="baseline"/>
        <w:outlineLvl w:val="9"/>
        <w:rPr>
          <w:rFonts w:ascii="宋体" w:hAnsi="宋体" w:eastAsia="宋体" w:cs="宋体"/>
          <w:b/>
          <w:bCs/>
          <w:kern w:val="2"/>
          <w:sz w:val="24"/>
          <w:szCs w:val="24"/>
        </w:rPr>
      </w:pPr>
      <w:bookmarkStart w:id="299" w:name="_Toc15060"/>
      <w:bookmarkStart w:id="300" w:name="_Toc14565"/>
      <w:bookmarkStart w:id="301" w:name="_Toc9957"/>
      <w:bookmarkStart w:id="302" w:name="_Toc12812"/>
      <w:bookmarkStart w:id="303" w:name="_Toc15351"/>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bookmarkEnd w:id="299"/>
      <w:bookmarkEnd w:id="300"/>
      <w:bookmarkEnd w:id="301"/>
      <w:bookmarkEnd w:id="302"/>
      <w:bookmarkStart w:id="304" w:name="_Toc7391_WPSOffice_Level2"/>
      <w:bookmarkStart w:id="305" w:name="_Toc28915_WPSOffice_Level2"/>
      <w:r>
        <w:rPr>
          <w:rFonts w:hint="eastAsia" w:ascii="宋体" w:hAnsi="宋体" w:eastAsia="宋体" w:cs="宋体"/>
          <w:b/>
          <w:bCs/>
          <w:kern w:val="2"/>
          <w:sz w:val="24"/>
          <w:szCs w:val="24"/>
        </w:rPr>
        <w:t>代理服务费确认书</w:t>
      </w:r>
      <w:bookmarkEnd w:id="303"/>
      <w:bookmarkEnd w:id="304"/>
      <w:bookmarkEnd w:id="305"/>
    </w:p>
    <w:p w14:paraId="24D1B80C">
      <w:pPr>
        <w:spacing w:line="0" w:lineRule="atLeast"/>
        <w:outlineLvl w:val="9"/>
        <w:rPr>
          <w:rFonts w:ascii="宋体" w:hAnsi="宋体" w:eastAsia="宋体" w:cs="宋体"/>
          <w:b/>
          <w:sz w:val="24"/>
          <w:szCs w:val="24"/>
        </w:rPr>
      </w:pPr>
    </w:p>
    <w:p w14:paraId="5367C010">
      <w:pPr>
        <w:spacing w:line="500" w:lineRule="exact"/>
        <w:jc w:val="both"/>
        <w:outlineLvl w:val="9"/>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陇南子午线招标代理有限公司</w:t>
      </w:r>
    </w:p>
    <w:p w14:paraId="2719A707">
      <w:pPr>
        <w:spacing w:line="500" w:lineRule="exact"/>
        <w:ind w:firstLine="480"/>
        <w:jc w:val="both"/>
        <w:outlineLvl w:val="9"/>
        <w:rPr>
          <w:rFonts w:ascii="宋体" w:hAnsi="宋体" w:eastAsia="宋体" w:cs="宋体"/>
          <w:bCs/>
          <w:kern w:val="2"/>
          <w:sz w:val="24"/>
          <w:szCs w:val="24"/>
          <w:lang w:bidi="zh-CN"/>
        </w:rPr>
      </w:pPr>
      <w:r>
        <w:rPr>
          <w:rFonts w:hint="eastAsia" w:ascii="宋体" w:hAnsi="宋体" w:eastAsia="宋体" w:cs="宋体"/>
          <w:bCs/>
          <w:kern w:val="2"/>
          <w:sz w:val="24"/>
          <w:szCs w:val="24"/>
          <w:lang w:bidi="zh-CN"/>
        </w:rPr>
        <w:t>参照国家计委《招标代理服务收费管理暂行办法》（计价格[2002]1980 号）和国家发改委《国家发展改革委办公厅关于招标代理服务费有关问题的通知》（发改办价格[2003]857 号）文件的有关规定，经采购人、采购代理机构协商，本次招标项目（招标编号：）的招标服务费向中标方收取。若我单位中标，将按照国家规定标准向贵公司缴纳招标代理服务费。</w:t>
      </w:r>
    </w:p>
    <w:p w14:paraId="4A01A9D9">
      <w:pPr>
        <w:spacing w:line="0" w:lineRule="atLeast"/>
        <w:ind w:left="480"/>
        <w:outlineLvl w:val="9"/>
        <w:rPr>
          <w:rFonts w:ascii="宋体" w:hAnsi="宋体" w:eastAsia="宋体" w:cs="宋体"/>
          <w:sz w:val="24"/>
          <w:szCs w:val="24"/>
          <w:u w:val="single"/>
        </w:rPr>
      </w:pPr>
    </w:p>
    <w:p w14:paraId="50A3F362">
      <w:pPr>
        <w:spacing w:line="200" w:lineRule="exact"/>
        <w:outlineLvl w:val="9"/>
        <w:rPr>
          <w:rFonts w:ascii="宋体" w:hAnsi="宋体" w:eastAsia="宋体" w:cs="宋体"/>
          <w:sz w:val="24"/>
          <w:szCs w:val="24"/>
          <w:u w:val="single"/>
        </w:rPr>
      </w:pPr>
    </w:p>
    <w:p w14:paraId="42F0413B">
      <w:pPr>
        <w:spacing w:line="200" w:lineRule="exact"/>
        <w:outlineLvl w:val="9"/>
        <w:rPr>
          <w:rFonts w:ascii="宋体" w:hAnsi="宋体" w:eastAsia="宋体" w:cs="宋体"/>
          <w:sz w:val="24"/>
          <w:szCs w:val="24"/>
        </w:rPr>
      </w:pPr>
    </w:p>
    <w:p w14:paraId="3D17BDD3">
      <w:pPr>
        <w:spacing w:line="239" w:lineRule="exact"/>
        <w:outlineLvl w:val="9"/>
        <w:rPr>
          <w:rFonts w:ascii="宋体" w:hAnsi="宋体" w:eastAsia="宋体" w:cs="宋体"/>
          <w:sz w:val="24"/>
          <w:szCs w:val="24"/>
        </w:rPr>
      </w:pPr>
    </w:p>
    <w:p w14:paraId="412A8DEC">
      <w:pPr>
        <w:adjustRightInd/>
        <w:snapToGrid/>
        <w:spacing w:after="0" w:line="360" w:lineRule="auto"/>
        <w:ind w:firstLine="4560" w:firstLineChars="19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3A7CF53E">
      <w:pPr>
        <w:adjustRightInd/>
        <w:snapToGrid/>
        <w:spacing w:after="0" w:line="360" w:lineRule="auto"/>
        <w:jc w:val="both"/>
        <w:textAlignment w:val="baseline"/>
        <w:outlineLvl w:val="9"/>
        <w:rPr>
          <w:rFonts w:ascii="宋体" w:hAnsi="宋体" w:eastAsia="宋体" w:cs="宋体"/>
          <w:bCs/>
          <w:kern w:val="2"/>
          <w:sz w:val="24"/>
          <w:szCs w:val="24"/>
        </w:rPr>
      </w:pPr>
    </w:p>
    <w:p w14:paraId="1098A069">
      <w:pPr>
        <w:adjustRightInd/>
        <w:snapToGrid/>
        <w:spacing w:after="0" w:line="360" w:lineRule="auto"/>
        <w:ind w:firstLine="4560" w:firstLineChars="1900"/>
        <w:jc w:val="both"/>
        <w:textAlignment w:val="baseline"/>
        <w:outlineLvl w:val="9"/>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61FFF7D9">
      <w:pPr>
        <w:adjustRightInd/>
        <w:snapToGrid/>
        <w:spacing w:after="0" w:line="360" w:lineRule="auto"/>
        <w:jc w:val="both"/>
        <w:textAlignment w:val="baseline"/>
        <w:outlineLvl w:val="9"/>
        <w:rPr>
          <w:rFonts w:ascii="宋体" w:hAnsi="宋体" w:eastAsia="宋体" w:cs="宋体"/>
          <w:bCs/>
          <w:kern w:val="2"/>
          <w:sz w:val="24"/>
          <w:szCs w:val="24"/>
        </w:rPr>
      </w:pPr>
    </w:p>
    <w:p w14:paraId="3102B0A2">
      <w:pPr>
        <w:adjustRightInd/>
        <w:spacing w:after="0" w:line="360" w:lineRule="auto"/>
        <w:ind w:firstLine="4560" w:firstLineChars="1900"/>
        <w:jc w:val="both"/>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4F8AF869">
      <w:pPr>
        <w:tabs>
          <w:tab w:val="left" w:pos="6580"/>
          <w:tab w:val="left" w:pos="7420"/>
        </w:tabs>
        <w:spacing w:line="0" w:lineRule="atLeast"/>
        <w:outlineLvl w:val="9"/>
        <w:rPr>
          <w:rFonts w:ascii="宋体" w:hAnsi="宋体" w:eastAsia="宋体" w:cs="宋体"/>
          <w:sz w:val="24"/>
          <w:szCs w:val="24"/>
        </w:rPr>
      </w:pPr>
    </w:p>
    <w:p w14:paraId="533B7662">
      <w:pPr>
        <w:tabs>
          <w:tab w:val="left" w:pos="6580"/>
          <w:tab w:val="left" w:pos="7420"/>
        </w:tabs>
        <w:spacing w:line="0" w:lineRule="atLeast"/>
        <w:outlineLvl w:val="9"/>
        <w:rPr>
          <w:rFonts w:ascii="宋体" w:hAnsi="宋体" w:eastAsia="宋体" w:cs="宋体"/>
          <w:sz w:val="24"/>
          <w:szCs w:val="24"/>
        </w:rPr>
      </w:pPr>
    </w:p>
    <w:p w14:paraId="1FE128D0">
      <w:pPr>
        <w:tabs>
          <w:tab w:val="left" w:pos="6580"/>
          <w:tab w:val="left" w:pos="7420"/>
        </w:tabs>
        <w:spacing w:line="0" w:lineRule="atLeast"/>
        <w:outlineLvl w:val="9"/>
        <w:rPr>
          <w:rFonts w:ascii="宋体" w:hAnsi="宋体" w:eastAsia="宋体" w:cs="宋体"/>
          <w:sz w:val="24"/>
          <w:szCs w:val="24"/>
        </w:rPr>
      </w:pPr>
    </w:p>
    <w:p w14:paraId="336C8FDC">
      <w:pPr>
        <w:tabs>
          <w:tab w:val="left" w:pos="6580"/>
          <w:tab w:val="left" w:pos="7420"/>
        </w:tabs>
        <w:spacing w:line="0" w:lineRule="atLeast"/>
        <w:outlineLvl w:val="9"/>
        <w:rPr>
          <w:rFonts w:ascii="宋体" w:hAnsi="宋体" w:eastAsia="宋体" w:cs="宋体"/>
          <w:sz w:val="24"/>
          <w:szCs w:val="24"/>
        </w:rPr>
      </w:pPr>
    </w:p>
    <w:p w14:paraId="0B710FAB">
      <w:pPr>
        <w:tabs>
          <w:tab w:val="left" w:pos="6580"/>
          <w:tab w:val="left" w:pos="7420"/>
        </w:tabs>
        <w:spacing w:line="0" w:lineRule="atLeast"/>
        <w:outlineLvl w:val="9"/>
        <w:rPr>
          <w:rFonts w:ascii="宋体" w:hAnsi="宋体" w:eastAsia="宋体" w:cs="宋体"/>
          <w:sz w:val="24"/>
          <w:szCs w:val="24"/>
        </w:rPr>
      </w:pPr>
    </w:p>
    <w:p w14:paraId="6FDDAC4C">
      <w:pPr>
        <w:outlineLvl w:val="9"/>
        <w:rPr>
          <w:rFonts w:ascii="宋体" w:hAnsi="宋体" w:eastAsia="宋体" w:cs="宋体"/>
          <w:sz w:val="24"/>
          <w:szCs w:val="24"/>
        </w:rPr>
      </w:pPr>
    </w:p>
    <w:p w14:paraId="6503DDD9">
      <w:pPr>
        <w:pStyle w:val="7"/>
        <w:ind w:firstLine="480"/>
        <w:outlineLvl w:val="9"/>
        <w:rPr>
          <w:rFonts w:hAnsi="宋体" w:eastAsia="宋体" w:cs="宋体"/>
          <w:sz w:val="24"/>
          <w:szCs w:val="24"/>
          <w:lang w:eastAsia="zh-CN"/>
        </w:rPr>
      </w:pPr>
    </w:p>
    <w:p w14:paraId="7EE3CBBE">
      <w:pPr>
        <w:outlineLvl w:val="9"/>
        <w:rPr>
          <w:rFonts w:ascii="宋体" w:hAnsi="宋体" w:eastAsia="宋体" w:cs="宋体"/>
          <w:sz w:val="24"/>
          <w:szCs w:val="24"/>
        </w:rPr>
      </w:pPr>
    </w:p>
    <w:p w14:paraId="128F0D07">
      <w:pPr>
        <w:adjustRightInd/>
        <w:snapToGrid/>
        <w:spacing w:after="0" w:line="360" w:lineRule="auto"/>
        <w:jc w:val="both"/>
        <w:textAlignment w:val="baseline"/>
        <w:outlineLvl w:val="9"/>
        <w:rPr>
          <w:rFonts w:ascii="宋体" w:hAnsi="宋体" w:eastAsia="宋体" w:cs="宋体"/>
          <w:b/>
          <w:bCs/>
          <w:sz w:val="24"/>
          <w:szCs w:val="24"/>
        </w:rPr>
        <w:sectPr>
          <w:pgSz w:w="11906" w:h="16838"/>
          <w:pgMar w:top="1440" w:right="1080" w:bottom="1440" w:left="1080" w:header="851" w:footer="992" w:gutter="0"/>
          <w:pgNumType w:fmt="decimal"/>
          <w:cols w:space="720" w:num="1"/>
          <w:docGrid w:linePitch="312" w:charSpace="0"/>
        </w:sectPr>
      </w:pPr>
      <w:bookmarkStart w:id="306" w:name="_Toc29791"/>
      <w:bookmarkStart w:id="307" w:name="_Toc28693"/>
      <w:bookmarkStart w:id="308" w:name="_Toc6821"/>
      <w:bookmarkStart w:id="309" w:name="_Toc31172"/>
    </w:p>
    <w:p w14:paraId="76A2B462">
      <w:pPr>
        <w:adjustRightInd/>
        <w:snapToGrid/>
        <w:spacing w:after="0" w:line="360" w:lineRule="auto"/>
        <w:jc w:val="center"/>
        <w:textAlignment w:val="baseline"/>
        <w:outlineLvl w:val="9"/>
        <w:rPr>
          <w:rFonts w:eastAsia="宋体"/>
          <w:b/>
          <w:spacing w:val="6"/>
          <w:kern w:val="2"/>
          <w:szCs w:val="24"/>
        </w:rPr>
      </w:pPr>
      <w:bookmarkStart w:id="310" w:name="_Toc10582"/>
      <w:bookmarkStart w:id="311" w:name="_Toc22059"/>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bookmarkEnd w:id="306"/>
      <w:bookmarkEnd w:id="307"/>
      <w:bookmarkEnd w:id="308"/>
      <w:bookmarkEnd w:id="309"/>
      <w:bookmarkEnd w:id="310"/>
      <w:r>
        <w:rPr>
          <w:rFonts w:hint="eastAsia" w:eastAsia="宋体"/>
          <w:b/>
          <w:spacing w:val="6"/>
          <w:kern w:val="2"/>
          <w:szCs w:val="24"/>
        </w:rPr>
        <w:t>代理服务费承诺书</w:t>
      </w:r>
      <w:bookmarkEnd w:id="311"/>
    </w:p>
    <w:p w14:paraId="347742F2">
      <w:pPr>
        <w:pStyle w:val="111"/>
        <w:widowControl w:val="0"/>
        <w:adjustRightInd/>
        <w:snapToGrid/>
        <w:ind w:firstLine="0" w:firstLineChars="0"/>
        <w:outlineLvl w:val="9"/>
        <w:rPr>
          <w:rFonts w:eastAsia="宋体"/>
          <w:b/>
          <w:bCs/>
          <w:szCs w:val="24"/>
        </w:rPr>
      </w:pPr>
    </w:p>
    <w:p w14:paraId="77FAF700">
      <w:pPr>
        <w:pStyle w:val="111"/>
        <w:widowControl w:val="0"/>
        <w:adjustRightInd/>
        <w:snapToGrid/>
        <w:ind w:firstLine="0" w:firstLineChars="0"/>
        <w:outlineLvl w:val="9"/>
        <w:rPr>
          <w:rFonts w:hint="eastAsia" w:eastAsia="宋体"/>
          <w:b/>
          <w:bCs/>
          <w:szCs w:val="24"/>
          <w:lang w:eastAsia="zh-CN"/>
        </w:rPr>
      </w:pPr>
      <w:r>
        <w:rPr>
          <w:rFonts w:hint="eastAsia" w:eastAsia="宋体"/>
          <w:b/>
          <w:bCs/>
          <w:szCs w:val="24"/>
        </w:rPr>
        <w:t>致：</w:t>
      </w:r>
      <w:r>
        <w:rPr>
          <w:rFonts w:hint="eastAsia" w:eastAsia="宋体"/>
          <w:b/>
          <w:bCs/>
          <w:szCs w:val="24"/>
          <w:lang w:eastAsia="zh-CN"/>
        </w:rPr>
        <w:t>陇南子午线招标代理有限公司</w:t>
      </w:r>
    </w:p>
    <w:p w14:paraId="6825C6C6">
      <w:pPr>
        <w:pStyle w:val="111"/>
        <w:widowControl w:val="0"/>
        <w:adjustRightInd/>
        <w:snapToGrid/>
        <w:outlineLvl w:val="9"/>
        <w:rPr>
          <w:rFonts w:eastAsia="宋体"/>
          <w:szCs w:val="24"/>
        </w:rPr>
      </w:pPr>
      <w:r>
        <w:rPr>
          <w:rFonts w:hint="eastAsia" w:eastAsia="宋体"/>
          <w:szCs w:val="24"/>
        </w:rPr>
        <w:t>我们在贵公司组织的项目（</w:t>
      </w:r>
      <w:r>
        <w:rPr>
          <w:rFonts w:hint="eastAsia" w:eastAsia="宋体"/>
          <w:szCs w:val="24"/>
          <w:lang w:val="en-US" w:eastAsia="zh-CN"/>
        </w:rPr>
        <w:t>项目</w:t>
      </w:r>
      <w:r>
        <w:rPr>
          <w:rFonts w:hint="eastAsia" w:eastAsia="宋体"/>
          <w:szCs w:val="24"/>
        </w:rPr>
        <w:t>编号：），如获成交，我们保证按照招标文件相关规定自愿以电汇、转支支付、现金等方式，向招标公司缴纳代理服务费。</w:t>
      </w:r>
    </w:p>
    <w:p w14:paraId="48EA6EA6">
      <w:pPr>
        <w:pStyle w:val="111"/>
        <w:widowControl w:val="0"/>
        <w:adjustRightInd/>
        <w:snapToGrid/>
        <w:ind w:firstLine="720" w:firstLineChars="300"/>
        <w:outlineLvl w:val="9"/>
        <w:rPr>
          <w:rFonts w:eastAsia="宋体"/>
          <w:szCs w:val="24"/>
        </w:rPr>
      </w:pPr>
    </w:p>
    <w:p w14:paraId="32FA49F2">
      <w:pPr>
        <w:pStyle w:val="111"/>
        <w:widowControl w:val="0"/>
        <w:adjustRightInd/>
        <w:snapToGrid/>
        <w:ind w:firstLine="0" w:firstLineChars="0"/>
        <w:outlineLvl w:val="9"/>
        <w:rPr>
          <w:rFonts w:eastAsia="宋体"/>
          <w:szCs w:val="24"/>
        </w:rPr>
      </w:pPr>
    </w:p>
    <w:p w14:paraId="751C38C2">
      <w:pPr>
        <w:pStyle w:val="111"/>
        <w:widowControl w:val="0"/>
        <w:adjustRightInd/>
        <w:snapToGrid/>
        <w:ind w:firstLine="720" w:firstLineChars="300"/>
        <w:outlineLvl w:val="9"/>
        <w:rPr>
          <w:rFonts w:eastAsia="宋体"/>
          <w:szCs w:val="24"/>
        </w:rPr>
      </w:pPr>
      <w:r>
        <w:rPr>
          <w:rFonts w:hint="eastAsia" w:eastAsia="宋体"/>
          <w:szCs w:val="24"/>
        </w:rPr>
        <w:t xml:space="preserve"> 特此承诺！ </w:t>
      </w:r>
    </w:p>
    <w:p w14:paraId="018714F5">
      <w:pPr>
        <w:pStyle w:val="111"/>
        <w:widowControl w:val="0"/>
        <w:adjustRightInd/>
        <w:snapToGrid/>
        <w:ind w:firstLine="4560" w:firstLineChars="1900"/>
        <w:outlineLvl w:val="9"/>
        <w:rPr>
          <w:rFonts w:eastAsia="宋体"/>
          <w:szCs w:val="24"/>
          <w:u w:val="single"/>
        </w:rPr>
      </w:pPr>
      <w:r>
        <w:rPr>
          <w:rFonts w:hint="eastAsia" w:eastAsia="宋体"/>
          <w:szCs w:val="24"/>
        </w:rPr>
        <w:t>投标人（盖章）：</w:t>
      </w:r>
    </w:p>
    <w:p w14:paraId="06D693C0">
      <w:pPr>
        <w:pStyle w:val="111"/>
        <w:widowControl w:val="0"/>
        <w:adjustRightInd/>
        <w:snapToGrid/>
        <w:ind w:firstLine="4560" w:firstLineChars="1900"/>
        <w:outlineLvl w:val="9"/>
        <w:rPr>
          <w:rFonts w:eastAsia="宋体"/>
          <w:szCs w:val="24"/>
          <w:u w:val="single"/>
        </w:rPr>
      </w:pPr>
      <w:r>
        <w:rPr>
          <w:rFonts w:hint="eastAsia" w:eastAsia="宋体"/>
          <w:szCs w:val="24"/>
        </w:rPr>
        <w:t>法定代表人或被授权人(签字)：</w:t>
      </w:r>
    </w:p>
    <w:p w14:paraId="11C4ED26">
      <w:pPr>
        <w:pStyle w:val="111"/>
        <w:widowControl w:val="0"/>
        <w:adjustRightInd/>
        <w:snapToGrid/>
        <w:ind w:firstLine="3600" w:firstLineChars="1500"/>
        <w:outlineLvl w:val="9"/>
        <w:rPr>
          <w:rFonts w:eastAsia="宋体"/>
          <w:szCs w:val="24"/>
        </w:rPr>
      </w:pPr>
      <w:r>
        <w:rPr>
          <w:rFonts w:hint="eastAsia" w:eastAsia="宋体"/>
          <w:szCs w:val="24"/>
        </w:rPr>
        <w:t xml:space="preserve">        日 期：年月日</w:t>
      </w:r>
    </w:p>
    <w:p w14:paraId="0F941C06">
      <w:pPr>
        <w:pStyle w:val="111"/>
        <w:ind w:firstLine="0" w:firstLineChars="0"/>
        <w:outlineLvl w:val="9"/>
        <w:rPr>
          <w:rFonts w:eastAsia="宋体"/>
          <w:szCs w:val="24"/>
        </w:rPr>
      </w:pPr>
    </w:p>
    <w:p w14:paraId="62FEDBBC">
      <w:pPr>
        <w:adjustRightInd/>
        <w:snapToGrid/>
        <w:spacing w:after="0" w:line="360" w:lineRule="auto"/>
        <w:jc w:val="both"/>
        <w:textAlignment w:val="baseline"/>
        <w:outlineLvl w:val="9"/>
        <w:rPr>
          <w:rFonts w:ascii="宋体" w:hAnsi="宋体" w:eastAsia="宋体" w:cs="宋体"/>
          <w:b/>
          <w:bCs/>
          <w:sz w:val="24"/>
          <w:szCs w:val="24"/>
        </w:rPr>
      </w:pPr>
      <w:bookmarkStart w:id="312" w:name="_Toc6833"/>
      <w:bookmarkStart w:id="313" w:name="_Toc16493"/>
      <w:bookmarkStart w:id="314" w:name="_Toc7450"/>
      <w:bookmarkStart w:id="315" w:name="_Toc8331"/>
      <w:bookmarkStart w:id="316" w:name="_Toc10941"/>
    </w:p>
    <w:p w14:paraId="44482E13">
      <w:pPr>
        <w:adjustRightInd/>
        <w:snapToGrid/>
        <w:spacing w:after="0" w:line="360" w:lineRule="auto"/>
        <w:jc w:val="both"/>
        <w:textAlignment w:val="baseline"/>
        <w:outlineLvl w:val="9"/>
        <w:rPr>
          <w:rFonts w:ascii="宋体" w:hAnsi="宋体" w:eastAsia="宋体" w:cs="宋体"/>
          <w:b/>
          <w:bCs/>
          <w:sz w:val="24"/>
          <w:szCs w:val="24"/>
        </w:rPr>
      </w:pPr>
    </w:p>
    <w:p w14:paraId="7EE2E399">
      <w:pPr>
        <w:adjustRightInd/>
        <w:snapToGrid/>
        <w:spacing w:after="0" w:line="360" w:lineRule="auto"/>
        <w:jc w:val="both"/>
        <w:textAlignment w:val="baseline"/>
        <w:outlineLvl w:val="9"/>
        <w:rPr>
          <w:rFonts w:ascii="宋体" w:hAnsi="宋体" w:eastAsia="宋体" w:cs="宋体"/>
          <w:b/>
          <w:bCs/>
          <w:sz w:val="24"/>
          <w:szCs w:val="24"/>
        </w:rPr>
      </w:pPr>
    </w:p>
    <w:p w14:paraId="4078FCFD">
      <w:pPr>
        <w:adjustRightInd/>
        <w:snapToGrid/>
        <w:spacing w:after="0" w:line="360" w:lineRule="auto"/>
        <w:jc w:val="both"/>
        <w:textAlignment w:val="baseline"/>
        <w:outlineLvl w:val="9"/>
        <w:rPr>
          <w:rFonts w:ascii="宋体" w:hAnsi="宋体" w:eastAsia="宋体" w:cs="宋体"/>
          <w:b/>
          <w:bCs/>
          <w:sz w:val="24"/>
          <w:szCs w:val="24"/>
        </w:rPr>
      </w:pPr>
    </w:p>
    <w:p w14:paraId="0A982C64">
      <w:pPr>
        <w:adjustRightInd/>
        <w:snapToGrid/>
        <w:spacing w:after="0" w:line="360" w:lineRule="auto"/>
        <w:jc w:val="both"/>
        <w:textAlignment w:val="baseline"/>
        <w:outlineLvl w:val="9"/>
        <w:rPr>
          <w:rFonts w:ascii="宋体" w:hAnsi="宋体" w:eastAsia="宋体" w:cs="宋体"/>
          <w:b/>
          <w:bCs/>
          <w:sz w:val="24"/>
          <w:szCs w:val="24"/>
        </w:rPr>
      </w:pPr>
    </w:p>
    <w:p w14:paraId="6FF7EDA7">
      <w:pPr>
        <w:adjustRightInd/>
        <w:snapToGrid/>
        <w:spacing w:after="0" w:line="360" w:lineRule="auto"/>
        <w:jc w:val="both"/>
        <w:textAlignment w:val="baseline"/>
        <w:outlineLvl w:val="9"/>
        <w:rPr>
          <w:rFonts w:ascii="宋体" w:hAnsi="宋体" w:eastAsia="宋体" w:cs="宋体"/>
          <w:b/>
          <w:bCs/>
          <w:sz w:val="24"/>
          <w:szCs w:val="24"/>
        </w:rPr>
      </w:pPr>
    </w:p>
    <w:p w14:paraId="744A994D">
      <w:pPr>
        <w:adjustRightInd/>
        <w:snapToGrid/>
        <w:spacing w:after="0" w:line="360" w:lineRule="auto"/>
        <w:jc w:val="both"/>
        <w:textAlignment w:val="baseline"/>
        <w:outlineLvl w:val="9"/>
        <w:rPr>
          <w:rFonts w:ascii="宋体" w:hAnsi="宋体" w:eastAsia="宋体" w:cs="宋体"/>
          <w:b/>
          <w:bCs/>
          <w:sz w:val="24"/>
          <w:szCs w:val="24"/>
        </w:rPr>
      </w:pPr>
    </w:p>
    <w:p w14:paraId="537BDBFD">
      <w:pPr>
        <w:adjustRightInd/>
        <w:snapToGrid/>
        <w:spacing w:after="0" w:line="360" w:lineRule="auto"/>
        <w:jc w:val="both"/>
        <w:textAlignment w:val="baseline"/>
        <w:outlineLvl w:val="9"/>
        <w:rPr>
          <w:rFonts w:ascii="宋体" w:hAnsi="宋体" w:eastAsia="宋体" w:cs="宋体"/>
          <w:b/>
          <w:bCs/>
          <w:sz w:val="24"/>
          <w:szCs w:val="24"/>
        </w:rPr>
      </w:pPr>
    </w:p>
    <w:p w14:paraId="7D3C47BB">
      <w:pPr>
        <w:adjustRightInd/>
        <w:snapToGrid/>
        <w:spacing w:after="0" w:line="360" w:lineRule="auto"/>
        <w:jc w:val="both"/>
        <w:textAlignment w:val="baseline"/>
        <w:outlineLvl w:val="9"/>
        <w:rPr>
          <w:rFonts w:ascii="宋体" w:hAnsi="宋体" w:eastAsia="宋体" w:cs="宋体"/>
          <w:b/>
          <w:bCs/>
          <w:sz w:val="24"/>
          <w:szCs w:val="24"/>
        </w:rPr>
      </w:pPr>
    </w:p>
    <w:p w14:paraId="55BCBD9C">
      <w:pPr>
        <w:adjustRightInd/>
        <w:snapToGrid/>
        <w:spacing w:after="0" w:line="360" w:lineRule="auto"/>
        <w:jc w:val="both"/>
        <w:textAlignment w:val="baseline"/>
        <w:outlineLvl w:val="9"/>
        <w:rPr>
          <w:rFonts w:ascii="宋体" w:hAnsi="宋体" w:eastAsia="宋体" w:cs="宋体"/>
          <w:b/>
          <w:bCs/>
          <w:sz w:val="24"/>
          <w:szCs w:val="24"/>
        </w:rPr>
      </w:pPr>
    </w:p>
    <w:p w14:paraId="00E2FB7B">
      <w:pPr>
        <w:outlineLvl w:val="9"/>
        <w:rPr>
          <w:rFonts w:ascii="宋体" w:hAnsi="宋体" w:eastAsia="宋体" w:cs="宋体"/>
          <w:b/>
          <w:bCs/>
          <w:sz w:val="24"/>
          <w:szCs w:val="24"/>
        </w:rPr>
      </w:pPr>
      <w:bookmarkStart w:id="317" w:name="_Toc26711"/>
      <w:r>
        <w:rPr>
          <w:rFonts w:hint="eastAsia" w:ascii="宋体" w:hAnsi="宋体" w:eastAsia="宋体" w:cs="宋体"/>
          <w:b/>
          <w:bCs/>
          <w:sz w:val="24"/>
          <w:szCs w:val="24"/>
        </w:rPr>
        <w:br w:type="page"/>
      </w:r>
    </w:p>
    <w:p w14:paraId="5872B436">
      <w:pPr>
        <w:adjustRightInd/>
        <w:snapToGrid/>
        <w:spacing w:after="0" w:line="360" w:lineRule="auto"/>
        <w:jc w:val="center"/>
        <w:textAlignment w:val="baseline"/>
        <w:outlineLvl w:val="9"/>
        <w:rPr>
          <w:rFonts w:ascii="宋体" w:hAnsi="宋体" w:eastAsia="宋体" w:cs="宋体"/>
          <w:b/>
          <w:spacing w:val="6"/>
          <w:kern w:val="2"/>
          <w:sz w:val="24"/>
          <w:szCs w:val="24"/>
        </w:rPr>
      </w:pPr>
      <w:bookmarkStart w:id="318" w:name="_Toc31238"/>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bookmarkEnd w:id="312"/>
      <w:bookmarkEnd w:id="313"/>
      <w:bookmarkEnd w:id="314"/>
      <w:bookmarkEnd w:id="315"/>
      <w:bookmarkEnd w:id="316"/>
      <w:bookmarkEnd w:id="317"/>
      <w:r>
        <w:rPr>
          <w:rFonts w:hint="eastAsia" w:ascii="宋体" w:hAnsi="宋体" w:eastAsia="宋体" w:cs="宋体"/>
          <w:b/>
          <w:spacing w:val="6"/>
          <w:kern w:val="2"/>
          <w:sz w:val="24"/>
          <w:szCs w:val="24"/>
        </w:rPr>
        <w:t>残疾人福利性单位声明函</w:t>
      </w:r>
      <w:bookmarkEnd w:id="318"/>
    </w:p>
    <w:p w14:paraId="70D5A5F8">
      <w:pPr>
        <w:adjustRightInd/>
        <w:snapToGrid/>
        <w:spacing w:after="0" w:line="360" w:lineRule="auto"/>
        <w:jc w:val="center"/>
        <w:textAlignment w:val="baseline"/>
        <w:outlineLvl w:val="9"/>
        <w:rPr>
          <w:rFonts w:ascii="宋体" w:hAnsi="宋体" w:eastAsia="宋体" w:cs="宋体"/>
          <w:spacing w:val="6"/>
          <w:kern w:val="2"/>
          <w:sz w:val="24"/>
          <w:szCs w:val="24"/>
        </w:rPr>
      </w:pPr>
      <w:r>
        <w:rPr>
          <w:rFonts w:hint="eastAsia" w:ascii="宋体" w:hAnsi="宋体" w:eastAsia="宋体" w:cs="宋体"/>
          <w:spacing w:val="6"/>
          <w:kern w:val="2"/>
          <w:sz w:val="24"/>
          <w:szCs w:val="24"/>
        </w:rPr>
        <w:t>（非残疾人福利性单位不适用）</w:t>
      </w:r>
    </w:p>
    <w:p w14:paraId="115A7A6C">
      <w:pPr>
        <w:adjustRightInd/>
        <w:snapToGrid/>
        <w:spacing w:after="0" w:line="360" w:lineRule="auto"/>
        <w:jc w:val="both"/>
        <w:textAlignment w:val="baseline"/>
        <w:outlineLvl w:val="9"/>
        <w:rPr>
          <w:rFonts w:ascii="宋体" w:hAnsi="宋体" w:eastAsia="宋体" w:cs="宋体"/>
          <w:b/>
          <w:spacing w:val="6"/>
          <w:kern w:val="2"/>
          <w:sz w:val="24"/>
          <w:szCs w:val="24"/>
        </w:rPr>
      </w:pPr>
    </w:p>
    <w:p w14:paraId="14A118F4">
      <w:pPr>
        <w:adjustRightInd/>
        <w:snapToGrid/>
        <w:spacing w:after="0" w:line="360" w:lineRule="auto"/>
        <w:ind w:firstLine="504" w:firstLineChars="200"/>
        <w:jc w:val="both"/>
        <w:textAlignment w:val="baseline"/>
        <w:outlineLvl w:val="9"/>
        <w:rPr>
          <w:rFonts w:ascii="宋体" w:hAnsi="宋体" w:eastAsia="宋体" w:cs="宋体"/>
          <w:spacing w:val="6"/>
          <w:kern w:val="2"/>
          <w:sz w:val="24"/>
          <w:szCs w:val="24"/>
        </w:rPr>
      </w:pPr>
      <w:r>
        <w:rPr>
          <w:rFonts w:hint="eastAsia" w:ascii="宋体" w:hAnsi="宋体" w:eastAsia="宋体" w:cs="宋体"/>
          <w:spacing w:val="6"/>
          <w:kern w:val="2"/>
          <w:sz w:val="24"/>
          <w:szCs w:val="24"/>
        </w:rPr>
        <w:t>本单位郑重声明，根据《财政部 民政部 中国残疾人联合会关于促进残疾人就业政府采购政策的通知》（财库</w:t>
      </w:r>
      <w:r>
        <w:rPr>
          <w:rFonts w:hint="eastAsia" w:ascii="宋体" w:hAnsi="宋体" w:eastAsia="宋体" w:cs="宋体"/>
          <w:kern w:val="2"/>
          <w:sz w:val="24"/>
          <w:szCs w:val="24"/>
        </w:rPr>
        <w:t>〔2017〕141</w:t>
      </w:r>
      <w:r>
        <w:rPr>
          <w:rFonts w:hint="eastAsia" w:ascii="宋体" w:hAnsi="宋体" w:eastAsia="宋体" w:cs="宋体"/>
          <w:spacing w:val="6"/>
          <w:kern w:val="2"/>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92F8D9">
      <w:pPr>
        <w:adjustRightInd/>
        <w:snapToGrid/>
        <w:spacing w:after="0" w:line="360" w:lineRule="auto"/>
        <w:ind w:firstLine="504" w:firstLineChars="200"/>
        <w:jc w:val="both"/>
        <w:textAlignment w:val="baseline"/>
        <w:outlineLvl w:val="9"/>
        <w:rPr>
          <w:rFonts w:ascii="宋体" w:hAnsi="宋体" w:eastAsia="宋体" w:cs="宋体"/>
          <w:spacing w:val="6"/>
          <w:kern w:val="2"/>
          <w:sz w:val="24"/>
          <w:szCs w:val="24"/>
        </w:rPr>
      </w:pPr>
      <w:r>
        <w:rPr>
          <w:rFonts w:hint="eastAsia" w:ascii="宋体" w:hAnsi="宋体" w:eastAsia="宋体" w:cs="宋体"/>
          <w:spacing w:val="6"/>
          <w:kern w:val="2"/>
          <w:sz w:val="24"/>
          <w:szCs w:val="24"/>
        </w:rPr>
        <w:t>本单位对上述声明的真实性负责。如有虚假，将依法承担相应责任。</w:t>
      </w:r>
    </w:p>
    <w:p w14:paraId="56C8DB1C">
      <w:pPr>
        <w:adjustRightInd/>
        <w:snapToGrid/>
        <w:spacing w:after="0" w:line="360" w:lineRule="auto"/>
        <w:ind w:firstLine="504" w:firstLineChars="200"/>
        <w:jc w:val="both"/>
        <w:textAlignment w:val="baseline"/>
        <w:outlineLvl w:val="9"/>
        <w:rPr>
          <w:rFonts w:ascii="宋体" w:hAnsi="宋体" w:eastAsia="宋体" w:cs="宋体"/>
          <w:spacing w:val="6"/>
          <w:kern w:val="2"/>
          <w:sz w:val="24"/>
          <w:szCs w:val="24"/>
        </w:rPr>
      </w:pPr>
    </w:p>
    <w:p w14:paraId="11735791">
      <w:pPr>
        <w:adjustRightInd/>
        <w:snapToGrid/>
        <w:spacing w:after="0" w:line="360" w:lineRule="auto"/>
        <w:jc w:val="center"/>
        <w:textAlignment w:val="baseline"/>
        <w:outlineLvl w:val="9"/>
        <w:rPr>
          <w:rFonts w:ascii="宋体" w:hAnsi="宋体" w:eastAsia="宋体" w:cs="宋体"/>
          <w:b/>
          <w:bCs/>
          <w:kern w:val="2"/>
          <w:sz w:val="24"/>
          <w:szCs w:val="24"/>
        </w:rPr>
      </w:pPr>
    </w:p>
    <w:p w14:paraId="3C4FB28D">
      <w:pPr>
        <w:adjustRightInd/>
        <w:snapToGrid/>
        <w:spacing w:after="0" w:line="360" w:lineRule="auto"/>
        <w:jc w:val="center"/>
        <w:textAlignment w:val="baseline"/>
        <w:outlineLvl w:val="9"/>
        <w:rPr>
          <w:rFonts w:ascii="宋体" w:hAnsi="宋体" w:eastAsia="宋体" w:cs="宋体"/>
          <w:b/>
          <w:bCs/>
          <w:kern w:val="2"/>
          <w:sz w:val="24"/>
          <w:szCs w:val="24"/>
        </w:rPr>
      </w:pPr>
    </w:p>
    <w:p w14:paraId="1DE302C6">
      <w:pPr>
        <w:adjustRightInd/>
        <w:snapToGrid/>
        <w:spacing w:after="0" w:line="360" w:lineRule="auto"/>
        <w:jc w:val="center"/>
        <w:textAlignment w:val="baseline"/>
        <w:outlineLvl w:val="9"/>
        <w:rPr>
          <w:rFonts w:ascii="宋体" w:hAnsi="宋体" w:eastAsia="宋体" w:cs="宋体"/>
          <w:b/>
          <w:bCs/>
          <w:kern w:val="2"/>
          <w:sz w:val="24"/>
          <w:szCs w:val="24"/>
        </w:rPr>
      </w:pPr>
    </w:p>
    <w:p w14:paraId="37072387">
      <w:pPr>
        <w:adjustRightInd/>
        <w:snapToGrid/>
        <w:spacing w:after="0" w:line="360" w:lineRule="auto"/>
        <w:jc w:val="center"/>
        <w:textAlignment w:val="baseline"/>
        <w:outlineLvl w:val="9"/>
        <w:rPr>
          <w:rFonts w:ascii="宋体" w:hAnsi="宋体" w:eastAsia="宋体" w:cs="宋体"/>
          <w:b/>
          <w:bCs/>
          <w:kern w:val="2"/>
          <w:sz w:val="24"/>
          <w:szCs w:val="24"/>
        </w:rPr>
      </w:pPr>
    </w:p>
    <w:p w14:paraId="45D5C63B">
      <w:pPr>
        <w:adjustRightInd/>
        <w:snapToGrid/>
        <w:spacing w:after="0" w:line="360" w:lineRule="auto"/>
        <w:jc w:val="center"/>
        <w:textAlignment w:val="baseline"/>
        <w:outlineLvl w:val="9"/>
        <w:rPr>
          <w:rFonts w:ascii="宋体" w:hAnsi="宋体" w:eastAsia="宋体" w:cs="宋体"/>
          <w:b/>
          <w:bCs/>
          <w:kern w:val="2"/>
          <w:sz w:val="24"/>
          <w:szCs w:val="24"/>
        </w:rPr>
      </w:pPr>
    </w:p>
    <w:p w14:paraId="5706C367">
      <w:pPr>
        <w:adjustRightInd/>
        <w:snapToGrid/>
        <w:spacing w:after="0" w:line="360" w:lineRule="auto"/>
        <w:ind w:firstLine="3600" w:firstLineChars="15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44E4CA15">
      <w:pPr>
        <w:adjustRightInd/>
        <w:snapToGrid/>
        <w:spacing w:after="0" w:line="360" w:lineRule="auto"/>
        <w:jc w:val="both"/>
        <w:textAlignment w:val="baseline"/>
        <w:outlineLvl w:val="9"/>
        <w:rPr>
          <w:rFonts w:ascii="宋体" w:hAnsi="宋体" w:eastAsia="宋体" w:cs="宋体"/>
          <w:bCs/>
          <w:kern w:val="2"/>
          <w:sz w:val="24"/>
          <w:szCs w:val="24"/>
        </w:rPr>
      </w:pPr>
    </w:p>
    <w:p w14:paraId="5403A053">
      <w:pPr>
        <w:adjustRightInd/>
        <w:snapToGrid/>
        <w:spacing w:after="0" w:line="360" w:lineRule="auto"/>
        <w:ind w:firstLine="3600" w:firstLineChars="1500"/>
        <w:jc w:val="both"/>
        <w:textAlignment w:val="baseline"/>
        <w:outlineLvl w:val="9"/>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7B2E649F">
      <w:pPr>
        <w:adjustRightInd/>
        <w:snapToGrid/>
        <w:spacing w:after="0" w:line="360" w:lineRule="auto"/>
        <w:jc w:val="both"/>
        <w:textAlignment w:val="baseline"/>
        <w:outlineLvl w:val="9"/>
        <w:rPr>
          <w:rFonts w:ascii="宋体" w:hAnsi="宋体" w:eastAsia="宋体" w:cs="宋体"/>
          <w:bCs/>
          <w:kern w:val="2"/>
          <w:sz w:val="24"/>
          <w:szCs w:val="24"/>
        </w:rPr>
      </w:pPr>
    </w:p>
    <w:p w14:paraId="3801620A">
      <w:pPr>
        <w:adjustRightInd/>
        <w:spacing w:after="0" w:line="360" w:lineRule="auto"/>
        <w:ind w:firstLine="3600" w:firstLineChars="1500"/>
        <w:jc w:val="both"/>
        <w:textAlignment w:val="baseline"/>
        <w:outlineLvl w:val="9"/>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737537C4">
      <w:pPr>
        <w:adjustRightInd/>
        <w:snapToGrid/>
        <w:spacing w:after="0" w:line="360" w:lineRule="auto"/>
        <w:jc w:val="center"/>
        <w:textAlignment w:val="baseline"/>
        <w:outlineLvl w:val="9"/>
        <w:rPr>
          <w:rFonts w:ascii="宋体" w:hAnsi="宋体" w:eastAsia="宋体" w:cs="宋体"/>
          <w:b/>
          <w:kern w:val="2"/>
          <w:sz w:val="24"/>
          <w:szCs w:val="24"/>
        </w:rPr>
      </w:pPr>
    </w:p>
    <w:p w14:paraId="64073040">
      <w:pPr>
        <w:adjustRightInd/>
        <w:snapToGrid/>
        <w:spacing w:after="0" w:line="360" w:lineRule="auto"/>
        <w:jc w:val="center"/>
        <w:textAlignment w:val="baseline"/>
        <w:outlineLvl w:val="9"/>
        <w:rPr>
          <w:rFonts w:ascii="宋体" w:hAnsi="宋体" w:eastAsia="宋体" w:cs="宋体"/>
          <w:b/>
          <w:kern w:val="2"/>
          <w:sz w:val="24"/>
          <w:szCs w:val="24"/>
        </w:rPr>
      </w:pPr>
    </w:p>
    <w:p w14:paraId="0BC2761A">
      <w:pPr>
        <w:pStyle w:val="7"/>
        <w:ind w:firstLine="0" w:firstLineChars="0"/>
        <w:outlineLvl w:val="9"/>
        <w:rPr>
          <w:rFonts w:hAnsi="宋体" w:eastAsia="宋体" w:cs="宋体"/>
          <w:sz w:val="24"/>
          <w:szCs w:val="24"/>
          <w:lang w:eastAsia="zh-CN"/>
        </w:rPr>
      </w:pPr>
    </w:p>
    <w:p w14:paraId="0B82FD69">
      <w:pPr>
        <w:adjustRightInd/>
        <w:snapToGrid/>
        <w:spacing w:after="0" w:line="360" w:lineRule="auto"/>
        <w:jc w:val="both"/>
        <w:textAlignment w:val="baseline"/>
        <w:outlineLvl w:val="9"/>
        <w:rPr>
          <w:rFonts w:ascii="宋体" w:hAnsi="宋体" w:eastAsia="宋体" w:cs="宋体"/>
          <w:b/>
          <w:bCs/>
          <w:sz w:val="24"/>
          <w:szCs w:val="24"/>
        </w:rPr>
        <w:sectPr>
          <w:pgSz w:w="11907" w:h="16840"/>
          <w:pgMar w:top="1213" w:right="1514" w:bottom="1247" w:left="1888" w:header="851" w:footer="590" w:gutter="0"/>
          <w:pgNumType w:fmt="decimal"/>
          <w:cols w:space="720" w:num="1"/>
          <w:titlePg/>
          <w:docGrid w:linePitch="312" w:charSpace="0"/>
        </w:sectPr>
      </w:pPr>
      <w:bookmarkStart w:id="319" w:name="_Toc18689"/>
      <w:bookmarkStart w:id="320" w:name="_Toc12286"/>
      <w:bookmarkStart w:id="321" w:name="_Toc9322"/>
      <w:bookmarkStart w:id="322" w:name="_Toc18583"/>
      <w:bookmarkStart w:id="323" w:name="_Toc22950"/>
    </w:p>
    <w:p w14:paraId="7819A016">
      <w:pPr>
        <w:adjustRightInd/>
        <w:snapToGrid/>
        <w:spacing w:after="0" w:line="360" w:lineRule="auto"/>
        <w:textAlignment w:val="baseline"/>
        <w:outlineLvl w:val="9"/>
        <w:rPr>
          <w:rFonts w:ascii="宋体" w:hAnsi="宋体" w:eastAsia="宋体" w:cs="宋体"/>
          <w:b/>
          <w:kern w:val="2"/>
          <w:sz w:val="24"/>
          <w:szCs w:val="24"/>
        </w:rPr>
      </w:pPr>
      <w:bookmarkStart w:id="324" w:name="_Toc17673"/>
      <w:bookmarkStart w:id="325" w:name="_Toc29311"/>
      <w:r>
        <w:rPr>
          <w:rFonts w:hint="eastAsia" w:ascii="宋体" w:hAnsi="宋体" w:eastAsia="宋体" w:cs="宋体"/>
          <w:b/>
          <w:bCs/>
          <w:sz w:val="24"/>
          <w:szCs w:val="24"/>
        </w:rPr>
        <w:t>附件18：</w:t>
      </w:r>
      <w:bookmarkEnd w:id="319"/>
      <w:bookmarkEnd w:id="320"/>
      <w:bookmarkEnd w:id="321"/>
      <w:bookmarkEnd w:id="322"/>
      <w:bookmarkEnd w:id="323"/>
      <w:bookmarkEnd w:id="324"/>
      <w:r>
        <w:rPr>
          <w:rFonts w:hint="eastAsia" w:ascii="宋体" w:hAnsi="宋体" w:eastAsia="宋体" w:cs="宋体"/>
          <w:b/>
          <w:kern w:val="2"/>
          <w:sz w:val="24"/>
          <w:szCs w:val="24"/>
        </w:rPr>
        <w:t>关于印发《政府采购促进中小企业发展管理办法》的通知</w:t>
      </w:r>
      <w:bookmarkEnd w:id="325"/>
    </w:p>
    <w:p w14:paraId="234A768E">
      <w:pPr>
        <w:adjustRightInd/>
        <w:snapToGrid/>
        <w:spacing w:after="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财库〔2020〕46号</w:t>
      </w:r>
    </w:p>
    <w:p w14:paraId="00C07C51">
      <w:pPr>
        <w:adjustRightInd/>
        <w:snapToGrid/>
        <w:spacing w:after="0" w:line="360" w:lineRule="auto"/>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各中央预算单位办公厅（室），各省、自治区、直辖市、计划单列市财政厅（局）、工业和信息化主管部门，新疆生产建设兵团财政局、工业和信息化主管部门：</w:t>
      </w:r>
    </w:p>
    <w:p w14:paraId="64F5E93E">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F0FC61A">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政府采购促进中小企业发展管理办法</w:t>
      </w:r>
    </w:p>
    <w:p w14:paraId="02192E1A">
      <w:pPr>
        <w:pStyle w:val="7"/>
        <w:ind w:firstLine="480"/>
        <w:outlineLvl w:val="9"/>
        <w:rPr>
          <w:rFonts w:hAnsi="宋体" w:eastAsia="宋体" w:cs="宋体"/>
          <w:sz w:val="24"/>
          <w:szCs w:val="24"/>
          <w:lang w:eastAsia="zh-CN"/>
        </w:rPr>
      </w:pPr>
    </w:p>
    <w:p w14:paraId="5E57440C">
      <w:pPr>
        <w:adjustRightInd/>
        <w:snapToGrid/>
        <w:spacing w:after="0" w:line="360" w:lineRule="auto"/>
        <w:ind w:firstLine="4320" w:firstLineChars="18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财 政 部</w:t>
      </w:r>
    </w:p>
    <w:p w14:paraId="64C577C6">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工业和信息化部</w:t>
      </w:r>
    </w:p>
    <w:p w14:paraId="5CE78868">
      <w:pPr>
        <w:adjustRightInd/>
        <w:snapToGrid/>
        <w:spacing w:after="0" w:line="360" w:lineRule="auto"/>
        <w:ind w:firstLine="3840" w:firstLineChars="16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2020年12月18日</w:t>
      </w:r>
    </w:p>
    <w:p w14:paraId="1B1E956D">
      <w:pPr>
        <w:adjustRightInd/>
        <w:snapToGrid/>
        <w:spacing w:after="0" w:line="360" w:lineRule="auto"/>
        <w:jc w:val="both"/>
        <w:textAlignment w:val="baseline"/>
        <w:outlineLvl w:val="9"/>
        <w:rPr>
          <w:rFonts w:ascii="宋体" w:hAnsi="宋体" w:eastAsia="宋体" w:cs="宋体"/>
          <w:b/>
          <w:kern w:val="2"/>
          <w:sz w:val="24"/>
          <w:szCs w:val="24"/>
        </w:rPr>
      </w:pPr>
    </w:p>
    <w:p w14:paraId="1DD7BCC2">
      <w:pPr>
        <w:adjustRightInd/>
        <w:snapToGrid/>
        <w:spacing w:after="0" w:line="360" w:lineRule="auto"/>
        <w:jc w:val="both"/>
        <w:textAlignment w:val="baseline"/>
        <w:outlineLvl w:val="9"/>
        <w:rPr>
          <w:rFonts w:ascii="宋体" w:hAnsi="宋体" w:eastAsia="宋体" w:cs="宋体"/>
          <w:b/>
          <w:kern w:val="2"/>
          <w:sz w:val="24"/>
          <w:szCs w:val="24"/>
        </w:rPr>
      </w:pPr>
    </w:p>
    <w:p w14:paraId="10873D0F">
      <w:pPr>
        <w:adjustRightInd/>
        <w:snapToGrid/>
        <w:spacing w:after="0" w:line="360" w:lineRule="auto"/>
        <w:jc w:val="both"/>
        <w:textAlignment w:val="baseline"/>
        <w:outlineLvl w:val="9"/>
        <w:rPr>
          <w:rFonts w:ascii="宋体" w:hAnsi="宋体" w:eastAsia="宋体" w:cs="宋体"/>
          <w:b/>
          <w:kern w:val="2"/>
          <w:sz w:val="24"/>
          <w:szCs w:val="24"/>
        </w:rPr>
      </w:pPr>
    </w:p>
    <w:p w14:paraId="11D14774">
      <w:pPr>
        <w:adjustRightInd/>
        <w:snapToGrid/>
        <w:spacing w:after="0" w:line="360" w:lineRule="auto"/>
        <w:jc w:val="both"/>
        <w:textAlignment w:val="baseline"/>
        <w:outlineLvl w:val="9"/>
        <w:rPr>
          <w:rFonts w:ascii="宋体" w:hAnsi="宋体" w:eastAsia="宋体" w:cs="宋体"/>
          <w:b/>
          <w:kern w:val="2"/>
          <w:sz w:val="24"/>
          <w:szCs w:val="24"/>
        </w:rPr>
      </w:pPr>
    </w:p>
    <w:p w14:paraId="3B3FC1EE">
      <w:pPr>
        <w:adjustRightInd/>
        <w:snapToGrid/>
        <w:spacing w:after="0" w:line="360" w:lineRule="auto"/>
        <w:jc w:val="both"/>
        <w:textAlignment w:val="baseline"/>
        <w:outlineLvl w:val="9"/>
        <w:rPr>
          <w:rFonts w:ascii="宋体" w:hAnsi="宋体" w:eastAsia="宋体" w:cs="宋体"/>
          <w:b/>
          <w:kern w:val="2"/>
          <w:sz w:val="24"/>
          <w:szCs w:val="24"/>
        </w:rPr>
      </w:pPr>
    </w:p>
    <w:p w14:paraId="27D69D1B">
      <w:pPr>
        <w:adjustRightInd/>
        <w:snapToGrid/>
        <w:spacing w:after="0" w:line="360" w:lineRule="auto"/>
        <w:jc w:val="both"/>
        <w:textAlignment w:val="baseline"/>
        <w:outlineLvl w:val="9"/>
        <w:rPr>
          <w:rFonts w:ascii="宋体" w:hAnsi="宋体" w:eastAsia="宋体" w:cs="宋体"/>
          <w:b/>
          <w:kern w:val="2"/>
          <w:sz w:val="24"/>
          <w:szCs w:val="24"/>
        </w:rPr>
      </w:pPr>
    </w:p>
    <w:p w14:paraId="52A01D1A">
      <w:pPr>
        <w:adjustRightInd/>
        <w:snapToGrid/>
        <w:spacing w:after="0" w:line="360" w:lineRule="auto"/>
        <w:jc w:val="both"/>
        <w:textAlignment w:val="baseline"/>
        <w:outlineLvl w:val="9"/>
        <w:rPr>
          <w:rFonts w:ascii="宋体" w:hAnsi="宋体" w:eastAsia="宋体" w:cs="宋体"/>
          <w:b/>
          <w:kern w:val="2"/>
          <w:sz w:val="24"/>
          <w:szCs w:val="24"/>
        </w:rPr>
        <w:sectPr>
          <w:pgSz w:w="11907" w:h="16840"/>
          <w:pgMar w:top="1213" w:right="1514" w:bottom="1247" w:left="1888" w:header="851" w:footer="590" w:gutter="0"/>
          <w:pgNumType w:fmt="decimal"/>
          <w:cols w:space="720" w:num="1"/>
          <w:titlePg/>
          <w:docGrid w:linePitch="312" w:charSpace="0"/>
        </w:sectPr>
      </w:pPr>
    </w:p>
    <w:p w14:paraId="5B5DA07F">
      <w:pPr>
        <w:adjustRightInd/>
        <w:snapToGrid/>
        <w:spacing w:after="0" w:line="360" w:lineRule="auto"/>
        <w:jc w:val="both"/>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附件：</w:t>
      </w:r>
    </w:p>
    <w:p w14:paraId="2BEED48B">
      <w:pPr>
        <w:adjustRightInd/>
        <w:snapToGrid/>
        <w:spacing w:after="0" w:line="360" w:lineRule="auto"/>
        <w:jc w:val="center"/>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政府采购促进中小企业发展管理办法</w:t>
      </w:r>
    </w:p>
    <w:p w14:paraId="52C642A0">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第一条 为了发挥政府采购的政策功能，促进中小企业健康发展，根据《中华人民共和国政府采购法》、《中华人民共和国中小企业促进法》等有关法律法规，制定本办法。</w:t>
      </w:r>
    </w:p>
    <w:p w14:paraId="328A27D7">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BE65927">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第三条 采购人在政府采购活动中应当通过加强采购需求管理，落实预留采购份额、价格评审优惠、优先采购等措施，提高中小企业在政府采购中的份额，支持中小企业发展。</w:t>
      </w:r>
    </w:p>
    <w:p w14:paraId="23E36961">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第四条 在政府采购活动中，供应商提供的货物、工程或者服务符合下列情形的，享受本办法规定的中小企业扶持政策：</w:t>
      </w:r>
    </w:p>
    <w:p w14:paraId="333F4B51">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（一）在货物采购项目中，货物由中小企业制造，即货 物由中小企业生产且使用该中小企业商号或者注册商标；</w:t>
      </w:r>
    </w:p>
    <w:p w14:paraId="58D002A1">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（二）在工程采购项目中，工程由中小企业承建，即工程施工单位为中小企业；</w:t>
      </w:r>
    </w:p>
    <w:p w14:paraId="2B67E87E">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（三）在服务采购项目中，服务由中小企业承接，即提供服务的人员为中小企业依照《中华人民共和国劳动合同法》订立劳动合同的从业人员。</w:t>
      </w:r>
    </w:p>
    <w:p w14:paraId="58A997F4">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在货物采购项目中，供应商提供的货物既有中小企业制造货物，也有大型企业制造货物的，不享受本办法规定的中小企业扶持政策。</w:t>
      </w:r>
    </w:p>
    <w:p w14:paraId="5CFD8076">
      <w:pPr>
        <w:adjustRightInd/>
        <w:snapToGrid/>
        <w:spacing w:after="0" w:line="360" w:lineRule="auto"/>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以联合体形式参加政府采购活动，联合体各方均为中小企业的，联合体视同中小企业。其中，联合体各方均为小微企业的，联合体视同小微企业。</w:t>
      </w:r>
    </w:p>
    <w:p w14:paraId="32738D71">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3DAE52F2">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C34DE8F">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符合下列情形之一的，可不专门面向中小企业预留采购份额：</w:t>
      </w:r>
    </w:p>
    <w:p w14:paraId="2B9887EF">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（一）法律法规和国家有关政策明确规定优先或者应当面向事业单位、社会组织等非企业主体采购的；</w:t>
      </w:r>
    </w:p>
    <w:p w14:paraId="1057F979">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（二）因确需使用不可替代的专利、专有技术，基础设施限制，或者提供特定公共服务等原因，只能从中小企业之外的供应商处采购的；</w:t>
      </w:r>
    </w:p>
    <w:p w14:paraId="043F48D6">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（三）按照本办法规定预留采购份额无法确保充分供应、充分竞争，或者存在可能影响政府采购目标实现的情形；</w:t>
      </w:r>
    </w:p>
    <w:p w14:paraId="3EBD7492">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（四）框架协议采购项目；</w:t>
      </w:r>
    </w:p>
    <w:p w14:paraId="1A1B1ED3">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（五）省级以上人民政府财政部门规定的其他情形。 除上述情形外，其他均为适宜由中小企业提供的情形。</w:t>
      </w:r>
    </w:p>
    <w:p w14:paraId="2D46BB50">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第七条</w:t>
      </w:r>
      <w:r>
        <w:rPr>
          <w:rFonts w:hint="eastAsia" w:ascii="宋体" w:hAnsi="宋体" w:eastAsia="宋体" w:cs="宋体"/>
          <w:bCs/>
          <w:kern w:val="2"/>
          <w:sz w:val="24"/>
          <w:szCs w:val="24"/>
          <w:lang w:val="zh-CN"/>
        </w:rPr>
        <w:tab/>
      </w:r>
      <w:r>
        <w:rPr>
          <w:rFonts w:hint="eastAsia" w:ascii="宋体" w:hAnsi="宋体" w:eastAsia="宋体" w:cs="宋体"/>
          <w:bCs/>
          <w:kern w:val="2"/>
          <w:sz w:val="24"/>
          <w:szCs w:val="24"/>
          <w:lang w:val="zh-CN"/>
        </w:rPr>
        <w:t>采购限额标准以上，200 万元以下的货物和服务采购项目、400 万元以下的工程采购项目，适宜由中小企业提供的，采购人应当专门面向中小企业采购。</w:t>
      </w:r>
    </w:p>
    <w:p w14:paraId="1587542C">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E62B7AC">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（一）将采购项目整体或者设置采购包专门面向中小企业采购；</w:t>
      </w:r>
    </w:p>
    <w:p w14:paraId="66079DF9">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（二）要求供应商以联合体形式参加采购活动，且联合体中中小企业承担的部分达到一定比例；</w:t>
      </w:r>
    </w:p>
    <w:p w14:paraId="525946AE">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（三）要求获得采购合同的供应商将采购项目中的一定比例分包给一家或者多家中小企业。</w:t>
      </w:r>
    </w:p>
    <w:p w14:paraId="25F31D1D">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组成联合体或者接受分包合同的中小企业与联合体内 其他企业、分包企业之间不得存在直接控股、管理关系。</w:t>
      </w:r>
    </w:p>
    <w:p w14:paraId="3325F266">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09B15A95">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7617577">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059647C">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0A3064EA">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7A9A86B6">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第十二条 采购项目涉及中小企业采购的，采购文件应当明确以下内容：</w:t>
      </w:r>
    </w:p>
    <w:p w14:paraId="72AC96E2">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（一）预留份额的采购项目或者采购包，明确该项目或相关采购包专门面向中小企业采购，以及相关标的及预算金额；</w:t>
      </w:r>
    </w:p>
    <w:p w14:paraId="055C063F">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（二）要求以联合体形式参加或者合同分包的，明确联合协议或者分包意向协议中中小企业合同金额应当达到的比例，并作为供应商资格条件；</w:t>
      </w:r>
    </w:p>
    <w:p w14:paraId="280490B1">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（三）非预留份额的采购项目或者采购包，明确有关价格扣除比例或者价格分加分比例；</w:t>
      </w:r>
    </w:p>
    <w:p w14:paraId="3CA2FEB9">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（四）规定依据本办法规定享受扶持政策获得政府采购合同的，小微企业不得将合同分包给大中型企业，中型企业不得将合同分包给大型企业；</w:t>
      </w:r>
    </w:p>
    <w:p w14:paraId="5CDA18D2">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（五）采购人认为具备相关条件的，明确对中小企业在资金支付期限、预付款比例等方面的优惠措施；</w:t>
      </w:r>
    </w:p>
    <w:p w14:paraId="04A9F74A">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（六）明确采购标的对应的中小企业划分标准所属行业；</w:t>
      </w:r>
    </w:p>
    <w:p w14:paraId="209F9D3B">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（七）法律法规和省级以上人民政府财政部门规定的其他事项。</w:t>
      </w:r>
    </w:p>
    <w:p w14:paraId="57E7ECCD">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lang w:val="zh-CN"/>
        </w:rPr>
        <w:t>第十三条</w:t>
      </w:r>
      <w:r>
        <w:rPr>
          <w:rFonts w:hint="eastAsia" w:ascii="宋体" w:hAnsi="宋体" w:eastAsia="宋体" w:cs="宋体"/>
          <w:bCs/>
          <w:kern w:val="2"/>
          <w:sz w:val="24"/>
          <w:szCs w:val="24"/>
          <w:lang w:val="zh-CN"/>
        </w:rPr>
        <w:tab/>
      </w:r>
      <w:r>
        <w:rPr>
          <w:rFonts w:hint="eastAsia" w:ascii="宋体" w:hAnsi="宋体" w:eastAsia="宋体" w:cs="宋体"/>
          <w:bCs/>
          <w:kern w:val="2"/>
          <w:sz w:val="24"/>
          <w:szCs w:val="24"/>
          <w:lang w:val="zh-CN"/>
        </w:rPr>
        <w:t>中标、成交供应商享受本办法规定的中小企业扶持政策的，采购人、采购代理机构应当随中标、成交结果公开中标、成交供应商的《中小企业声明函》。</w:t>
      </w:r>
    </w:p>
    <w:p w14:paraId="479FD025">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适用招标投标法的政府采购工程建设项目，应当在公示中标候选人时公开中标候选人的《中小企业声明函》。</w:t>
      </w:r>
    </w:p>
    <w:p w14:paraId="718AE0AA">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782ADCC">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第十五条 鼓励各地区、各部门在采购活动中允许中小企业引入信用担保手段，为中小企业在投标（响应）保证、履约保证等方面提供专业化服务。鼓励中小企业依法合规通过政府采购合同融资。</w:t>
      </w:r>
    </w:p>
    <w:p w14:paraId="2D244E74">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第十六条 政府采购监督检查、投诉处理及政府采购行政处罚中对中小企业的认定，由货物制造商或者工程、服务供应商注册登记所在地的县级以上人民政府中小企业主管 部门负责。</w:t>
      </w:r>
    </w:p>
    <w:p w14:paraId="68D71BC2">
      <w:pPr>
        <w:adjustRightInd/>
        <w:snapToGrid/>
        <w:spacing w:after="0" w:line="360" w:lineRule="auto"/>
        <w:ind w:firstLine="720" w:firstLineChars="3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中小企业主管部门应当在收到财政部门或者有关招标 投标行政监督部门关于协助开展中小企业认定函后 10 个工作日内做出书面答复。</w:t>
      </w:r>
    </w:p>
    <w:p w14:paraId="198AAB2B">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第十七条</w:t>
      </w:r>
      <w:r>
        <w:rPr>
          <w:rFonts w:hint="eastAsia" w:ascii="宋体" w:hAnsi="宋体" w:eastAsia="宋体" w:cs="宋体"/>
          <w:bCs/>
          <w:kern w:val="2"/>
          <w:sz w:val="24"/>
          <w:szCs w:val="24"/>
        </w:rPr>
        <w:t xml:space="preserve"> </w:t>
      </w:r>
      <w:r>
        <w:rPr>
          <w:rFonts w:hint="eastAsia" w:ascii="宋体" w:hAnsi="宋体" w:eastAsia="宋体" w:cs="宋体"/>
          <w:bCs/>
          <w:kern w:val="2"/>
          <w:sz w:val="24"/>
          <w:szCs w:val="24"/>
          <w:lang w:val="zh-CN"/>
        </w:rPr>
        <w:t>各地区、各部门应当对涉及中小企业采购的 预算项目实施全过程绩效管理，合理设置绩效目标和指标， 落实扶持中小企业有关政策要求，定期开展绩效监控和评价，强化绩效评价结果应用。</w:t>
      </w:r>
    </w:p>
    <w:p w14:paraId="4DB17F68">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第十八条</w:t>
      </w:r>
      <w:r>
        <w:rPr>
          <w:rFonts w:hint="eastAsia" w:ascii="宋体" w:hAnsi="宋体" w:eastAsia="宋体" w:cs="宋体"/>
          <w:bCs/>
          <w:kern w:val="2"/>
          <w:sz w:val="24"/>
          <w:szCs w:val="24"/>
        </w:rPr>
        <w:t xml:space="preserve">  </w:t>
      </w:r>
      <w:r>
        <w:rPr>
          <w:rFonts w:hint="eastAsia" w:ascii="宋体" w:hAnsi="宋体" w:eastAsia="宋体" w:cs="宋体"/>
          <w:bCs/>
          <w:kern w:val="2"/>
          <w:sz w:val="24"/>
          <w:szCs w:val="24"/>
          <w:lang w:val="zh-CN"/>
        </w:rPr>
        <w:t xml:space="preserve">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310D0166">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第十九条</w:t>
      </w:r>
      <w:r>
        <w:rPr>
          <w:rFonts w:hint="eastAsia" w:ascii="宋体" w:hAnsi="宋体" w:eastAsia="宋体" w:cs="宋体"/>
          <w:bCs/>
          <w:kern w:val="2"/>
          <w:sz w:val="24"/>
          <w:szCs w:val="24"/>
          <w:lang w:val="en-US" w:eastAsia="zh-CN"/>
        </w:rPr>
        <w:t xml:space="preserve">  </w:t>
      </w:r>
      <w:r>
        <w:rPr>
          <w:rFonts w:hint="eastAsia" w:ascii="宋体" w:hAnsi="宋体" w:eastAsia="宋体" w:cs="宋体"/>
          <w:bCs/>
          <w:kern w:val="2"/>
          <w:sz w:val="24"/>
          <w:szCs w:val="24"/>
          <w:lang w:val="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E25057A">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第二十条 供应商按照本办法规定提供声明函内容不实的，属于提供虚假材料谋取中标、成交，依照《中华人民共和国政府采购法》等国家有关规定追究相应责任。</w:t>
      </w:r>
    </w:p>
    <w:p w14:paraId="77DAB7DC">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适用招标投标法的政府采购工程建设项目，投标人按照 本办法规定提供声明函内容不实的，属于弄虚作假骗取中标， 依照《中华人民共和国招标投标法》等国家有关规定追究相应责任。</w:t>
      </w:r>
    </w:p>
    <w:p w14:paraId="30205126">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0C43C7F5">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第二十二条 对外援助项目、国家相关资格或者资质管理制度另有规定的项目，不适用本办法。</w:t>
      </w:r>
    </w:p>
    <w:p w14:paraId="5E02DFF4">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第二十三条 关于视同中小企业的其他主体的政府采购扶持政策，由财政部会同有关部门另行规定。</w:t>
      </w:r>
    </w:p>
    <w:p w14:paraId="2B4196E7">
      <w:pPr>
        <w:adjustRightInd/>
        <w:snapToGrid/>
        <w:spacing w:after="0" w:line="360" w:lineRule="auto"/>
        <w:ind w:firstLine="480" w:firstLineChars="200"/>
        <w:jc w:val="both"/>
        <w:textAlignment w:val="baseline"/>
        <w:outlineLvl w:val="9"/>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第二十四条 省级财政部门可以会同中小企业主管部门根据本办法的规定制定具体实施办法。</w:t>
      </w:r>
    </w:p>
    <w:p w14:paraId="4E395838">
      <w:pPr>
        <w:adjustRightInd/>
        <w:snapToGrid/>
        <w:spacing w:after="0" w:line="360" w:lineRule="auto"/>
        <w:ind w:firstLine="480" w:firstLineChars="200"/>
        <w:jc w:val="both"/>
        <w:textAlignment w:val="baseline"/>
        <w:outlineLvl w:val="9"/>
        <w:rPr>
          <w:rFonts w:ascii="宋体" w:hAnsi="宋体" w:eastAsia="宋体" w:cs="宋体"/>
          <w:b/>
          <w:kern w:val="2"/>
          <w:sz w:val="24"/>
          <w:szCs w:val="24"/>
          <w:lang w:val="zh-CN"/>
        </w:rPr>
      </w:pPr>
      <w:r>
        <w:rPr>
          <w:rFonts w:hint="eastAsia" w:ascii="宋体" w:hAnsi="宋体" w:eastAsia="宋体" w:cs="宋体"/>
          <w:bCs/>
          <w:kern w:val="2"/>
          <w:sz w:val="24"/>
          <w:szCs w:val="24"/>
          <w:lang w:val="zh-CN"/>
        </w:rPr>
        <w:t>第二十五条 本办法自 2021 年 1 月 1 日起施行。《财政部工业和信息化部关于印发〈政府采购促进中小企业发展管理办法〉的通知》（财库﹝2011﹞181 号）同时废止。</w:t>
      </w:r>
    </w:p>
    <w:p w14:paraId="70F9536D">
      <w:pPr>
        <w:adjustRightInd/>
        <w:snapToGrid/>
        <w:spacing w:after="0" w:line="360" w:lineRule="auto"/>
        <w:jc w:val="both"/>
        <w:textAlignment w:val="baseline"/>
        <w:outlineLvl w:val="9"/>
        <w:rPr>
          <w:rFonts w:ascii="宋体" w:hAnsi="宋体" w:eastAsia="宋体" w:cs="宋体"/>
          <w:b/>
          <w:kern w:val="2"/>
          <w:sz w:val="24"/>
          <w:szCs w:val="24"/>
        </w:rPr>
        <w:sectPr>
          <w:pgSz w:w="11907" w:h="16840"/>
          <w:pgMar w:top="1213" w:right="1514" w:bottom="1247" w:left="1888" w:header="851" w:footer="590" w:gutter="0"/>
          <w:pgNumType w:fmt="decimal"/>
          <w:cols w:space="720" w:num="1"/>
          <w:titlePg/>
          <w:docGrid w:linePitch="312" w:charSpace="0"/>
        </w:sectPr>
      </w:pPr>
    </w:p>
    <w:p w14:paraId="0C14AA1A">
      <w:pPr>
        <w:adjustRightInd/>
        <w:snapToGrid/>
        <w:spacing w:after="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财政部关于进一步加大政府采购支持中小企业力度的通知</w:t>
      </w:r>
    </w:p>
    <w:p w14:paraId="3E23185D">
      <w:pPr>
        <w:adjustRightInd/>
        <w:snapToGrid/>
        <w:spacing w:after="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t>财库〔2022〕19号</w:t>
      </w:r>
    </w:p>
    <w:p w14:paraId="2AD00C67">
      <w:pPr>
        <w:adjustRightInd/>
        <w:snapToGrid/>
        <w:spacing w:after="0" w:line="360" w:lineRule="auto"/>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各中央预算单位，各省、自治区、直辖市、计划单列市财政厅（局），新疆生产建设兵团财政局：</w:t>
      </w:r>
    </w:p>
    <w:p w14:paraId="44C24153">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为贯彻落实《</w:t>
      </w:r>
      <w:r>
        <w:fldChar w:fldCharType="begin"/>
      </w:r>
      <w:r>
        <w:instrText xml:space="preserve"> HYPERLINK "https://www.waizi.org.cn/doc/132590.html" \t "https://www.waizi.org.cn/doc/_blank" \o "国发〔2022〕12号《国务院关于印发扎实稳住经济一揽子政策措施的通知》" </w:instrText>
      </w:r>
      <w:r>
        <w:fldChar w:fldCharType="separate"/>
      </w:r>
      <w:r>
        <w:rPr>
          <w:rFonts w:hint="eastAsia" w:ascii="宋体" w:hAnsi="宋体" w:eastAsia="宋体" w:cs="宋体"/>
          <w:bCs/>
          <w:kern w:val="2"/>
          <w:sz w:val="24"/>
          <w:szCs w:val="24"/>
        </w:rPr>
        <w:t>国务院关于印发扎实稳住经济一揽子政策措施的通知</w:t>
      </w:r>
      <w:r>
        <w:rPr>
          <w:rFonts w:hint="eastAsia" w:ascii="宋体" w:hAnsi="宋体" w:eastAsia="宋体" w:cs="宋体"/>
          <w:bCs/>
          <w:kern w:val="2"/>
          <w:sz w:val="24"/>
          <w:szCs w:val="24"/>
        </w:rPr>
        <w:fldChar w:fldCharType="end"/>
      </w:r>
      <w:r>
        <w:rPr>
          <w:rFonts w:hint="eastAsia" w:ascii="宋体" w:hAnsi="宋体" w:eastAsia="宋体" w:cs="宋体"/>
          <w:bCs/>
          <w:kern w:val="2"/>
          <w:sz w:val="24"/>
          <w:szCs w:val="24"/>
        </w:rPr>
        <w:t>》（</w:t>
      </w:r>
      <w:r>
        <w:fldChar w:fldCharType="begin"/>
      </w:r>
      <w:r>
        <w:instrText xml:space="preserve"> HYPERLINK "https://www.waizi.org.cn/doc/132590.html" \t "https://www.waizi.org.cn/doc/_blank" \o "国发〔2022〕12号《国务院关于印发扎实稳住经济一揽子政策措施的通知》" </w:instrText>
      </w:r>
      <w:r>
        <w:fldChar w:fldCharType="separate"/>
      </w:r>
      <w:r>
        <w:rPr>
          <w:rFonts w:hint="eastAsia" w:ascii="宋体" w:hAnsi="宋体" w:eastAsia="宋体" w:cs="宋体"/>
          <w:bCs/>
          <w:kern w:val="2"/>
          <w:sz w:val="24"/>
          <w:szCs w:val="24"/>
        </w:rPr>
        <w:t>国发〔2022〕12号</w:t>
      </w:r>
      <w:r>
        <w:rPr>
          <w:rFonts w:hint="eastAsia" w:ascii="宋体" w:hAnsi="宋体" w:eastAsia="宋体" w:cs="宋体"/>
          <w:bCs/>
          <w:kern w:val="2"/>
          <w:sz w:val="24"/>
          <w:szCs w:val="24"/>
        </w:rPr>
        <w:fldChar w:fldCharType="end"/>
      </w:r>
      <w:r>
        <w:rPr>
          <w:rFonts w:hint="eastAsia" w:ascii="宋体" w:hAnsi="宋体" w:eastAsia="宋体" w:cs="宋体"/>
          <w:bCs/>
          <w:kern w:val="2"/>
          <w:sz w:val="24"/>
          <w:szCs w:val="24"/>
        </w:rPr>
        <w:t>）有关要求，做好财政政策支持中小企业纾困解难工作，助力经济平稳健康发展，现就加大政府采购支持中小企业力度有关事项通知如下：</w:t>
      </w:r>
    </w:p>
    <w:p w14:paraId="2E539E2A">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一、严格落实支持中小企业政府采购政策。各地区、各部门要按照国务院的统一部署，认真落实《</w:t>
      </w:r>
      <w:r>
        <w:fldChar w:fldCharType="begin"/>
      </w:r>
      <w:r>
        <w:instrText xml:space="preserve"> HYPERLINK "https://www.waizi.org.cn/doc/97301.html" \t "https://www.waizi.org.cn/doc/_blank" \o "财库〔2020〕46号《财政部工业和信息化部关于印发〈政府采购促进中小企业发展管理办法〉的通知》" </w:instrText>
      </w:r>
      <w:r>
        <w:fldChar w:fldCharType="separate"/>
      </w:r>
      <w:r>
        <w:rPr>
          <w:rFonts w:hint="eastAsia" w:ascii="宋体" w:hAnsi="宋体" w:eastAsia="宋体" w:cs="宋体"/>
          <w:bCs/>
          <w:kern w:val="2"/>
          <w:sz w:val="24"/>
          <w:szCs w:val="24"/>
        </w:rPr>
        <w:t>政府采购促进中小企业发展管理办法</w:t>
      </w:r>
      <w:r>
        <w:rPr>
          <w:rFonts w:hint="eastAsia" w:ascii="宋体" w:hAnsi="宋体" w:eastAsia="宋体" w:cs="宋体"/>
          <w:bCs/>
          <w:kern w:val="2"/>
          <w:sz w:val="24"/>
          <w:szCs w:val="24"/>
        </w:rPr>
        <w:fldChar w:fldCharType="end"/>
      </w:r>
      <w:r>
        <w:rPr>
          <w:rFonts w:hint="eastAsia" w:ascii="宋体" w:hAnsi="宋体" w:eastAsia="宋体" w:cs="宋体"/>
          <w:bCs/>
          <w:kern w:val="2"/>
          <w:sz w:val="24"/>
          <w:szCs w:val="24"/>
        </w:rPr>
        <w:t>》（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61BEFAE">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5834257">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822428F">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四、认真做好组织实施。各地区、各部门应当加强组织领导，明确工作责任，细化执行要求，强化监督检查，确保国务院部署落实到位，对通知执行中出现的问题要及时向财政部报告。</w:t>
      </w:r>
    </w:p>
    <w:p w14:paraId="38E77195">
      <w:pPr>
        <w:adjustRightInd/>
        <w:snapToGrid/>
        <w:spacing w:after="0" w:line="360" w:lineRule="auto"/>
        <w:ind w:firstLine="480" w:firstLineChars="200"/>
        <w:jc w:val="both"/>
        <w:textAlignment w:val="baseline"/>
        <w:outlineLvl w:val="9"/>
        <w:rPr>
          <w:rFonts w:ascii="宋体" w:hAnsi="宋体" w:eastAsia="宋体" w:cs="宋体"/>
          <w:bCs/>
          <w:kern w:val="2"/>
          <w:sz w:val="24"/>
          <w:szCs w:val="24"/>
        </w:rPr>
      </w:pPr>
      <w:r>
        <w:rPr>
          <w:rFonts w:hint="eastAsia" w:ascii="宋体" w:hAnsi="宋体" w:eastAsia="宋体" w:cs="宋体"/>
          <w:bCs/>
          <w:kern w:val="2"/>
          <w:sz w:val="24"/>
          <w:szCs w:val="24"/>
        </w:rPr>
        <w:t>本通知自2022年7月1日起执行。</w:t>
      </w:r>
    </w:p>
    <w:p w14:paraId="2C565971">
      <w:pPr>
        <w:adjustRightInd/>
        <w:snapToGrid/>
        <w:spacing w:after="0" w:line="360" w:lineRule="auto"/>
        <w:jc w:val="both"/>
        <w:textAlignment w:val="baseline"/>
        <w:outlineLvl w:val="9"/>
        <w:rPr>
          <w:rFonts w:ascii="宋体" w:hAnsi="宋体" w:eastAsia="宋体" w:cs="宋体"/>
          <w:b/>
          <w:kern w:val="2"/>
          <w:sz w:val="24"/>
          <w:szCs w:val="24"/>
        </w:rPr>
      </w:pPr>
    </w:p>
    <w:p w14:paraId="57FC7704">
      <w:pPr>
        <w:adjustRightInd/>
        <w:snapToGrid/>
        <w:spacing w:after="0" w:line="360" w:lineRule="auto"/>
        <w:jc w:val="center"/>
        <w:textAlignment w:val="baseline"/>
        <w:outlineLvl w:val="9"/>
        <w:rPr>
          <w:rFonts w:ascii="宋体" w:hAnsi="宋体" w:eastAsia="宋体" w:cs="宋体"/>
          <w:b/>
          <w:kern w:val="2"/>
          <w:sz w:val="24"/>
          <w:szCs w:val="24"/>
        </w:rPr>
      </w:pPr>
      <w:r>
        <w:rPr>
          <w:rFonts w:hint="eastAsia" w:ascii="宋体" w:hAnsi="宋体" w:eastAsia="宋体" w:cs="宋体"/>
          <w:b/>
          <w:kern w:val="2"/>
          <w:sz w:val="24"/>
          <w:szCs w:val="24"/>
        </w:rPr>
        <w:br w:type="page"/>
      </w:r>
      <w:bookmarkStart w:id="326" w:name="_Toc14241"/>
      <w:bookmarkStart w:id="327" w:name="_Toc27177"/>
      <w:bookmarkStart w:id="328" w:name="_Toc2021"/>
      <w:bookmarkStart w:id="329" w:name="_Toc21815"/>
      <w:bookmarkStart w:id="330" w:name="_Toc23489"/>
      <w:bookmarkStart w:id="331" w:name="_Toc9693"/>
      <w:bookmarkStart w:id="332" w:name="_Toc27308"/>
      <w:r>
        <w:rPr>
          <w:rFonts w:hint="eastAsia" w:ascii="宋体" w:hAnsi="宋体" w:eastAsia="宋体" w:cs="宋体"/>
          <w:b/>
          <w:bCs/>
          <w:sz w:val="24"/>
          <w:szCs w:val="24"/>
        </w:rPr>
        <w:t>附件19：</w:t>
      </w:r>
      <w:bookmarkEnd w:id="326"/>
      <w:bookmarkEnd w:id="327"/>
      <w:bookmarkEnd w:id="328"/>
      <w:bookmarkEnd w:id="329"/>
      <w:bookmarkEnd w:id="330"/>
      <w:bookmarkEnd w:id="331"/>
      <w:r>
        <w:rPr>
          <w:rFonts w:hint="eastAsia" w:ascii="宋体" w:hAnsi="宋体" w:eastAsia="宋体" w:cs="宋体"/>
          <w:b/>
          <w:kern w:val="2"/>
          <w:sz w:val="24"/>
          <w:szCs w:val="24"/>
        </w:rPr>
        <w:t>中小企业划型标准规定</w:t>
      </w:r>
      <w:bookmarkEnd w:id="332"/>
    </w:p>
    <w:p w14:paraId="03E71218">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520EBC35">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一、根据《中华人民共和国中小企业促进法》和《国务院关于进一步促进中小企业发展的若干意见》(国发〔2009〕36号)，制定本规定。</w:t>
      </w:r>
    </w:p>
    <w:p w14:paraId="6A16203B">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二、中小企业划分为中型、小型、微型三种类型，具体标准根据企业从业人员、营业收入、资产总额等指标，结合行业特点制定。</w:t>
      </w:r>
    </w:p>
    <w:p w14:paraId="32480B84">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它未列明行业（包括科学研究和技术服务业，水利、环境和公共设施管理业，居民服务、修理和其它服务业，社会工作，文化、体育和娱乐业等）。</w:t>
      </w:r>
    </w:p>
    <w:p w14:paraId="736607E6">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四、各行业划型标准为：</w:t>
      </w:r>
    </w:p>
    <w:p w14:paraId="1DB9AD21">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（一）农、林、牧、渔业。营业收入20000万元以下的为中小微型企业。其中，营业收入500万元及以上的为中型企业，营业收入50万元及以上的为小型企业，营业收入50万元以下的为微型企业。</w:t>
      </w:r>
    </w:p>
    <w:p w14:paraId="7E17D3BF">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A538B9">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2B4ABC">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02F5403">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76E8D7">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E05F6A">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A40CBC">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E981A34">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C60754">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2C4C61">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5EE957">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4D89D8">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CB24066">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95AF14">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56D1AB9">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（十六）其它未列明行业。从业人员300人以下的为中小微型企业。其中，从业人员100人及以上的为中型企业；从业人员10人及以上的为小型企业；从业人员10人以下的为微型企业。</w:t>
      </w:r>
    </w:p>
    <w:p w14:paraId="48766426">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五、企业类型的划分以统计部门的统计数据为依据。</w:t>
      </w:r>
    </w:p>
    <w:p w14:paraId="48A81048">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六、本规定适用于在中华人民共和国境内依法设立的各类所有制和各种组织形式的企业。个体工商户和本规定以外的行业，参照本规定进行划型。</w:t>
      </w:r>
    </w:p>
    <w:p w14:paraId="50951E0B">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F4DEBAA">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八、本规定由工业和信息化部、国家统计局会同有关部门根据《国民经济行业分类》修订情况和企业发展变化情况适时修订。</w:t>
      </w:r>
    </w:p>
    <w:p w14:paraId="6F8368E7">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九、本规定由工业和信息化部、国家统计局会同有关部门负责解释。</w:t>
      </w:r>
    </w:p>
    <w:p w14:paraId="2569E3C2">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十、本规定自发布之日起执行，原国家经贸委、原国家计委、财政部和国家统计局2003年颁布的《中小企业标准暂行规定》同时废止。</w:t>
      </w:r>
    </w:p>
    <w:p w14:paraId="08A9ABC4">
      <w:pPr>
        <w:pStyle w:val="7"/>
        <w:ind w:firstLine="0" w:firstLineChars="0"/>
        <w:outlineLvl w:val="9"/>
        <w:rPr>
          <w:rFonts w:hAnsi="宋体" w:eastAsia="宋体" w:cs="宋体"/>
          <w:kern w:val="2"/>
          <w:sz w:val="24"/>
          <w:szCs w:val="24"/>
          <w:lang w:eastAsia="zh-CN"/>
        </w:rPr>
      </w:pPr>
    </w:p>
    <w:p w14:paraId="4C178C17">
      <w:pPr>
        <w:adjustRightInd/>
        <w:snapToGrid/>
        <w:spacing w:after="0" w:line="360" w:lineRule="auto"/>
        <w:jc w:val="center"/>
        <w:textAlignment w:val="baseline"/>
        <w:outlineLvl w:val="9"/>
        <w:rPr>
          <w:rFonts w:ascii="宋体" w:hAnsi="宋体" w:eastAsia="宋体" w:cs="宋体"/>
          <w:b/>
          <w:kern w:val="2"/>
          <w:sz w:val="24"/>
          <w:szCs w:val="24"/>
        </w:rPr>
      </w:pPr>
      <w:bookmarkStart w:id="333" w:name="_Toc21569"/>
      <w:bookmarkStart w:id="334" w:name="_Toc13080"/>
      <w:bookmarkStart w:id="335" w:name="_Toc14193"/>
      <w:bookmarkStart w:id="336" w:name="_Toc25438"/>
      <w:bookmarkStart w:id="337" w:name="_Toc6932"/>
      <w:bookmarkStart w:id="338" w:name="_Toc1484"/>
      <w:bookmarkStart w:id="339" w:name="_Toc29769"/>
      <w:r>
        <w:rPr>
          <w:rFonts w:hint="eastAsia" w:ascii="宋体" w:hAnsi="宋体" w:eastAsia="宋体" w:cs="宋体"/>
          <w:b/>
          <w:bCs/>
          <w:sz w:val="24"/>
          <w:szCs w:val="24"/>
        </w:rPr>
        <w:t>附件20：</w:t>
      </w:r>
      <w:bookmarkEnd w:id="333"/>
      <w:bookmarkEnd w:id="334"/>
      <w:bookmarkEnd w:id="335"/>
      <w:bookmarkEnd w:id="336"/>
      <w:bookmarkEnd w:id="337"/>
      <w:bookmarkEnd w:id="338"/>
      <w:r>
        <w:rPr>
          <w:rFonts w:hint="eastAsia" w:ascii="宋体" w:hAnsi="宋体" w:eastAsia="宋体" w:cs="宋体"/>
          <w:b/>
          <w:kern w:val="2"/>
          <w:sz w:val="24"/>
          <w:szCs w:val="24"/>
        </w:rPr>
        <w:t>三部门联合发布关于促进残疾人就业政府采购政策的通知</w:t>
      </w:r>
      <w:bookmarkEnd w:id="339"/>
    </w:p>
    <w:p w14:paraId="6BFC51C2">
      <w:pPr>
        <w:adjustRightInd/>
        <w:snapToGrid/>
        <w:spacing w:after="0" w:line="360" w:lineRule="auto"/>
        <w:ind w:firstLine="480" w:firstLineChars="200"/>
        <w:jc w:val="center"/>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财库〔2017〕141号</w:t>
      </w:r>
    </w:p>
    <w:p w14:paraId="66511349">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 、民政局、残疾人联合会：</w:t>
      </w:r>
    </w:p>
    <w:p w14:paraId="0334D990">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为了发挥政府采购促进残疾人就业的作用，进一步保障残疾人权益，依照《政府采购法》、《残疾人保障法》等法律法规及相关规定，现就促进残疾人就业政府采购政策通知如下：</w:t>
      </w:r>
    </w:p>
    <w:p w14:paraId="086EDC6A">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一、享受政府采购支持政策的残疾人福利性单位应当同时满足以下条件：</w:t>
      </w:r>
    </w:p>
    <w:p w14:paraId="14533F84">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（一）安置的残疾人占本单位在职职工人数的比例不低于25%（含25%），并且安置的残疾人人数不少于10人（含10人）；</w:t>
      </w:r>
    </w:p>
    <w:p w14:paraId="4BBB33CE">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（二）依法与安置的每位残疾人签订了一年以上（含一年）的劳动合同或服务协议；</w:t>
      </w:r>
    </w:p>
    <w:p w14:paraId="664AE97A">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（三）为安置的每位残疾人按月足额缴纳了基本养老保险、基本医疗保险、失业保险、工伤保险和生育保险等社会保险费；</w:t>
      </w:r>
    </w:p>
    <w:p w14:paraId="47133F38">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（四）通过银行等金融机构向安置的每位残疾人，按月支付了不低于单位所在区县适用的经省级人民政府批准的月最低工资标准的工资；</w:t>
      </w:r>
    </w:p>
    <w:p w14:paraId="6BE2AEB9">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（五）提供本单位制造的货物、承担的工程或者服务（以下简称产品），或者提供其他残疾人福利性单位制造的货物（不包括使用非残疾人福利性单位注册商标的货物）。</w:t>
      </w:r>
    </w:p>
    <w:p w14:paraId="2EBF92BB">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FE7E29D">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C326067">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中标、成交供应商为残疾人福利性单位的，采购人或者其委托的采购代理机构应当随中标、成交结果同时公告其《残疾人福利性单位声明函》，接受社会监督。</w:t>
      </w:r>
    </w:p>
    <w:p w14:paraId="4D4544CC">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供应商提供的《残疾人福利性单位声明函》与事实不符的，依照《政府采购法》第七十七条第一款的规定追究法律责任。</w:t>
      </w:r>
    </w:p>
    <w:p w14:paraId="2C3A8854">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D20FF31">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四、采购人采购公开招标数额标准以上的货物或者服务，因落实促进残疾人就业政策的需要，依法履行有关报批程序后，可采用公开招标以外的采购方式。</w:t>
      </w:r>
    </w:p>
    <w:p w14:paraId="71D200EC">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46C62F">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744A8FD">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七、本通知自2017年10月1日起执行。</w:t>
      </w:r>
    </w:p>
    <w:p w14:paraId="57FC2A8C">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1BE4F333">
      <w:pPr>
        <w:adjustRightInd/>
        <w:snapToGrid/>
        <w:spacing w:after="0" w:line="360" w:lineRule="auto"/>
        <w:ind w:firstLine="3120" w:firstLineChars="13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财政部 民政部 中国残疾人联合会</w:t>
      </w:r>
    </w:p>
    <w:p w14:paraId="76C17A91">
      <w:pPr>
        <w:adjustRightInd/>
        <w:snapToGrid/>
        <w:spacing w:after="0" w:line="360" w:lineRule="auto"/>
        <w:ind w:firstLine="4560" w:firstLineChars="19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2017年8月22日</w:t>
      </w:r>
    </w:p>
    <w:p w14:paraId="24C770E1">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0CE3E72F">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04A63E80">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3B7E87AB">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4BA1CB98">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62763572">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3C4AD46F">
      <w:pPr>
        <w:adjustRightInd/>
        <w:snapToGrid/>
        <w:spacing w:after="0" w:line="360" w:lineRule="auto"/>
        <w:textAlignment w:val="baseline"/>
        <w:outlineLvl w:val="9"/>
        <w:rPr>
          <w:rFonts w:ascii="宋体" w:hAnsi="宋体" w:eastAsia="宋体" w:cs="宋体"/>
          <w:kern w:val="2"/>
          <w:sz w:val="24"/>
          <w:szCs w:val="24"/>
        </w:rPr>
      </w:pPr>
    </w:p>
    <w:p w14:paraId="1B6803E7">
      <w:pPr>
        <w:adjustRightInd/>
        <w:snapToGrid/>
        <w:spacing w:after="0" w:line="360" w:lineRule="auto"/>
        <w:jc w:val="center"/>
        <w:textAlignment w:val="baseline"/>
        <w:outlineLvl w:val="9"/>
        <w:rPr>
          <w:rFonts w:ascii="宋体" w:hAnsi="宋体" w:eastAsia="宋体" w:cs="宋体"/>
          <w:b/>
          <w:bCs/>
          <w:kern w:val="2"/>
          <w:sz w:val="24"/>
          <w:szCs w:val="24"/>
        </w:rPr>
      </w:pPr>
      <w:bookmarkStart w:id="340" w:name="_Toc2395"/>
      <w:bookmarkStart w:id="341" w:name="_Toc5570"/>
      <w:bookmarkStart w:id="342" w:name="_Toc16332"/>
      <w:bookmarkStart w:id="343" w:name="_Toc9600"/>
      <w:bookmarkStart w:id="344" w:name="_Toc12972"/>
      <w:bookmarkStart w:id="345" w:name="_Toc18180"/>
      <w:bookmarkStart w:id="346" w:name="_Toc31795"/>
      <w:r>
        <w:rPr>
          <w:rFonts w:hint="eastAsia" w:ascii="宋体" w:hAnsi="宋体" w:eastAsia="宋体" w:cs="宋体"/>
          <w:b/>
          <w:bCs/>
          <w:sz w:val="24"/>
          <w:szCs w:val="24"/>
        </w:rPr>
        <w:t>附件21：</w:t>
      </w:r>
      <w:bookmarkEnd w:id="340"/>
      <w:bookmarkEnd w:id="341"/>
      <w:bookmarkEnd w:id="342"/>
      <w:bookmarkEnd w:id="343"/>
      <w:bookmarkEnd w:id="344"/>
      <w:bookmarkEnd w:id="345"/>
      <w:bookmarkStart w:id="347" w:name="_Toc19799"/>
      <w:bookmarkStart w:id="348" w:name="_Toc30996"/>
      <w:bookmarkStart w:id="349" w:name="_Toc15225"/>
      <w:bookmarkStart w:id="350" w:name="_Toc4234"/>
      <w:r>
        <w:rPr>
          <w:rFonts w:hint="eastAsia" w:ascii="宋体" w:hAnsi="宋体" w:eastAsia="宋体" w:cs="宋体"/>
          <w:b/>
          <w:bCs/>
          <w:kern w:val="2"/>
          <w:sz w:val="24"/>
          <w:szCs w:val="24"/>
        </w:rPr>
        <w:t>关于政府采购支持监狱企业发展有关问题的通知</w:t>
      </w:r>
      <w:bookmarkEnd w:id="346"/>
      <w:bookmarkEnd w:id="347"/>
      <w:bookmarkEnd w:id="348"/>
      <w:bookmarkEnd w:id="349"/>
      <w:bookmarkEnd w:id="350"/>
    </w:p>
    <w:p w14:paraId="3E558DB8">
      <w:pPr>
        <w:adjustRightInd/>
        <w:snapToGrid/>
        <w:spacing w:after="0" w:line="360" w:lineRule="auto"/>
        <w:ind w:firstLine="480" w:firstLineChars="200"/>
        <w:jc w:val="center"/>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财库[2014]68号</w:t>
      </w:r>
    </w:p>
    <w:p w14:paraId="314D09FF">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党中央有关部门，国务院各部委、各直属机构， 全国人大常委会办公厅 ， 全国政协办公厅，高法院，高检院，有关人民团 体， 中央国家机关政府采购中心，中共中央直属机关采购中心，全国人大机关采购中心，各省、自治区、直辖市、计划单列市财政厅(局)、司法厅(局)，新疆生产建设兵团财务局、司法局、监狱管理局:</w:t>
      </w:r>
    </w:p>
    <w:p w14:paraId="4924B1DD">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3FB338">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66CDF8">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二、在政府采购活动中，监狱企业视同小型、微型企业，享受预留份额、评审中价格扣除等政府采购促进中小企业发展的政府采购政策。向监狱企业采购的金额，计入面向中小企业采购的统计数据。</w:t>
      </w:r>
    </w:p>
    <w:p w14:paraId="58BBE506">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2B4EE4F">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四、各地区可以结合本地区实际，对监狱企业生产的办公用品、家具用具、车辆维修和提供的保养服务、消防产品等，提出预留份额等政府采购支持措施，加大对监狱企业产品的采购力度。</w:t>
      </w:r>
    </w:p>
    <w:p w14:paraId="238F98FB">
      <w:pPr>
        <w:adjustRightInd/>
        <w:snapToGrid/>
        <w:spacing w:after="0" w:line="360" w:lineRule="auto"/>
        <w:ind w:firstLine="480" w:firstLineChars="200"/>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30B402D">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03A7911F">
      <w:pPr>
        <w:adjustRightInd/>
        <w:snapToGrid/>
        <w:spacing w:after="0" w:line="360" w:lineRule="auto"/>
        <w:ind w:firstLine="480" w:firstLineChars="200"/>
        <w:textAlignment w:val="baseline"/>
        <w:outlineLvl w:val="9"/>
        <w:rPr>
          <w:rFonts w:ascii="宋体" w:hAnsi="宋体" w:eastAsia="宋体" w:cs="宋体"/>
          <w:kern w:val="2"/>
          <w:sz w:val="24"/>
          <w:szCs w:val="24"/>
        </w:rPr>
      </w:pPr>
    </w:p>
    <w:p w14:paraId="5C90B139">
      <w:pPr>
        <w:adjustRightInd/>
        <w:snapToGrid/>
        <w:spacing w:after="0" w:line="360" w:lineRule="auto"/>
        <w:ind w:right="120" w:firstLine="480" w:firstLineChars="200"/>
        <w:jc w:val="right"/>
        <w:textAlignment w:val="baseline"/>
        <w:outlineLvl w:val="9"/>
        <w:rPr>
          <w:rFonts w:ascii="宋体" w:hAnsi="宋体" w:eastAsia="宋体" w:cs="宋体"/>
          <w:kern w:val="2"/>
          <w:sz w:val="24"/>
          <w:szCs w:val="24"/>
        </w:rPr>
      </w:pPr>
      <w:r>
        <w:rPr>
          <w:rFonts w:hint="eastAsia" w:ascii="宋体" w:hAnsi="宋体" w:eastAsia="宋体" w:cs="宋体"/>
          <w:kern w:val="2"/>
          <w:sz w:val="24"/>
          <w:szCs w:val="24"/>
        </w:rPr>
        <w:t>财政部 司法部</w:t>
      </w:r>
    </w:p>
    <w:p w14:paraId="16896B62">
      <w:pPr>
        <w:adjustRightInd/>
        <w:snapToGrid/>
        <w:spacing w:after="0" w:line="360" w:lineRule="auto"/>
        <w:ind w:firstLine="480" w:firstLineChars="200"/>
        <w:jc w:val="right"/>
        <w:textAlignment w:val="baseline"/>
        <w:outlineLvl w:val="9"/>
        <w:rPr>
          <w:lang w:val="en-US"/>
        </w:rPr>
      </w:pPr>
      <w:r>
        <w:rPr>
          <w:rFonts w:hint="eastAsia" w:ascii="宋体" w:hAnsi="宋体" w:eastAsia="宋体" w:cs="宋体"/>
          <w:kern w:val="2"/>
          <w:sz w:val="24"/>
          <w:szCs w:val="24"/>
        </w:rPr>
        <w:t>2014年6月10日</w:t>
      </w:r>
    </w:p>
    <w:p w14:paraId="6E4B33B4">
      <w:pPr>
        <w:pStyle w:val="18"/>
        <w:spacing w:line="220" w:lineRule="atLeast"/>
        <w:outlineLvl w:val="9"/>
        <w:rPr>
          <w:rFonts w:ascii="宋体" w:hAnsi="宋体" w:eastAsia="宋体" w:cs="仿宋"/>
        </w:rPr>
      </w:pPr>
    </w:p>
    <w:sectPr>
      <w:pgSz w:w="11906" w:h="16838"/>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11B91BD-8EA2-406C-9001-F8675D66069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2C7C9C1-B828-4EA7-9026-76838E481451}"/>
  </w:font>
  <w:font w:name="Tahoma">
    <w:panose1 w:val="020B0604030504040204"/>
    <w:charset w:val="00"/>
    <w:family w:val="swiss"/>
    <w:pitch w:val="default"/>
    <w:sig w:usb0="E1002EFF" w:usb1="C000605B" w:usb2="00000029" w:usb3="00000000" w:csb0="200101FF" w:csb1="20280000"/>
    <w:embedRegular r:id="rId3" w:fontKey="{4172DA4B-07DA-40A9-A00D-1B353585DD5D}"/>
  </w:font>
  <w:font w:name="微软雅黑">
    <w:panose1 w:val="020B0503020204020204"/>
    <w:charset w:val="86"/>
    <w:family w:val="swiss"/>
    <w:pitch w:val="default"/>
    <w:sig w:usb0="80000287" w:usb1="280F3C52" w:usb2="00000016" w:usb3="00000000" w:csb0="0004001F" w:csb1="00000000"/>
    <w:embedRegular r:id="rId4" w:fontKey="{F71329C6-6152-4546-BD97-FD38691F649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02A089CF-0518-4B6F-8271-170FA28D4344}"/>
  </w:font>
  <w:font w:name="monospace">
    <w:altName w:val="Segoe Print"/>
    <w:panose1 w:val="00000000000000000000"/>
    <w:charset w:val="00"/>
    <w:family w:val="auto"/>
    <w:pitch w:val="default"/>
    <w:sig w:usb0="00000000" w:usb1="00000000" w:usb2="00000000"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3B528D29-F70D-46FB-B538-0658F9CFA28F}"/>
  </w:font>
  <w:font w:name="华文楷体">
    <w:panose1 w:val="02010600040101010101"/>
    <w:charset w:val="86"/>
    <w:family w:val="auto"/>
    <w:pitch w:val="default"/>
    <w:sig w:usb0="00000287" w:usb1="080F0000" w:usb2="00000000" w:usb3="00000000" w:csb0="0004009F" w:csb1="DFD70000"/>
    <w:embedRegular r:id="rId7" w:fontKey="{A4DB8DEC-156E-4001-91DC-F3A7CE612C54}"/>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80AD">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64795"/>
              <wp:effectExtent l="0" t="0" r="0" b="0"/>
              <wp:wrapNone/>
              <wp:docPr id="9" name="文本框 19"/>
              <wp:cNvGraphicFramePr/>
              <a:graphic xmlns:a="http://schemas.openxmlformats.org/drawingml/2006/main">
                <a:graphicData uri="http://schemas.microsoft.com/office/word/2010/wordprocessingShape">
                  <wps:wsp>
                    <wps:cNvSpPr/>
                    <wps:spPr>
                      <a:xfrm>
                        <a:off x="0" y="0"/>
                        <a:ext cx="114935" cy="264795"/>
                      </a:xfrm>
                      <a:prstGeom prst="rect">
                        <a:avLst/>
                      </a:prstGeom>
                      <a:noFill/>
                      <a:ln>
                        <a:noFill/>
                      </a:ln>
                    </wps:spPr>
                    <wps:txbx>
                      <w:txbxContent>
                        <w:p w14:paraId="7A6403C2">
                          <w:pPr>
                            <w:pStyle w:val="20"/>
                          </w:pPr>
                        </w:p>
                      </w:txbxContent>
                    </wps:txbx>
                    <wps:bodyPr wrap="none" lIns="0" tIns="0" rIns="0" bIns="0" upright="1">
                      <a:spAutoFit/>
                    </wps:bodyPr>
                  </wps:wsp>
                </a:graphicData>
              </a:graphic>
            </wp:anchor>
          </w:drawing>
        </mc:Choice>
        <mc:Fallback>
          <w:pict>
            <v:rect id="文本框 19" o:spid="_x0000_s1026" o:spt="1" style="position:absolute;left:0pt;margin-top:0pt;height:20.85pt;width:9.05pt;mso-position-horizontal:center;mso-position-horizontal-relative:margin;mso-wrap-style:none;z-index:251663360;mso-width-relative:page;mso-height-relative:page;" filled="f" stroked="f" coordsize="21600,21600" o:gfxdata="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SBiFHRAAAAAwEAAA8AAAAAAAAAAQAgAAAAIgAAAGRycy9kb3ducmV2&#10;LnhtbFBLAQIUABQAAAAIAIdO4kCODitHygEAAI4DAAAOAAAAAAAAAAEAIAAAACABAABkcnMvZTJv&#10;RG9jLnhtbFBLBQYAAAAABgAGAFkBAABcBQAAAAA=&#10;">
              <v:fill on="f" focussize="0,0"/>
              <v:stroke on="f"/>
              <v:imagedata o:title=""/>
              <o:lock v:ext="edit" aspectratio="f"/>
              <v:textbox inset="0mm,0mm,0mm,0mm" style="mso-fit-shape-to-text:t;">
                <w:txbxContent>
                  <w:p w14:paraId="7A6403C2">
                    <w:pPr>
                      <w:pStyle w:val="2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435B">
    <w:pPr>
      <w:pStyle w:val="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9A03DDA">
                          <w:pPr>
                            <w:pStyle w:val="20"/>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3D0nEAQAAkA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KDlzwtKNX75/u/z4dfn5&#10;lb1N/vQBK2p7DA8wZUhhEju0YNObZLAhe3q+eqqGyCQVy/VqvV6S3ZLO5oRwiqfPA2C8V96yFNQc&#10;6NKyl+L0AePYOrekac7faWOoLirj/ioQZqoUifHIMUVx2A8T8b1vziS3p/uuuaP15sy8d2RnWo05&#10;gDnYz8ExgD50RK3M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Z3D0nEAQAAkAMAAA4AAAAAAAAAAQAgAAAAHwEAAGRycy9lMm9Eb2MueG1s&#10;UEsFBgAAAAAGAAYAWQEAAFUFAAAAAA==&#10;">
              <v:fill on="f" focussize="0,0"/>
              <v:stroke on="f"/>
              <v:imagedata o:title=""/>
              <o:lock v:ext="edit" aspectratio="f"/>
              <v:textbox inset="0mm,0mm,0mm,0mm" style="mso-fit-shape-to-text:t;">
                <w:txbxContent>
                  <w:p w14:paraId="69A03DDA">
                    <w:pPr>
                      <w:pStyle w:val="20"/>
                    </w:pPr>
                    <w:r>
                      <w:fldChar w:fldCharType="begin"/>
                    </w:r>
                    <w:r>
                      <w:instrText xml:space="preserve"> PAGE  \* MERGEFORMAT </w:instrText>
                    </w:r>
                    <w:r>
                      <w:fldChar w:fldCharType="separate"/>
                    </w:r>
                    <w:r>
                      <w:t>20</w:t>
                    </w:r>
                    <w:r>
                      <w:fldChar w:fldCharType="end"/>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264795"/>
              <wp:effectExtent l="0" t="0" r="0" b="0"/>
              <wp:wrapNone/>
              <wp:docPr id="10" name="文本框 4"/>
              <wp:cNvGraphicFramePr/>
              <a:graphic xmlns:a="http://schemas.openxmlformats.org/drawingml/2006/main">
                <a:graphicData uri="http://schemas.microsoft.com/office/word/2010/wordprocessingShape">
                  <wps:wsp>
                    <wps:cNvSpPr/>
                    <wps:spPr>
                      <a:xfrm>
                        <a:off x="0" y="0"/>
                        <a:ext cx="114935" cy="264795"/>
                      </a:xfrm>
                      <a:prstGeom prst="rect">
                        <a:avLst/>
                      </a:prstGeom>
                      <a:noFill/>
                      <a:ln>
                        <a:noFill/>
                      </a:ln>
                    </wps:spPr>
                    <wps:txbx>
                      <w:txbxContent>
                        <w:p w14:paraId="0BC35BBF">
                          <w:pPr>
                            <w:pStyle w:val="20"/>
                          </w:pPr>
                        </w:p>
                      </w:txbxContent>
                    </wps:txbx>
                    <wps:bodyPr wrap="none" lIns="0" tIns="0" rIns="0" bIns="0" upright="1">
                      <a:spAutoFit/>
                    </wps:bodyPr>
                  </wps:wsp>
                </a:graphicData>
              </a:graphic>
            </wp:anchor>
          </w:drawing>
        </mc:Choice>
        <mc:Fallback>
          <w:pict>
            <v:rect id="文本框 4" o:spid="_x0000_s1026" o:spt="1" style="position:absolute;left:0pt;margin-top:0pt;height:20.85pt;width:9.05pt;mso-position-horizontal:center;mso-position-horizontal-relative:margin;mso-wrap-style:none;z-index:251664384;mso-width-relative:page;mso-height-relative:page;" filled="f" stroked="f" coordsize="21600,21600" o:gfxdata="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SBiFHRAAAAAwEAAA8AAAAAAAAAAQAgAAAAIgAAAGRycy9kb3ducmV2&#10;LnhtbFBLAQIUABQAAAAIAIdO4kD6r4MjygEAAI4DAAAOAAAAAAAAAAEAIAAAACABAABkcnMvZTJv&#10;RG9jLnhtbFBLBQYAAAAABgAGAFkBAABcBQAAAAA=&#10;">
              <v:fill on="f" focussize="0,0"/>
              <v:stroke on="f"/>
              <v:imagedata o:title=""/>
              <o:lock v:ext="edit" aspectratio="f"/>
              <v:textbox inset="0mm,0mm,0mm,0mm" style="mso-fit-shape-to-text:t;">
                <w:txbxContent>
                  <w:p w14:paraId="0BC35BBF">
                    <w:pPr>
                      <w:pStyle w:val="2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0E46">
    <w:pPr>
      <w:pStyle w:val="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B3A3D6">
                          <w:pPr>
                            <w:pStyle w:val="2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f7pzEAQAAkA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Vpw5YenGL9+/XX78uvz8&#10;yt4mf/qAFbU9hgeYMqQwiR1asOlNMtiQPT1fPVVDZJKKy/VqvS7Jbklnc0I4xdPnATDeK29ZCmoO&#10;dGnZS3H6gHFsnVvSNOfvtDFUF5VxfxUIM1WKxHjkmKI47IeJ+N43Z5Lb033X3NF6c2beO7IzrcYc&#10;wBzs5+AYQB86orbM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kf7pzEAQAAkAMAAA4AAAAAAAAAAQAgAAAAHwEAAGRycy9lMm9Eb2MueG1s&#10;UEsFBgAAAAAGAAYAWQEAAFUFAAAAAA==&#10;">
              <v:fill on="f" focussize="0,0"/>
              <v:stroke on="f"/>
              <v:imagedata o:title=""/>
              <o:lock v:ext="edit" aspectratio="f"/>
              <v:textbox inset="0mm,0mm,0mm,0mm" style="mso-fit-shape-to-text:t;">
                <w:txbxContent>
                  <w:p w14:paraId="53B3A3D6">
                    <w:pPr>
                      <w:pStyle w:val="2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79D7">
    <w:pPr>
      <w:kinsoku w:val="0"/>
      <w:autoSpaceDE w:val="0"/>
      <w:autoSpaceDN w:val="0"/>
      <w:spacing w:after="0" w:line="188" w:lineRule="auto"/>
      <w:ind w:left="4078"/>
      <w:textAlignment w:val="baseline"/>
      <w:rPr>
        <w:rFonts w:eastAsia="Tahoma" w:cs="Tahoma"/>
        <w:snapToGrid w:val="0"/>
        <w:color w:val="000000"/>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2583815</wp:posOffset>
              </wp:positionH>
              <wp:positionV relativeFrom="paragraph">
                <wp:posOffset>-202565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80A14">
                          <w:pPr>
                            <w:pStyle w:val="2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45pt;margin-top:-15.95pt;height:144pt;width:144pt;mso-position-horizontal-relative:margin;mso-wrap-style:none;z-index:251670528;mso-width-relative:page;mso-height-relative:page;" filled="f" stroked="f" coordsize="21600,21600" o:gfxdata="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dZi92AAAAAsBAAAPAAAAAAAAAAEAIAAAACIAAABkcnMvZG93bnJldi54&#10;bWxQSwECFAAUAAAACACHTuJAYa2EcjMCAABjBAAADgAAAAAAAAABACAAAAAnAQAAZHJzL2Uyb0Rv&#10;Yy54bWxQSwUGAAAAAAYABgBZAQAAzAUAAAAA&#10;">
              <v:fill on="f" focussize="0,0"/>
              <v:stroke on="f" weight="0.5pt"/>
              <v:imagedata o:title=""/>
              <o:lock v:ext="edit" aspectratio="f"/>
              <v:textbox inset="0mm,0mm,0mm,0mm" style="mso-fit-shape-to-text:t;">
                <w:txbxContent>
                  <w:p w14:paraId="73B80A14">
                    <w:pPr>
                      <w:pStyle w:val="2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00FD">
    <w:pPr>
      <w:spacing w:line="194" w:lineRule="auto"/>
      <w:ind w:left="4284"/>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FC0CD">
                          <w:pPr>
                            <w:pStyle w:val="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68FC0CD">
                    <w:pPr>
                      <w:pStyle w:val="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E072">
    <w:pPr>
      <w:spacing w:line="194" w:lineRule="auto"/>
      <w:ind w:left="473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69900">
                          <w:pPr>
                            <w:pStyle w:val="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7969900">
                    <w:pPr>
                      <w:pStyle w:val="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8919A">
    <w:pPr>
      <w:spacing w:line="194" w:lineRule="auto"/>
      <w:ind w:left="4284"/>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1C3AD">
                          <w:pPr>
                            <w:pStyle w:val="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81C3AD">
                    <w:pPr>
                      <w:pStyle w:val="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88420">
    <w:pPr>
      <w:pStyle w:val="11"/>
      <w:spacing w:line="14" w:lineRule="auto"/>
      <w:rPr>
        <w:b w:val="0"/>
        <w:sz w:val="20"/>
      </w:rPr>
    </w:pPr>
    <w:r>
      <w:rPr>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24790" cy="139700"/>
              <wp:effectExtent l="0" t="0" r="0" b="0"/>
              <wp:wrapNone/>
              <wp:docPr id="14" name="文本框 37"/>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a:effectLst/>
                    </wps:spPr>
                    <wps:txbx>
                      <w:txbxContent>
                        <w:p w14:paraId="12CA7F7B">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120</w:t>
                          </w:r>
                          <w:r>
                            <w:fldChar w:fldCharType="end"/>
                          </w:r>
                        </w:p>
                      </w:txbxContent>
                    </wps:txbx>
                    <wps:bodyPr lIns="0" tIns="0" rIns="0" bIns="0" upright="1"/>
                  </wps:wsp>
                </a:graphicData>
              </a:graphic>
            </wp:anchor>
          </w:drawing>
        </mc:Choice>
        <mc:Fallback>
          <w:pict>
            <v:shape id="文本框 37" o:spid="_x0000_s1026" o:spt="202" type="#_x0000_t202" style="position:absolute;left:0pt;margin-top:0pt;height:11pt;width:17.7pt;mso-position-horizontal:center;mso-position-horizontal-relative:margin;z-index:251667456;mso-width-relative:page;mso-height-relative:page;" filled="f" stroked="f" coordsize="21600,21600" o:gfxdata="UEsDBAoAAAAAAIdO4kAAAAAAAAAAAAAAAAAEAAAAZHJzL1BLAwQUAAAACACHTuJA41Ez2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RM9vUAAAAAwEAAA8AAAAAAAAAAQAgAAAAIgAAAGRycy9kb3ducmV2LnhtbFBL&#10;AQIUABQAAAAIAIdO4kAbUYSbwQEAAIEDAAAOAAAAAAAAAAEAIAAAACMBAABkcnMvZTJvRG9jLnht&#10;bFBLBQYAAAAABgAGAFkBAABWBQAAAAA=&#10;">
              <v:fill on="f" focussize="0,0"/>
              <v:stroke on="f"/>
              <v:imagedata o:title=""/>
              <o:lock v:ext="edit" aspectratio="f"/>
              <v:textbox inset="0mm,0mm,0mm,0mm">
                <w:txbxContent>
                  <w:p w14:paraId="12CA7F7B">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2710">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9E1E">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761F">
    <w:pPr>
      <w:pStyle w:val="11"/>
      <w:spacing w:line="14" w:lineRule="auto"/>
    </w:pPr>
    <w:r>
      <mc:AlternateContent>
        <mc:Choice Requires="wpg">
          <w:drawing>
            <wp:anchor distT="0" distB="0" distL="114300" distR="114300" simplePos="0" relativeHeight="251659264" behindDoc="1" locked="0" layoutInCell="1" allowOverlap="1">
              <wp:simplePos x="0" y="0"/>
              <wp:positionH relativeFrom="page">
                <wp:posOffset>1424305</wp:posOffset>
              </wp:positionH>
              <wp:positionV relativeFrom="page">
                <wp:posOffset>96520</wp:posOffset>
              </wp:positionV>
              <wp:extent cx="21590" cy="20955"/>
              <wp:effectExtent l="4445" t="4445" r="12065" b="12700"/>
              <wp:wrapNone/>
              <wp:docPr id="3" name="组合 8"/>
              <wp:cNvGraphicFramePr/>
              <a:graphic xmlns:a="http://schemas.openxmlformats.org/drawingml/2006/main">
                <a:graphicData uri="http://schemas.microsoft.com/office/word/2010/wordprocessingGroup">
                  <wpg:wgp>
                    <wpg:cNvGrpSpPr/>
                    <wpg:grpSpPr>
                      <a:xfrm>
                        <a:off x="0" y="0"/>
                        <a:ext cx="21590" cy="20955"/>
                        <a:chOff x="2244" y="152"/>
                        <a:chExt cx="33" cy="33"/>
                      </a:xfrm>
                    </wpg:grpSpPr>
                    <wps:wsp>
                      <wps:cNvPr id="1" name="任意多边形 6"/>
                      <wps:cNvSpPr/>
                      <wps:spPr>
                        <a:xfrm>
                          <a:off x="2244" y="152"/>
                          <a:ext cx="33" cy="33"/>
                        </a:xfrm>
                        <a:custGeom>
                          <a:avLst/>
                          <a:gdLst/>
                          <a:ahLst/>
                          <a:cxnLst/>
                          <a:rect l="0" t="0" r="0" b="0"/>
                          <a:pathLst>
                            <a:path w="33" h="33">
                              <a:moveTo>
                                <a:pt x="32" y="17"/>
                              </a:moveTo>
                              <a:lnTo>
                                <a:pt x="32" y="8"/>
                              </a:lnTo>
                              <a:lnTo>
                                <a:pt x="25" y="0"/>
                              </a:lnTo>
                              <a:lnTo>
                                <a:pt x="16" y="0"/>
                              </a:lnTo>
                              <a:lnTo>
                                <a:pt x="7" y="0"/>
                              </a:lnTo>
                              <a:lnTo>
                                <a:pt x="0" y="8"/>
                              </a:lnTo>
                              <a:lnTo>
                                <a:pt x="0" y="17"/>
                              </a:lnTo>
                              <a:lnTo>
                                <a:pt x="0" y="26"/>
                              </a:lnTo>
                              <a:lnTo>
                                <a:pt x="7" y="33"/>
                              </a:lnTo>
                              <a:lnTo>
                                <a:pt x="16" y="33"/>
                              </a:lnTo>
                              <a:lnTo>
                                <a:pt x="25" y="33"/>
                              </a:lnTo>
                              <a:lnTo>
                                <a:pt x="32" y="26"/>
                              </a:lnTo>
                              <a:lnTo>
                                <a:pt x="32" y="17"/>
                              </a:lnTo>
                              <a:close/>
                            </a:path>
                          </a:pathLst>
                        </a:custGeom>
                        <a:noFill/>
                        <a:ln w="9525" cap="flat" cmpd="sng">
                          <a:solidFill>
                            <a:srgbClr val="000000"/>
                          </a:solidFill>
                          <a:prstDash val="solid"/>
                          <a:headEnd type="none" w="med" len="med"/>
                          <a:tailEnd type="none" w="med" len="med"/>
                        </a:ln>
                      </wps:spPr>
                      <wps:bodyPr upright="1"/>
                    </wps:wsp>
                    <wps:wsp>
                      <wps:cNvPr id="2" name="直接连接符 7"/>
                      <wps:cNvCnPr/>
                      <wps:spPr>
                        <a:xfrm>
                          <a:off x="2244" y="169"/>
                          <a:ext cx="33" cy="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8" o:spid="_x0000_s1026" o:spt="203" style="position:absolute;left:0pt;margin-left:112.15pt;margin-top:7.6pt;height:1.65pt;width:1.7pt;mso-position-horizontal-relative:page;mso-position-vertical-relative:page;z-index:-251657216;mso-width-relative:page;mso-height-relative:page;" coordorigin="2244,152" coordsize="33,33" o:gfxdata="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h+1VZ2QAAAAkBAAAPAAAAAAAAAAEAIAAAACIAAABkcnMvZG93bnJldi54bWxQSwECFAAUAAAA&#10;CACHTuJAKzdvr0MDAABuCQAADgAAAAAAAAABACAAAAAoAQAAZHJzL2Uyb0RvYy54bWxQSwUGAAAA&#10;AAYABgBZAQAA3QYAAAAA&#10;">
              <o:lock v:ext="edit" aspectratio="f"/>
              <v:shape id="任意多边形 6" o:spid="_x0000_s1026" o:spt="100" style="position:absolute;left:2244;top:152;height:33;width:33;" filled="f" stroked="t" coordsize="33,33" o:gfxdata="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RNdugAAANoA&#10;AAAPAAAAAAAAAAEAIAAAACIAAABkcnMvZG93bnJldi54bWxQSwECFAAUAAAACACHTuJAMy8FnjsA&#10;AAA5AAAAEAAAAAAAAAABACAAAAAJAQAAZHJzL3NoYXBleG1sLnhtbFBLBQYAAAAABgAGAFsBAACz&#10;AwAAAAA=&#10;" path="m32,17l32,8,25,0,16,0,7,0,0,8,0,17,0,26,7,33,16,33,25,33,32,26,32,17xe">
                <v:fill on="f" focussize="0,0"/>
                <v:stroke color="#000000" joinstyle="round"/>
                <v:imagedata o:title=""/>
                <o:lock v:ext="edit" aspectratio="f"/>
              </v:shape>
              <v:line id="直接连接符 7" o:spid="_x0000_s1026" o:spt="20" style="position:absolute;left:2244;top:169;height:0;width:33;"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335280</wp:posOffset>
              </wp:positionV>
              <wp:extent cx="533400" cy="170815"/>
              <wp:effectExtent l="0" t="0" r="0" b="0"/>
              <wp:wrapNone/>
              <wp:docPr id="4" name="文本框 1"/>
              <wp:cNvGraphicFramePr/>
              <a:graphic xmlns:a="http://schemas.openxmlformats.org/drawingml/2006/main">
                <a:graphicData uri="http://schemas.microsoft.com/office/word/2010/wordprocessingShape">
                  <wps:wsp>
                    <wps:cNvSpPr/>
                    <wps:spPr>
                      <a:xfrm>
                        <a:off x="0" y="0"/>
                        <a:ext cx="533400" cy="170815"/>
                      </a:xfrm>
                      <a:prstGeom prst="rect">
                        <a:avLst/>
                      </a:prstGeom>
                      <a:noFill/>
                      <a:ln>
                        <a:noFill/>
                      </a:ln>
                    </wps:spPr>
                    <wps:txbx>
                      <w:txbxContent>
                        <w:p w14:paraId="6ECB8741">
                          <w:pPr>
                            <w:pStyle w:val="11"/>
                            <w:spacing w:line="248" w:lineRule="exact"/>
                          </w:pPr>
                        </w:p>
                      </w:txbxContent>
                    </wps:txbx>
                    <wps:bodyPr lIns="0" tIns="0" rIns="0" bIns="0" upright="1"/>
                  </wps:wsp>
                </a:graphicData>
              </a:graphic>
            </wp:anchor>
          </w:drawing>
        </mc:Choice>
        <mc:Fallback>
          <w:pict>
            <v:rect id="文本框 1" o:spid="_x0000_s1026" o:spt="1" style="position:absolute;left:0pt;margin-left:35pt;margin-top:26.4pt;height:13.45pt;width:42pt;mso-position-horizontal-relative:page;mso-position-vertical-relative:page;z-index:-251656192;mso-width-relative:page;mso-height-relative:page;" filled="f" stroked="f" coordsize="21600,21600" o:gfxdata="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tz5uNgAAAAIAQAADwAAAAAAAAABACAAAAAiAAAAZHJzL2Rvd25yZXYueG1sUEsBAhQAFAAAAAgA&#10;h07iQHGVpLmzAQAAZwMAAA4AAAAAAAAAAQAgAAAAJwEAAGRycy9lMm9Eb2MueG1sUEsFBgAAAAAG&#10;AAYAWQEAAEwFAAAAAA==&#10;">
              <v:fill on="f" focussize="0,0"/>
              <v:stroke on="f"/>
              <v:imagedata o:title=""/>
              <o:lock v:ext="edit" aspectratio="f"/>
              <v:textbox inset="0mm,0mm,0mm,0mm">
                <w:txbxContent>
                  <w:p w14:paraId="6ECB8741">
                    <w:pPr>
                      <w:pStyle w:val="11"/>
                      <w:spacing w:line="248" w:lineRule="exact"/>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2E10">
    <w:pPr>
      <w:pStyle w:val="11"/>
      <w:spacing w:line="14" w:lineRule="auto"/>
    </w:pPr>
    <w:r>
      <mc:AlternateContent>
        <mc:Choice Requires="wpg">
          <w:drawing>
            <wp:anchor distT="0" distB="0" distL="114300" distR="114300" simplePos="0" relativeHeight="251661312" behindDoc="1" locked="0" layoutInCell="1" allowOverlap="1">
              <wp:simplePos x="0" y="0"/>
              <wp:positionH relativeFrom="page">
                <wp:posOffset>1424305</wp:posOffset>
              </wp:positionH>
              <wp:positionV relativeFrom="page">
                <wp:posOffset>96520</wp:posOffset>
              </wp:positionV>
              <wp:extent cx="21590" cy="20955"/>
              <wp:effectExtent l="4445" t="4445" r="12065" b="12700"/>
              <wp:wrapNone/>
              <wp:docPr id="7" name="组合 111"/>
              <wp:cNvGraphicFramePr/>
              <a:graphic xmlns:a="http://schemas.openxmlformats.org/drawingml/2006/main">
                <a:graphicData uri="http://schemas.microsoft.com/office/word/2010/wordprocessingGroup">
                  <wpg:wgp>
                    <wpg:cNvGrpSpPr/>
                    <wpg:grpSpPr>
                      <a:xfrm>
                        <a:off x="0" y="0"/>
                        <a:ext cx="21590" cy="20955"/>
                        <a:chOff x="2244" y="152"/>
                        <a:chExt cx="33" cy="33"/>
                      </a:xfrm>
                    </wpg:grpSpPr>
                    <wps:wsp>
                      <wps:cNvPr id="5" name="任意多边形 109"/>
                      <wps:cNvSpPr/>
                      <wps:spPr>
                        <a:xfrm>
                          <a:off x="2244" y="152"/>
                          <a:ext cx="33" cy="33"/>
                        </a:xfrm>
                        <a:custGeom>
                          <a:avLst/>
                          <a:gdLst/>
                          <a:ahLst/>
                          <a:cxnLst/>
                          <a:rect l="0" t="0" r="0" b="0"/>
                          <a:pathLst>
                            <a:path w="33" h="33">
                              <a:moveTo>
                                <a:pt x="32" y="17"/>
                              </a:moveTo>
                              <a:lnTo>
                                <a:pt x="32" y="8"/>
                              </a:lnTo>
                              <a:lnTo>
                                <a:pt x="25" y="0"/>
                              </a:lnTo>
                              <a:lnTo>
                                <a:pt x="16" y="0"/>
                              </a:lnTo>
                              <a:lnTo>
                                <a:pt x="7" y="0"/>
                              </a:lnTo>
                              <a:lnTo>
                                <a:pt x="0" y="8"/>
                              </a:lnTo>
                              <a:lnTo>
                                <a:pt x="0" y="17"/>
                              </a:lnTo>
                              <a:lnTo>
                                <a:pt x="0" y="26"/>
                              </a:lnTo>
                              <a:lnTo>
                                <a:pt x="7" y="33"/>
                              </a:lnTo>
                              <a:lnTo>
                                <a:pt x="16" y="33"/>
                              </a:lnTo>
                              <a:lnTo>
                                <a:pt x="25" y="33"/>
                              </a:lnTo>
                              <a:lnTo>
                                <a:pt x="32" y="26"/>
                              </a:lnTo>
                              <a:lnTo>
                                <a:pt x="32" y="17"/>
                              </a:lnTo>
                              <a:close/>
                            </a:path>
                          </a:pathLst>
                        </a:custGeom>
                        <a:noFill/>
                        <a:ln w="9525" cap="flat" cmpd="sng">
                          <a:solidFill>
                            <a:srgbClr val="000000"/>
                          </a:solidFill>
                          <a:prstDash val="solid"/>
                          <a:headEnd type="none" w="med" len="med"/>
                          <a:tailEnd type="none" w="med" len="med"/>
                        </a:ln>
                      </wps:spPr>
                      <wps:bodyPr upright="1"/>
                    </wps:wsp>
                    <wps:wsp>
                      <wps:cNvPr id="6" name="直接连接符 110"/>
                      <wps:cNvCnPr/>
                      <wps:spPr>
                        <a:xfrm>
                          <a:off x="2244" y="169"/>
                          <a:ext cx="33" cy="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11" o:spid="_x0000_s1026" o:spt="203" style="position:absolute;left:0pt;margin-left:112.15pt;margin-top:7.6pt;height:1.65pt;width:1.7pt;mso-position-horizontal-relative:page;mso-position-vertical-relative:page;z-index:-251655168;mso-width-relative:page;mso-height-relative:page;" coordorigin="2244,152" coordsize="33,33" o:gfxdata="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IftVWdkAAAAJAQAADwAAAAAAAAABACAAAAAiAAAAZHJzL2Rvd25yZXYueG1s&#10;UEsBAhQAFAAAAAgAh07iQN93UCtNAwAAdAkAAA4AAAAAAAAAAQAgAAAAKAEAAGRycy9lMm9Eb2Mu&#10;eG1sUEsFBgAAAAAGAAYAWQEAAOcGAAAAAA==&#10;">
              <o:lock v:ext="edit" aspectratio="f"/>
              <v:shape id="任意多边形 109" o:spid="_x0000_s1026" o:spt="100" style="position:absolute;left:2244;top:152;height:33;width:33;" filled="f" stroked="t" coordsize="33,33" o:gfxdata="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FV68AAAA&#10;2gAAAA8AAAAAAAAAAQAgAAAAIgAAAGRycy9kb3ducmV2LnhtbFBLAQIUABQAAAAIAIdO4kAzLwWe&#10;OwAAADkAAAAQAAAAAAAAAAEAIAAAAAsBAABkcnMvc2hhcGV4bWwueG1sUEsFBgAAAAAGAAYAWwEA&#10;ALUDAAAAAA==&#10;" path="m32,17l32,8,25,0,16,0,7,0,0,8,0,17,0,26,7,33,16,33,25,33,32,26,32,17xe">
                <v:fill on="f" focussize="0,0"/>
                <v:stroke color="#000000" joinstyle="round"/>
                <v:imagedata o:title=""/>
                <o:lock v:ext="edit" aspectratio="f"/>
              </v:shape>
              <v:line id="直接连接符 110" o:spid="_x0000_s1026" o:spt="20" style="position:absolute;left:2244;top:169;height:0;width:33;"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444500</wp:posOffset>
              </wp:positionH>
              <wp:positionV relativeFrom="page">
                <wp:posOffset>335280</wp:posOffset>
              </wp:positionV>
              <wp:extent cx="533400" cy="170815"/>
              <wp:effectExtent l="0" t="0" r="0" b="0"/>
              <wp:wrapNone/>
              <wp:docPr id="8" name="文本框 113"/>
              <wp:cNvGraphicFramePr/>
              <a:graphic xmlns:a="http://schemas.openxmlformats.org/drawingml/2006/main">
                <a:graphicData uri="http://schemas.microsoft.com/office/word/2010/wordprocessingShape">
                  <wps:wsp>
                    <wps:cNvSpPr/>
                    <wps:spPr>
                      <a:xfrm>
                        <a:off x="0" y="0"/>
                        <a:ext cx="533400" cy="170815"/>
                      </a:xfrm>
                      <a:prstGeom prst="rect">
                        <a:avLst/>
                      </a:prstGeom>
                      <a:noFill/>
                      <a:ln>
                        <a:noFill/>
                      </a:ln>
                    </wps:spPr>
                    <wps:txbx>
                      <w:txbxContent>
                        <w:p w14:paraId="0133DA35">
                          <w:pPr>
                            <w:pStyle w:val="11"/>
                            <w:spacing w:line="248" w:lineRule="exact"/>
                          </w:pPr>
                        </w:p>
                      </w:txbxContent>
                    </wps:txbx>
                    <wps:bodyPr lIns="0" tIns="0" rIns="0" bIns="0" upright="1"/>
                  </wps:wsp>
                </a:graphicData>
              </a:graphic>
            </wp:anchor>
          </w:drawing>
        </mc:Choice>
        <mc:Fallback>
          <w:pict>
            <v:rect id="文本框 113" o:spid="_x0000_s1026" o:spt="1" style="position:absolute;left:0pt;margin-left:35pt;margin-top:26.4pt;height:13.45pt;width:42pt;mso-position-horizontal-relative:page;mso-position-vertical-relative:page;z-index:-251654144;mso-width-relative:page;mso-height-relative:page;" filled="f" stroked="f" coordsize="21600,21600" o:gfxdata="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Pm42AAAAAgBAAAPAAAAAAAAAAEAIAAAACIAAABkcnMvZG93bnJldi54bWxQSwECFAAUAAAA&#10;CACHTuJAII5UHLUBAABpAwAADgAAAAAAAAABACAAAAAnAQAAZHJzL2Uyb0RvYy54bWxQSwUGAAAA&#10;AAYABgBZAQAATgUAAAAA&#10;">
              <v:fill on="f" focussize="0,0"/>
              <v:stroke on="f"/>
              <v:imagedata o:title=""/>
              <o:lock v:ext="edit" aspectratio="f"/>
              <v:textbox inset="0mm,0mm,0mm,0mm">
                <w:txbxContent>
                  <w:p w14:paraId="0133DA35">
                    <w:pPr>
                      <w:pStyle w:val="11"/>
                      <w:spacing w:line="248" w:lineRule="exact"/>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7C94">
    <w:pPr>
      <w:pStyle w:val="2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CFE9">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D6EA">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7D0F">
    <w:pPr>
      <w:pStyle w:val="21"/>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9AD7">
    <w:pPr>
      <w:pStyle w:val="21"/>
      <w:pBdr>
        <w:bottom w:val="none" w:color="auto" w:sz="0" w:space="1"/>
      </w:pBdr>
      <w:ind w:firstLine="105" w:firstLineChars="50"/>
      <w:jc w:val="left"/>
      <w:rPr>
        <w:rStyle w:val="33"/>
        <w:rFonts w:ascii="华文楷体" w:hAnsi="华文楷体" w:eastAsia="华文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287A"/>
    <w:multiLevelType w:val="singleLevel"/>
    <w:tmpl w:val="9004287A"/>
    <w:lvl w:ilvl="0" w:tentative="0">
      <w:start w:val="1"/>
      <w:numFmt w:val="decimal"/>
      <w:suff w:val="nothing"/>
      <w:lvlText w:val="%1、"/>
      <w:lvlJc w:val="left"/>
    </w:lvl>
  </w:abstractNum>
  <w:abstractNum w:abstractNumId="1">
    <w:nsid w:val="246319BB"/>
    <w:multiLevelType w:val="multilevel"/>
    <w:tmpl w:val="246319BB"/>
    <w:lvl w:ilvl="0" w:tentative="0">
      <w:start w:val="1"/>
      <w:numFmt w:val="decimalEnclosedParen"/>
      <w:lvlText w:val="%1"/>
      <w:lvlJc w:val="left"/>
      <w:pPr>
        <w:ind w:left="840" w:hanging="360"/>
      </w:pPr>
    </w:lvl>
    <w:lvl w:ilvl="1" w:tentative="0">
      <w:start w:val="1"/>
      <w:numFmt w:val="lowerLetter"/>
      <w:lvlText w:val="%1)"/>
      <w:lvlJc w:val="left"/>
      <w:pPr>
        <w:ind w:left="1320" w:hanging="420"/>
      </w:pPr>
    </w:lvl>
    <w:lvl w:ilvl="2" w:tentative="0">
      <w:start w:val="1"/>
      <w:numFmt w:val="lowerRoman"/>
      <w:lvlText w:val="%1."/>
      <w:lvlJc w:val="right"/>
      <w:pPr>
        <w:ind w:left="1740" w:hanging="420"/>
      </w:pPr>
    </w:lvl>
    <w:lvl w:ilvl="3" w:tentative="0">
      <w:start w:val="1"/>
      <w:numFmt w:val="decimal"/>
      <w:lvlText w:val="%1."/>
      <w:lvlJc w:val="left"/>
      <w:pPr>
        <w:ind w:left="2160" w:hanging="420"/>
      </w:pPr>
    </w:lvl>
    <w:lvl w:ilvl="4" w:tentative="0">
      <w:start w:val="1"/>
      <w:numFmt w:val="lowerLetter"/>
      <w:lvlText w:val="%1)"/>
      <w:lvlJc w:val="left"/>
      <w:pPr>
        <w:ind w:left="2580" w:hanging="420"/>
      </w:pPr>
    </w:lvl>
    <w:lvl w:ilvl="5" w:tentative="0">
      <w:start w:val="1"/>
      <w:numFmt w:val="lowerRoman"/>
      <w:lvlText w:val="%1."/>
      <w:lvlJc w:val="right"/>
      <w:pPr>
        <w:ind w:left="3000" w:hanging="420"/>
      </w:pPr>
    </w:lvl>
    <w:lvl w:ilvl="6" w:tentative="0">
      <w:start w:val="1"/>
      <w:numFmt w:val="decimal"/>
      <w:lvlText w:val="%1."/>
      <w:lvlJc w:val="left"/>
      <w:pPr>
        <w:ind w:left="3420" w:hanging="420"/>
      </w:pPr>
    </w:lvl>
    <w:lvl w:ilvl="7" w:tentative="0">
      <w:start w:val="1"/>
      <w:numFmt w:val="lowerLetter"/>
      <w:lvlText w:val="%1)"/>
      <w:lvlJc w:val="left"/>
      <w:pPr>
        <w:ind w:left="3840" w:hanging="420"/>
      </w:pPr>
    </w:lvl>
    <w:lvl w:ilvl="8" w:tentative="0">
      <w:start w:val="1"/>
      <w:numFmt w:val="lowerRoman"/>
      <w:lvlText w:val="%1."/>
      <w:lvlJc w:val="right"/>
      <w:pPr>
        <w:ind w:left="4260" w:hanging="420"/>
      </w:pPr>
    </w:lvl>
  </w:abstractNum>
  <w:abstractNum w:abstractNumId="2">
    <w:nsid w:val="39C573BC"/>
    <w:multiLevelType w:val="singleLevel"/>
    <w:tmpl w:val="39C573BC"/>
    <w:lvl w:ilvl="0" w:tentative="0">
      <w:start w:val="1"/>
      <w:numFmt w:val="chineseCounting"/>
      <w:suff w:val="nothing"/>
      <w:lvlText w:val="%1、"/>
      <w:lvlJc w:val="left"/>
      <w:rPr>
        <w:rFonts w:hint="eastAsia"/>
      </w:rPr>
    </w:lvl>
  </w:abstractNum>
  <w:abstractNum w:abstractNumId="3">
    <w:nsid w:val="4010644F"/>
    <w:multiLevelType w:val="multilevel"/>
    <w:tmpl w:val="4010644F"/>
    <w:lvl w:ilvl="0" w:tentative="0">
      <w:start w:val="1"/>
      <w:numFmt w:val="decimal"/>
      <w:lvlText w:val="（%1）"/>
      <w:lvlJc w:val="left"/>
      <w:pPr>
        <w:ind w:left="956" w:hanging="720"/>
      </w:pPr>
    </w:lvl>
    <w:lvl w:ilvl="1" w:tentative="0">
      <w:start w:val="1"/>
      <w:numFmt w:val="lowerLetter"/>
      <w:lvlText w:val="%1)"/>
      <w:lvlJc w:val="left"/>
      <w:pPr>
        <w:ind w:left="1076" w:hanging="420"/>
      </w:pPr>
    </w:lvl>
    <w:lvl w:ilvl="2" w:tentative="0">
      <w:start w:val="1"/>
      <w:numFmt w:val="lowerRoman"/>
      <w:lvlText w:val="%1."/>
      <w:lvlJc w:val="right"/>
      <w:pPr>
        <w:ind w:left="1496" w:hanging="420"/>
      </w:pPr>
    </w:lvl>
    <w:lvl w:ilvl="3" w:tentative="0">
      <w:start w:val="1"/>
      <w:numFmt w:val="decimal"/>
      <w:lvlText w:val="%1."/>
      <w:lvlJc w:val="left"/>
      <w:pPr>
        <w:ind w:left="1916" w:hanging="420"/>
      </w:pPr>
    </w:lvl>
    <w:lvl w:ilvl="4" w:tentative="0">
      <w:start w:val="1"/>
      <w:numFmt w:val="lowerLetter"/>
      <w:lvlText w:val="%1)"/>
      <w:lvlJc w:val="left"/>
      <w:pPr>
        <w:ind w:left="2336" w:hanging="420"/>
      </w:pPr>
    </w:lvl>
    <w:lvl w:ilvl="5" w:tentative="0">
      <w:start w:val="1"/>
      <w:numFmt w:val="lowerRoman"/>
      <w:lvlText w:val="%1."/>
      <w:lvlJc w:val="right"/>
      <w:pPr>
        <w:ind w:left="2756" w:hanging="420"/>
      </w:pPr>
    </w:lvl>
    <w:lvl w:ilvl="6" w:tentative="0">
      <w:start w:val="1"/>
      <w:numFmt w:val="decimal"/>
      <w:lvlText w:val="%1."/>
      <w:lvlJc w:val="left"/>
      <w:pPr>
        <w:ind w:left="3176" w:hanging="420"/>
      </w:pPr>
    </w:lvl>
    <w:lvl w:ilvl="7" w:tentative="0">
      <w:start w:val="1"/>
      <w:numFmt w:val="lowerLetter"/>
      <w:lvlText w:val="%1)"/>
      <w:lvlJc w:val="left"/>
      <w:pPr>
        <w:ind w:left="3596" w:hanging="420"/>
      </w:pPr>
    </w:lvl>
    <w:lvl w:ilvl="8" w:tentative="0">
      <w:start w:val="1"/>
      <w:numFmt w:val="lowerRoman"/>
      <w:lvlText w:val="%1."/>
      <w:lvlJc w:val="right"/>
      <w:pPr>
        <w:ind w:left="4016" w:hanging="420"/>
      </w:pPr>
    </w:lvl>
  </w:abstractNum>
  <w:abstractNum w:abstractNumId="4">
    <w:nsid w:val="5DAE3407"/>
    <w:multiLevelType w:val="multilevel"/>
    <w:tmpl w:val="5DAE340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B5C1975"/>
    <w:multiLevelType w:val="singleLevel"/>
    <w:tmpl w:val="6B5C1975"/>
    <w:lvl w:ilvl="0" w:tentative="0">
      <w:start w:val="1"/>
      <w:numFmt w:val="decimal"/>
      <w:suff w:val="nothing"/>
      <w:lvlText w:val="%1、"/>
      <w:lvlJc w:val="left"/>
    </w:lvl>
  </w:abstractNum>
  <w:abstractNum w:abstractNumId="6">
    <w:nsid w:val="6EB63CFA"/>
    <w:multiLevelType w:val="singleLevel"/>
    <w:tmpl w:val="6EB63CFA"/>
    <w:lvl w:ilvl="0" w:tentative="0">
      <w:start w:val="4"/>
      <w:numFmt w:val="chineseCounting"/>
      <w:suff w:val="nothing"/>
      <w:lvlText w:val="第%1章、"/>
      <w:lvlJc w:val="left"/>
      <w:rPr>
        <w:rFonts w:hint="eastAsia"/>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MGM1ZDEzMTJlNmMyNDlhN2E4YmE0NTRhMzcyYzQifQ=="/>
    <w:docVar w:name="KSO_WPS_MARK_KEY" w:val="fa68aac3-a4fe-4c5c-8914-7bdc15d7915a"/>
  </w:docVars>
  <w:rsids>
    <w:rsidRoot w:val="00D31D50"/>
    <w:rsid w:val="00004B6E"/>
    <w:rsid w:val="00010EFB"/>
    <w:rsid w:val="00017B06"/>
    <w:rsid w:val="00024AA9"/>
    <w:rsid w:val="0002741E"/>
    <w:rsid w:val="0003339A"/>
    <w:rsid w:val="0005265F"/>
    <w:rsid w:val="00055EA4"/>
    <w:rsid w:val="000560D6"/>
    <w:rsid w:val="00057E4D"/>
    <w:rsid w:val="00064AE0"/>
    <w:rsid w:val="00077D16"/>
    <w:rsid w:val="00081411"/>
    <w:rsid w:val="0008170D"/>
    <w:rsid w:val="0008348D"/>
    <w:rsid w:val="0008701C"/>
    <w:rsid w:val="0008790F"/>
    <w:rsid w:val="0009405B"/>
    <w:rsid w:val="000A0346"/>
    <w:rsid w:val="000A0A66"/>
    <w:rsid w:val="000A6321"/>
    <w:rsid w:val="000A6418"/>
    <w:rsid w:val="000A6B2C"/>
    <w:rsid w:val="000C1673"/>
    <w:rsid w:val="000C1B71"/>
    <w:rsid w:val="000C2D00"/>
    <w:rsid w:val="000C388F"/>
    <w:rsid w:val="000C5640"/>
    <w:rsid w:val="000D0A53"/>
    <w:rsid w:val="000E6D7E"/>
    <w:rsid w:val="00105E60"/>
    <w:rsid w:val="00111571"/>
    <w:rsid w:val="0011302B"/>
    <w:rsid w:val="001248A1"/>
    <w:rsid w:val="001305B2"/>
    <w:rsid w:val="00133B71"/>
    <w:rsid w:val="00136847"/>
    <w:rsid w:val="001414FF"/>
    <w:rsid w:val="00144A31"/>
    <w:rsid w:val="00144C79"/>
    <w:rsid w:val="00151A80"/>
    <w:rsid w:val="00163D09"/>
    <w:rsid w:val="00166CDD"/>
    <w:rsid w:val="00175FD1"/>
    <w:rsid w:val="00177D40"/>
    <w:rsid w:val="0018039A"/>
    <w:rsid w:val="001851BA"/>
    <w:rsid w:val="00187FCF"/>
    <w:rsid w:val="00190B41"/>
    <w:rsid w:val="001932E1"/>
    <w:rsid w:val="00194BCE"/>
    <w:rsid w:val="00196941"/>
    <w:rsid w:val="00197B6C"/>
    <w:rsid w:val="001A0BBA"/>
    <w:rsid w:val="001A7462"/>
    <w:rsid w:val="001B4BCB"/>
    <w:rsid w:val="001B5258"/>
    <w:rsid w:val="001B561B"/>
    <w:rsid w:val="001B7796"/>
    <w:rsid w:val="001C1F8C"/>
    <w:rsid w:val="001C56B9"/>
    <w:rsid w:val="001D0D90"/>
    <w:rsid w:val="001D142E"/>
    <w:rsid w:val="001D1FC2"/>
    <w:rsid w:val="001D4158"/>
    <w:rsid w:val="001E09EC"/>
    <w:rsid w:val="001E6507"/>
    <w:rsid w:val="001E6C2A"/>
    <w:rsid w:val="001F3123"/>
    <w:rsid w:val="001F429A"/>
    <w:rsid w:val="001F4ADA"/>
    <w:rsid w:val="001F7B6D"/>
    <w:rsid w:val="00201414"/>
    <w:rsid w:val="002028A0"/>
    <w:rsid w:val="00225C75"/>
    <w:rsid w:val="00226064"/>
    <w:rsid w:val="002265E7"/>
    <w:rsid w:val="00230382"/>
    <w:rsid w:val="0025076D"/>
    <w:rsid w:val="00253095"/>
    <w:rsid w:val="00267A03"/>
    <w:rsid w:val="0028708F"/>
    <w:rsid w:val="00293596"/>
    <w:rsid w:val="00295D63"/>
    <w:rsid w:val="002B407F"/>
    <w:rsid w:val="002B4CF2"/>
    <w:rsid w:val="002C18DC"/>
    <w:rsid w:val="002D269B"/>
    <w:rsid w:val="002D34DC"/>
    <w:rsid w:val="002D4EEE"/>
    <w:rsid w:val="002E1790"/>
    <w:rsid w:val="002E3DA3"/>
    <w:rsid w:val="002F64DF"/>
    <w:rsid w:val="00314CCD"/>
    <w:rsid w:val="00323B43"/>
    <w:rsid w:val="003247BA"/>
    <w:rsid w:val="00330911"/>
    <w:rsid w:val="00341EAD"/>
    <w:rsid w:val="00346188"/>
    <w:rsid w:val="00355F94"/>
    <w:rsid w:val="00383903"/>
    <w:rsid w:val="00392CEE"/>
    <w:rsid w:val="003953E1"/>
    <w:rsid w:val="003B1648"/>
    <w:rsid w:val="003B4851"/>
    <w:rsid w:val="003B60AF"/>
    <w:rsid w:val="003C1E5B"/>
    <w:rsid w:val="003C51EE"/>
    <w:rsid w:val="003D37D8"/>
    <w:rsid w:val="003D5018"/>
    <w:rsid w:val="003F048E"/>
    <w:rsid w:val="003F7192"/>
    <w:rsid w:val="003F7F69"/>
    <w:rsid w:val="00401887"/>
    <w:rsid w:val="00405162"/>
    <w:rsid w:val="00413547"/>
    <w:rsid w:val="00413554"/>
    <w:rsid w:val="00423C6D"/>
    <w:rsid w:val="00426133"/>
    <w:rsid w:val="004358AB"/>
    <w:rsid w:val="00436368"/>
    <w:rsid w:val="00437009"/>
    <w:rsid w:val="00443B64"/>
    <w:rsid w:val="00450A20"/>
    <w:rsid w:val="00454A9B"/>
    <w:rsid w:val="0046046D"/>
    <w:rsid w:val="00463CCC"/>
    <w:rsid w:val="00464666"/>
    <w:rsid w:val="00467877"/>
    <w:rsid w:val="004720CA"/>
    <w:rsid w:val="00476F39"/>
    <w:rsid w:val="00477601"/>
    <w:rsid w:val="00480AD9"/>
    <w:rsid w:val="00482DD8"/>
    <w:rsid w:val="00485D08"/>
    <w:rsid w:val="004A4A88"/>
    <w:rsid w:val="004A5377"/>
    <w:rsid w:val="004B16A5"/>
    <w:rsid w:val="004B1DC8"/>
    <w:rsid w:val="004B2CC8"/>
    <w:rsid w:val="004B504A"/>
    <w:rsid w:val="004E398C"/>
    <w:rsid w:val="004E4E88"/>
    <w:rsid w:val="004F2CF7"/>
    <w:rsid w:val="004F6205"/>
    <w:rsid w:val="004F6A4C"/>
    <w:rsid w:val="00507F1D"/>
    <w:rsid w:val="00513B33"/>
    <w:rsid w:val="00516D15"/>
    <w:rsid w:val="00531BF6"/>
    <w:rsid w:val="00535FBA"/>
    <w:rsid w:val="00540B7E"/>
    <w:rsid w:val="00542082"/>
    <w:rsid w:val="00553048"/>
    <w:rsid w:val="00553DC1"/>
    <w:rsid w:val="00555898"/>
    <w:rsid w:val="005559D0"/>
    <w:rsid w:val="00566E28"/>
    <w:rsid w:val="00567199"/>
    <w:rsid w:val="00585107"/>
    <w:rsid w:val="00586B0A"/>
    <w:rsid w:val="00592084"/>
    <w:rsid w:val="0059561B"/>
    <w:rsid w:val="00595DC4"/>
    <w:rsid w:val="005A59A5"/>
    <w:rsid w:val="005A5A9F"/>
    <w:rsid w:val="005B4E0A"/>
    <w:rsid w:val="005C2D13"/>
    <w:rsid w:val="005C71CA"/>
    <w:rsid w:val="005E4491"/>
    <w:rsid w:val="005E6AE7"/>
    <w:rsid w:val="005F1BC7"/>
    <w:rsid w:val="00604E80"/>
    <w:rsid w:val="00614A83"/>
    <w:rsid w:val="0061574A"/>
    <w:rsid w:val="00615EA1"/>
    <w:rsid w:val="00641A94"/>
    <w:rsid w:val="00644F2B"/>
    <w:rsid w:val="0065044A"/>
    <w:rsid w:val="00655631"/>
    <w:rsid w:val="00661091"/>
    <w:rsid w:val="0066296A"/>
    <w:rsid w:val="00663F42"/>
    <w:rsid w:val="00665BC2"/>
    <w:rsid w:val="0066693A"/>
    <w:rsid w:val="00672BEF"/>
    <w:rsid w:val="006778D6"/>
    <w:rsid w:val="00682D00"/>
    <w:rsid w:val="00692E11"/>
    <w:rsid w:val="006A577E"/>
    <w:rsid w:val="006B2503"/>
    <w:rsid w:val="006C1127"/>
    <w:rsid w:val="006C2B0D"/>
    <w:rsid w:val="006C2F56"/>
    <w:rsid w:val="006D1DC5"/>
    <w:rsid w:val="006D329D"/>
    <w:rsid w:val="006E160D"/>
    <w:rsid w:val="006E24F6"/>
    <w:rsid w:val="006F250B"/>
    <w:rsid w:val="006F422C"/>
    <w:rsid w:val="007321DB"/>
    <w:rsid w:val="00732C45"/>
    <w:rsid w:val="00733B47"/>
    <w:rsid w:val="0073413F"/>
    <w:rsid w:val="00740C70"/>
    <w:rsid w:val="00740DA9"/>
    <w:rsid w:val="007477F8"/>
    <w:rsid w:val="00750E2D"/>
    <w:rsid w:val="00763EA4"/>
    <w:rsid w:val="0076570E"/>
    <w:rsid w:val="00772F51"/>
    <w:rsid w:val="00793872"/>
    <w:rsid w:val="007A0DA8"/>
    <w:rsid w:val="007B7E0D"/>
    <w:rsid w:val="007C3031"/>
    <w:rsid w:val="007D1CDA"/>
    <w:rsid w:val="007D5F27"/>
    <w:rsid w:val="007D6A53"/>
    <w:rsid w:val="007D714B"/>
    <w:rsid w:val="007E270E"/>
    <w:rsid w:val="007E2EA4"/>
    <w:rsid w:val="007E3B73"/>
    <w:rsid w:val="007F2050"/>
    <w:rsid w:val="007F3B3F"/>
    <w:rsid w:val="00834C86"/>
    <w:rsid w:val="00841748"/>
    <w:rsid w:val="0084368D"/>
    <w:rsid w:val="00872880"/>
    <w:rsid w:val="008739EE"/>
    <w:rsid w:val="00882023"/>
    <w:rsid w:val="00882483"/>
    <w:rsid w:val="008836CC"/>
    <w:rsid w:val="00893BF4"/>
    <w:rsid w:val="008948D4"/>
    <w:rsid w:val="008A03B9"/>
    <w:rsid w:val="008A2288"/>
    <w:rsid w:val="008A5C1E"/>
    <w:rsid w:val="008A67ED"/>
    <w:rsid w:val="008B1045"/>
    <w:rsid w:val="008B533B"/>
    <w:rsid w:val="008B7726"/>
    <w:rsid w:val="008C1161"/>
    <w:rsid w:val="008C3B0B"/>
    <w:rsid w:val="008D0E6A"/>
    <w:rsid w:val="008D55EE"/>
    <w:rsid w:val="008D5EED"/>
    <w:rsid w:val="008E079A"/>
    <w:rsid w:val="008E3E48"/>
    <w:rsid w:val="008F7275"/>
    <w:rsid w:val="009004D7"/>
    <w:rsid w:val="00913279"/>
    <w:rsid w:val="009178E7"/>
    <w:rsid w:val="00940E30"/>
    <w:rsid w:val="00943743"/>
    <w:rsid w:val="00952865"/>
    <w:rsid w:val="00952A91"/>
    <w:rsid w:val="00954CB9"/>
    <w:rsid w:val="009618B7"/>
    <w:rsid w:val="00964BF3"/>
    <w:rsid w:val="00971607"/>
    <w:rsid w:val="00974FA3"/>
    <w:rsid w:val="00977E70"/>
    <w:rsid w:val="0098143F"/>
    <w:rsid w:val="009906B0"/>
    <w:rsid w:val="009928D8"/>
    <w:rsid w:val="009A1F11"/>
    <w:rsid w:val="009A4257"/>
    <w:rsid w:val="009B1681"/>
    <w:rsid w:val="009D1830"/>
    <w:rsid w:val="009E42CE"/>
    <w:rsid w:val="009E6EE7"/>
    <w:rsid w:val="009F08C4"/>
    <w:rsid w:val="009F08F7"/>
    <w:rsid w:val="009F0CE8"/>
    <w:rsid w:val="009F1766"/>
    <w:rsid w:val="00A023A2"/>
    <w:rsid w:val="00A05DE3"/>
    <w:rsid w:val="00A14BEC"/>
    <w:rsid w:val="00A14E77"/>
    <w:rsid w:val="00A238C0"/>
    <w:rsid w:val="00A250BB"/>
    <w:rsid w:val="00A376F6"/>
    <w:rsid w:val="00A42EA6"/>
    <w:rsid w:val="00A450C6"/>
    <w:rsid w:val="00A46DE0"/>
    <w:rsid w:val="00A553CA"/>
    <w:rsid w:val="00A63079"/>
    <w:rsid w:val="00A71594"/>
    <w:rsid w:val="00A749CC"/>
    <w:rsid w:val="00A74DC9"/>
    <w:rsid w:val="00A81EE7"/>
    <w:rsid w:val="00A83133"/>
    <w:rsid w:val="00A8565E"/>
    <w:rsid w:val="00A92566"/>
    <w:rsid w:val="00A94F18"/>
    <w:rsid w:val="00A964CA"/>
    <w:rsid w:val="00AA0068"/>
    <w:rsid w:val="00AA314E"/>
    <w:rsid w:val="00AA3644"/>
    <w:rsid w:val="00AA7651"/>
    <w:rsid w:val="00AB0A49"/>
    <w:rsid w:val="00AB5E39"/>
    <w:rsid w:val="00AC4D81"/>
    <w:rsid w:val="00AD7338"/>
    <w:rsid w:val="00AE37EB"/>
    <w:rsid w:val="00AE4497"/>
    <w:rsid w:val="00AF2D06"/>
    <w:rsid w:val="00AF33B0"/>
    <w:rsid w:val="00B0617A"/>
    <w:rsid w:val="00B15C9B"/>
    <w:rsid w:val="00B2046F"/>
    <w:rsid w:val="00B2379D"/>
    <w:rsid w:val="00B3237E"/>
    <w:rsid w:val="00B32738"/>
    <w:rsid w:val="00B416A2"/>
    <w:rsid w:val="00B4682C"/>
    <w:rsid w:val="00B469D7"/>
    <w:rsid w:val="00B50D3E"/>
    <w:rsid w:val="00B516E6"/>
    <w:rsid w:val="00B70312"/>
    <w:rsid w:val="00B72974"/>
    <w:rsid w:val="00B732F0"/>
    <w:rsid w:val="00B94D05"/>
    <w:rsid w:val="00B94FEE"/>
    <w:rsid w:val="00BA1221"/>
    <w:rsid w:val="00BA3E0E"/>
    <w:rsid w:val="00BA4E0D"/>
    <w:rsid w:val="00BB4E85"/>
    <w:rsid w:val="00BB5C03"/>
    <w:rsid w:val="00BB7C22"/>
    <w:rsid w:val="00BC12AB"/>
    <w:rsid w:val="00BC42DF"/>
    <w:rsid w:val="00BC7F1C"/>
    <w:rsid w:val="00BD07BF"/>
    <w:rsid w:val="00BD139F"/>
    <w:rsid w:val="00BD53F3"/>
    <w:rsid w:val="00BE495F"/>
    <w:rsid w:val="00BF0D91"/>
    <w:rsid w:val="00C0295F"/>
    <w:rsid w:val="00C134B9"/>
    <w:rsid w:val="00C14FA3"/>
    <w:rsid w:val="00C340CA"/>
    <w:rsid w:val="00C37DEE"/>
    <w:rsid w:val="00C42985"/>
    <w:rsid w:val="00C42E64"/>
    <w:rsid w:val="00C43EEE"/>
    <w:rsid w:val="00C4497A"/>
    <w:rsid w:val="00C50C43"/>
    <w:rsid w:val="00C51B9E"/>
    <w:rsid w:val="00C54210"/>
    <w:rsid w:val="00C57D76"/>
    <w:rsid w:val="00C62279"/>
    <w:rsid w:val="00C671FB"/>
    <w:rsid w:val="00C71A2D"/>
    <w:rsid w:val="00C75771"/>
    <w:rsid w:val="00C75B76"/>
    <w:rsid w:val="00C75E3C"/>
    <w:rsid w:val="00C7626A"/>
    <w:rsid w:val="00C777B9"/>
    <w:rsid w:val="00C82A54"/>
    <w:rsid w:val="00C92FFE"/>
    <w:rsid w:val="00C945D8"/>
    <w:rsid w:val="00C94A5F"/>
    <w:rsid w:val="00C94C06"/>
    <w:rsid w:val="00CA4A3D"/>
    <w:rsid w:val="00CD7A22"/>
    <w:rsid w:val="00CE08BC"/>
    <w:rsid w:val="00CF5420"/>
    <w:rsid w:val="00D04101"/>
    <w:rsid w:val="00D06450"/>
    <w:rsid w:val="00D13FE2"/>
    <w:rsid w:val="00D21C67"/>
    <w:rsid w:val="00D31D50"/>
    <w:rsid w:val="00D329D9"/>
    <w:rsid w:val="00D37B96"/>
    <w:rsid w:val="00D5000B"/>
    <w:rsid w:val="00D6018E"/>
    <w:rsid w:val="00D642E0"/>
    <w:rsid w:val="00D8045F"/>
    <w:rsid w:val="00D805FC"/>
    <w:rsid w:val="00D82223"/>
    <w:rsid w:val="00D905BC"/>
    <w:rsid w:val="00DB3477"/>
    <w:rsid w:val="00DB5D88"/>
    <w:rsid w:val="00DC0BCE"/>
    <w:rsid w:val="00DC0DF2"/>
    <w:rsid w:val="00E003EC"/>
    <w:rsid w:val="00E00672"/>
    <w:rsid w:val="00E03F6B"/>
    <w:rsid w:val="00E060D6"/>
    <w:rsid w:val="00E1015F"/>
    <w:rsid w:val="00E240AD"/>
    <w:rsid w:val="00E26AE5"/>
    <w:rsid w:val="00E30D6F"/>
    <w:rsid w:val="00E31439"/>
    <w:rsid w:val="00E34762"/>
    <w:rsid w:val="00E4148F"/>
    <w:rsid w:val="00E4248D"/>
    <w:rsid w:val="00E42E6D"/>
    <w:rsid w:val="00E47FC6"/>
    <w:rsid w:val="00E647C1"/>
    <w:rsid w:val="00E73908"/>
    <w:rsid w:val="00E844E4"/>
    <w:rsid w:val="00E91B23"/>
    <w:rsid w:val="00E933D5"/>
    <w:rsid w:val="00EA17EE"/>
    <w:rsid w:val="00EA2A52"/>
    <w:rsid w:val="00EA3071"/>
    <w:rsid w:val="00EB4354"/>
    <w:rsid w:val="00ED209C"/>
    <w:rsid w:val="00ED3A01"/>
    <w:rsid w:val="00ED7D86"/>
    <w:rsid w:val="00F03A97"/>
    <w:rsid w:val="00F07849"/>
    <w:rsid w:val="00F213AE"/>
    <w:rsid w:val="00F30818"/>
    <w:rsid w:val="00F43B07"/>
    <w:rsid w:val="00F43BF7"/>
    <w:rsid w:val="00F5559D"/>
    <w:rsid w:val="00F578E7"/>
    <w:rsid w:val="00F664A2"/>
    <w:rsid w:val="00F7088C"/>
    <w:rsid w:val="00F80524"/>
    <w:rsid w:val="00F82148"/>
    <w:rsid w:val="00FA2453"/>
    <w:rsid w:val="00FB067E"/>
    <w:rsid w:val="00FB560B"/>
    <w:rsid w:val="00FD02BC"/>
    <w:rsid w:val="00FE26D3"/>
    <w:rsid w:val="01187BDA"/>
    <w:rsid w:val="012909CB"/>
    <w:rsid w:val="01541EA9"/>
    <w:rsid w:val="01583748"/>
    <w:rsid w:val="016B2659"/>
    <w:rsid w:val="0176597C"/>
    <w:rsid w:val="018D0F17"/>
    <w:rsid w:val="018D43F3"/>
    <w:rsid w:val="018E4295"/>
    <w:rsid w:val="0192621F"/>
    <w:rsid w:val="01A761C5"/>
    <w:rsid w:val="01AF4639"/>
    <w:rsid w:val="01F1594A"/>
    <w:rsid w:val="01F82847"/>
    <w:rsid w:val="02076F1C"/>
    <w:rsid w:val="024B4E52"/>
    <w:rsid w:val="02541D6F"/>
    <w:rsid w:val="027F5329"/>
    <w:rsid w:val="02CA29D7"/>
    <w:rsid w:val="02F2197A"/>
    <w:rsid w:val="03082F4B"/>
    <w:rsid w:val="0314091A"/>
    <w:rsid w:val="03771E7F"/>
    <w:rsid w:val="038545BF"/>
    <w:rsid w:val="039C6596"/>
    <w:rsid w:val="03B60BF9"/>
    <w:rsid w:val="03BE4BE3"/>
    <w:rsid w:val="03FD4132"/>
    <w:rsid w:val="040C6A6B"/>
    <w:rsid w:val="043102CE"/>
    <w:rsid w:val="04354274"/>
    <w:rsid w:val="043A35D9"/>
    <w:rsid w:val="04446205"/>
    <w:rsid w:val="044C50BA"/>
    <w:rsid w:val="04504722"/>
    <w:rsid w:val="0451447E"/>
    <w:rsid w:val="04536448"/>
    <w:rsid w:val="04806B11"/>
    <w:rsid w:val="04B213C1"/>
    <w:rsid w:val="04CB4231"/>
    <w:rsid w:val="05235E1B"/>
    <w:rsid w:val="05377B18"/>
    <w:rsid w:val="05411506"/>
    <w:rsid w:val="0556576B"/>
    <w:rsid w:val="055A05D3"/>
    <w:rsid w:val="056A1C9B"/>
    <w:rsid w:val="05724F62"/>
    <w:rsid w:val="058645FB"/>
    <w:rsid w:val="058F470A"/>
    <w:rsid w:val="059A01DD"/>
    <w:rsid w:val="059D7AE3"/>
    <w:rsid w:val="05E277B3"/>
    <w:rsid w:val="05E632C0"/>
    <w:rsid w:val="05F9301F"/>
    <w:rsid w:val="05FE0636"/>
    <w:rsid w:val="06101F6F"/>
    <w:rsid w:val="06113EC5"/>
    <w:rsid w:val="061979EB"/>
    <w:rsid w:val="0625595B"/>
    <w:rsid w:val="06587D46"/>
    <w:rsid w:val="066B7BD0"/>
    <w:rsid w:val="067959B8"/>
    <w:rsid w:val="068057E5"/>
    <w:rsid w:val="068176BD"/>
    <w:rsid w:val="069F45EA"/>
    <w:rsid w:val="06A93172"/>
    <w:rsid w:val="06EE4206"/>
    <w:rsid w:val="06FD269B"/>
    <w:rsid w:val="073267E9"/>
    <w:rsid w:val="0757624F"/>
    <w:rsid w:val="0763569F"/>
    <w:rsid w:val="077D5E37"/>
    <w:rsid w:val="07AB6BAE"/>
    <w:rsid w:val="07B8371F"/>
    <w:rsid w:val="07C05BA3"/>
    <w:rsid w:val="07C3354C"/>
    <w:rsid w:val="07C644D1"/>
    <w:rsid w:val="07D478A0"/>
    <w:rsid w:val="07E6663B"/>
    <w:rsid w:val="07F7141C"/>
    <w:rsid w:val="08180017"/>
    <w:rsid w:val="081964D9"/>
    <w:rsid w:val="08202694"/>
    <w:rsid w:val="08396A0E"/>
    <w:rsid w:val="083B347B"/>
    <w:rsid w:val="08512C9F"/>
    <w:rsid w:val="0852606B"/>
    <w:rsid w:val="08693CC0"/>
    <w:rsid w:val="086D1FB0"/>
    <w:rsid w:val="088210AA"/>
    <w:rsid w:val="088C085E"/>
    <w:rsid w:val="088C76BF"/>
    <w:rsid w:val="08921BDB"/>
    <w:rsid w:val="08C42CE3"/>
    <w:rsid w:val="08CB2A51"/>
    <w:rsid w:val="08CD3A40"/>
    <w:rsid w:val="08E7715F"/>
    <w:rsid w:val="08F0070A"/>
    <w:rsid w:val="08F655F4"/>
    <w:rsid w:val="08FA5B6C"/>
    <w:rsid w:val="08FF1C4F"/>
    <w:rsid w:val="092A596F"/>
    <w:rsid w:val="09362315"/>
    <w:rsid w:val="095074F8"/>
    <w:rsid w:val="095A1E46"/>
    <w:rsid w:val="096249C6"/>
    <w:rsid w:val="096B1B3E"/>
    <w:rsid w:val="09903C9B"/>
    <w:rsid w:val="099843CC"/>
    <w:rsid w:val="099C263F"/>
    <w:rsid w:val="09A83CE1"/>
    <w:rsid w:val="09C83C86"/>
    <w:rsid w:val="09F04A5A"/>
    <w:rsid w:val="09F8417E"/>
    <w:rsid w:val="09FB4952"/>
    <w:rsid w:val="0A0553EE"/>
    <w:rsid w:val="0A081A83"/>
    <w:rsid w:val="0A4D56E8"/>
    <w:rsid w:val="0A7A254C"/>
    <w:rsid w:val="0A822A51"/>
    <w:rsid w:val="0A97354A"/>
    <w:rsid w:val="0AA37373"/>
    <w:rsid w:val="0AC20B6B"/>
    <w:rsid w:val="0AC77248"/>
    <w:rsid w:val="0AE60E31"/>
    <w:rsid w:val="0AE918B4"/>
    <w:rsid w:val="0AEB73DB"/>
    <w:rsid w:val="0B023F58"/>
    <w:rsid w:val="0B28234A"/>
    <w:rsid w:val="0B330060"/>
    <w:rsid w:val="0B347670"/>
    <w:rsid w:val="0B5964AA"/>
    <w:rsid w:val="0B6B0AB8"/>
    <w:rsid w:val="0B6C28D0"/>
    <w:rsid w:val="0B813DCE"/>
    <w:rsid w:val="0BB377CC"/>
    <w:rsid w:val="0BB579E9"/>
    <w:rsid w:val="0BB77C49"/>
    <w:rsid w:val="0BC60A74"/>
    <w:rsid w:val="0BEB6C70"/>
    <w:rsid w:val="0BFC62FE"/>
    <w:rsid w:val="0C4F7F6D"/>
    <w:rsid w:val="0C6557E4"/>
    <w:rsid w:val="0C6C7B82"/>
    <w:rsid w:val="0C6D22A8"/>
    <w:rsid w:val="0CA071EA"/>
    <w:rsid w:val="0CC20DCD"/>
    <w:rsid w:val="0CD87D21"/>
    <w:rsid w:val="0CE95B9C"/>
    <w:rsid w:val="0CF5389B"/>
    <w:rsid w:val="0D111E74"/>
    <w:rsid w:val="0D2A3BD9"/>
    <w:rsid w:val="0D38442D"/>
    <w:rsid w:val="0D4508F8"/>
    <w:rsid w:val="0D550A0B"/>
    <w:rsid w:val="0D661AFC"/>
    <w:rsid w:val="0D662DAD"/>
    <w:rsid w:val="0D9F26FE"/>
    <w:rsid w:val="0DA44E93"/>
    <w:rsid w:val="0DB22432"/>
    <w:rsid w:val="0DB25F8E"/>
    <w:rsid w:val="0DD27D56"/>
    <w:rsid w:val="0DDA1988"/>
    <w:rsid w:val="0E0A3CAB"/>
    <w:rsid w:val="0E134F3B"/>
    <w:rsid w:val="0E2315D2"/>
    <w:rsid w:val="0E545297"/>
    <w:rsid w:val="0E5B4877"/>
    <w:rsid w:val="0E5C4DB8"/>
    <w:rsid w:val="0E642D2B"/>
    <w:rsid w:val="0E6E1762"/>
    <w:rsid w:val="0E897906"/>
    <w:rsid w:val="0E981CDF"/>
    <w:rsid w:val="0E9E63B3"/>
    <w:rsid w:val="0EA51A8B"/>
    <w:rsid w:val="0EB16245"/>
    <w:rsid w:val="0ECF397A"/>
    <w:rsid w:val="0EE51A53"/>
    <w:rsid w:val="0F031FD3"/>
    <w:rsid w:val="0F0740B7"/>
    <w:rsid w:val="0F0E080B"/>
    <w:rsid w:val="0F1C2F5E"/>
    <w:rsid w:val="0F391D81"/>
    <w:rsid w:val="0F4E618A"/>
    <w:rsid w:val="0F7456A2"/>
    <w:rsid w:val="0F7C24AA"/>
    <w:rsid w:val="0FC61287"/>
    <w:rsid w:val="0FC937AA"/>
    <w:rsid w:val="0FE46908"/>
    <w:rsid w:val="0FFD1F8A"/>
    <w:rsid w:val="0FFF7E08"/>
    <w:rsid w:val="100D59B4"/>
    <w:rsid w:val="10262C63"/>
    <w:rsid w:val="10293C00"/>
    <w:rsid w:val="10295F39"/>
    <w:rsid w:val="10302224"/>
    <w:rsid w:val="103A1E52"/>
    <w:rsid w:val="103D5CDD"/>
    <w:rsid w:val="104377C6"/>
    <w:rsid w:val="1045758D"/>
    <w:rsid w:val="104B091B"/>
    <w:rsid w:val="105552F6"/>
    <w:rsid w:val="10615A49"/>
    <w:rsid w:val="107439CE"/>
    <w:rsid w:val="10A9593D"/>
    <w:rsid w:val="10AB0662"/>
    <w:rsid w:val="10BA31FF"/>
    <w:rsid w:val="10CC63A6"/>
    <w:rsid w:val="10CF32FA"/>
    <w:rsid w:val="10DE7C00"/>
    <w:rsid w:val="10E024DA"/>
    <w:rsid w:val="11150096"/>
    <w:rsid w:val="111B02EE"/>
    <w:rsid w:val="11474599"/>
    <w:rsid w:val="11566260"/>
    <w:rsid w:val="116B3023"/>
    <w:rsid w:val="116F3C27"/>
    <w:rsid w:val="11B27713"/>
    <w:rsid w:val="11EE77B0"/>
    <w:rsid w:val="12435284"/>
    <w:rsid w:val="124608C5"/>
    <w:rsid w:val="126F6B43"/>
    <w:rsid w:val="127B4B43"/>
    <w:rsid w:val="12856FF3"/>
    <w:rsid w:val="128D521B"/>
    <w:rsid w:val="129A3494"/>
    <w:rsid w:val="12A367ED"/>
    <w:rsid w:val="12F901BB"/>
    <w:rsid w:val="130A39C8"/>
    <w:rsid w:val="132A4818"/>
    <w:rsid w:val="13364A3E"/>
    <w:rsid w:val="138E124B"/>
    <w:rsid w:val="13AC73A0"/>
    <w:rsid w:val="13AD7EB8"/>
    <w:rsid w:val="13B81EC8"/>
    <w:rsid w:val="13C20EF5"/>
    <w:rsid w:val="13C72E82"/>
    <w:rsid w:val="13E26254"/>
    <w:rsid w:val="13EE15AA"/>
    <w:rsid w:val="13F43E5A"/>
    <w:rsid w:val="13F44C4B"/>
    <w:rsid w:val="14184EB4"/>
    <w:rsid w:val="143376FC"/>
    <w:rsid w:val="143556B4"/>
    <w:rsid w:val="143769B9"/>
    <w:rsid w:val="143F0797"/>
    <w:rsid w:val="14465682"/>
    <w:rsid w:val="145C7B42"/>
    <w:rsid w:val="14602BB9"/>
    <w:rsid w:val="1497412F"/>
    <w:rsid w:val="14A15046"/>
    <w:rsid w:val="14A57C7B"/>
    <w:rsid w:val="14AE1D2C"/>
    <w:rsid w:val="14C21FE1"/>
    <w:rsid w:val="14C5664B"/>
    <w:rsid w:val="14E419DE"/>
    <w:rsid w:val="14F848D3"/>
    <w:rsid w:val="14FC0523"/>
    <w:rsid w:val="152F73F9"/>
    <w:rsid w:val="1537655C"/>
    <w:rsid w:val="1565422D"/>
    <w:rsid w:val="157A590F"/>
    <w:rsid w:val="158741A4"/>
    <w:rsid w:val="159266A5"/>
    <w:rsid w:val="15A33CBC"/>
    <w:rsid w:val="15C95ACB"/>
    <w:rsid w:val="161B669A"/>
    <w:rsid w:val="161E203D"/>
    <w:rsid w:val="162437A1"/>
    <w:rsid w:val="163F7F34"/>
    <w:rsid w:val="16475106"/>
    <w:rsid w:val="164B6CB2"/>
    <w:rsid w:val="1672275E"/>
    <w:rsid w:val="16753FFC"/>
    <w:rsid w:val="16797F90"/>
    <w:rsid w:val="167C182F"/>
    <w:rsid w:val="16AC1941"/>
    <w:rsid w:val="16B312C8"/>
    <w:rsid w:val="16C72945"/>
    <w:rsid w:val="16E762A2"/>
    <w:rsid w:val="16EA2C3C"/>
    <w:rsid w:val="16F2564D"/>
    <w:rsid w:val="16F51B50"/>
    <w:rsid w:val="16FA0B24"/>
    <w:rsid w:val="171A6BF8"/>
    <w:rsid w:val="17295C7F"/>
    <w:rsid w:val="173D342E"/>
    <w:rsid w:val="174F7248"/>
    <w:rsid w:val="175C6F6A"/>
    <w:rsid w:val="176F07AC"/>
    <w:rsid w:val="177133A8"/>
    <w:rsid w:val="178A5719"/>
    <w:rsid w:val="179B20F8"/>
    <w:rsid w:val="179E4A77"/>
    <w:rsid w:val="17A20BD4"/>
    <w:rsid w:val="17B9616B"/>
    <w:rsid w:val="17EB6CD9"/>
    <w:rsid w:val="17F453F5"/>
    <w:rsid w:val="180A037E"/>
    <w:rsid w:val="18383533"/>
    <w:rsid w:val="18414ADE"/>
    <w:rsid w:val="18720428"/>
    <w:rsid w:val="187310DB"/>
    <w:rsid w:val="18827918"/>
    <w:rsid w:val="18876269"/>
    <w:rsid w:val="18970EED"/>
    <w:rsid w:val="18BE612E"/>
    <w:rsid w:val="18C13529"/>
    <w:rsid w:val="18D40F01"/>
    <w:rsid w:val="19127B31"/>
    <w:rsid w:val="19270BFF"/>
    <w:rsid w:val="193201AF"/>
    <w:rsid w:val="19371A3D"/>
    <w:rsid w:val="194E40A6"/>
    <w:rsid w:val="198B69CE"/>
    <w:rsid w:val="198E1233"/>
    <w:rsid w:val="19935267"/>
    <w:rsid w:val="19A1335A"/>
    <w:rsid w:val="19AD1CFF"/>
    <w:rsid w:val="19AE61A3"/>
    <w:rsid w:val="19B32973"/>
    <w:rsid w:val="19D13CB4"/>
    <w:rsid w:val="19E03E83"/>
    <w:rsid w:val="19EF40C6"/>
    <w:rsid w:val="1A054CB0"/>
    <w:rsid w:val="1A141D7E"/>
    <w:rsid w:val="1A146A37"/>
    <w:rsid w:val="1A1A4985"/>
    <w:rsid w:val="1A1B310D"/>
    <w:rsid w:val="1A1D0C33"/>
    <w:rsid w:val="1A204BC7"/>
    <w:rsid w:val="1A385A6D"/>
    <w:rsid w:val="1A5605E9"/>
    <w:rsid w:val="1A7154BB"/>
    <w:rsid w:val="1A7D4B85"/>
    <w:rsid w:val="1A96061E"/>
    <w:rsid w:val="1AAA761D"/>
    <w:rsid w:val="1AE36B06"/>
    <w:rsid w:val="1AFA71C6"/>
    <w:rsid w:val="1B077874"/>
    <w:rsid w:val="1B261D69"/>
    <w:rsid w:val="1B3020AA"/>
    <w:rsid w:val="1B615EB6"/>
    <w:rsid w:val="1B723200"/>
    <w:rsid w:val="1B7D7E5C"/>
    <w:rsid w:val="1B8D1DE8"/>
    <w:rsid w:val="1BA07BC0"/>
    <w:rsid w:val="1BB90E2F"/>
    <w:rsid w:val="1C174926"/>
    <w:rsid w:val="1C232937"/>
    <w:rsid w:val="1C7118F1"/>
    <w:rsid w:val="1C760ACE"/>
    <w:rsid w:val="1CA20C86"/>
    <w:rsid w:val="1CC43606"/>
    <w:rsid w:val="1CDA105D"/>
    <w:rsid w:val="1CE95744"/>
    <w:rsid w:val="1CEE4B08"/>
    <w:rsid w:val="1CF360FC"/>
    <w:rsid w:val="1CFA0E2E"/>
    <w:rsid w:val="1D1E4859"/>
    <w:rsid w:val="1D366E04"/>
    <w:rsid w:val="1D554430"/>
    <w:rsid w:val="1D7B096A"/>
    <w:rsid w:val="1D842C87"/>
    <w:rsid w:val="1D85546D"/>
    <w:rsid w:val="1D86067F"/>
    <w:rsid w:val="1D8D4CE0"/>
    <w:rsid w:val="1DA02855"/>
    <w:rsid w:val="1DA909B5"/>
    <w:rsid w:val="1DB33843"/>
    <w:rsid w:val="1DB97FFC"/>
    <w:rsid w:val="1DD723D5"/>
    <w:rsid w:val="1E0F11DA"/>
    <w:rsid w:val="1E1B7B7F"/>
    <w:rsid w:val="1E200517"/>
    <w:rsid w:val="1E392382"/>
    <w:rsid w:val="1E3C7187"/>
    <w:rsid w:val="1E480248"/>
    <w:rsid w:val="1E625AD8"/>
    <w:rsid w:val="1E6272D6"/>
    <w:rsid w:val="1E711A1E"/>
    <w:rsid w:val="1E890F8D"/>
    <w:rsid w:val="1E8E0351"/>
    <w:rsid w:val="1E944CBA"/>
    <w:rsid w:val="1EA77665"/>
    <w:rsid w:val="1EAA2419"/>
    <w:rsid w:val="1EE66125"/>
    <w:rsid w:val="1F1B770B"/>
    <w:rsid w:val="1F3233D2"/>
    <w:rsid w:val="1F38206B"/>
    <w:rsid w:val="1F3A5DE3"/>
    <w:rsid w:val="1F3A674C"/>
    <w:rsid w:val="1F46307B"/>
    <w:rsid w:val="1F4C5DB0"/>
    <w:rsid w:val="1F595ABE"/>
    <w:rsid w:val="1F77089D"/>
    <w:rsid w:val="1F7A3CB3"/>
    <w:rsid w:val="1F7C289F"/>
    <w:rsid w:val="1F842044"/>
    <w:rsid w:val="1FA63478"/>
    <w:rsid w:val="1FC14756"/>
    <w:rsid w:val="1FD00E3E"/>
    <w:rsid w:val="1FD91AA0"/>
    <w:rsid w:val="200F41A6"/>
    <w:rsid w:val="20621A95"/>
    <w:rsid w:val="208471DC"/>
    <w:rsid w:val="209443FF"/>
    <w:rsid w:val="20B971DB"/>
    <w:rsid w:val="210B3EDB"/>
    <w:rsid w:val="21525AB7"/>
    <w:rsid w:val="21795840"/>
    <w:rsid w:val="217D59A1"/>
    <w:rsid w:val="21B1661F"/>
    <w:rsid w:val="21D70261"/>
    <w:rsid w:val="21DF6F3E"/>
    <w:rsid w:val="21E91A3C"/>
    <w:rsid w:val="21E95E41"/>
    <w:rsid w:val="21EC6A02"/>
    <w:rsid w:val="21F107F9"/>
    <w:rsid w:val="21FF6306"/>
    <w:rsid w:val="220646A2"/>
    <w:rsid w:val="22445794"/>
    <w:rsid w:val="225047E7"/>
    <w:rsid w:val="225B49EE"/>
    <w:rsid w:val="225B7BFE"/>
    <w:rsid w:val="225F52BC"/>
    <w:rsid w:val="23011AF4"/>
    <w:rsid w:val="23040BE2"/>
    <w:rsid w:val="2309269C"/>
    <w:rsid w:val="23092DE8"/>
    <w:rsid w:val="231F4DAE"/>
    <w:rsid w:val="233D2346"/>
    <w:rsid w:val="235D6544"/>
    <w:rsid w:val="238F42CC"/>
    <w:rsid w:val="23996392"/>
    <w:rsid w:val="23A44173"/>
    <w:rsid w:val="23C640E9"/>
    <w:rsid w:val="23D83E1C"/>
    <w:rsid w:val="2410543E"/>
    <w:rsid w:val="24254C73"/>
    <w:rsid w:val="24286B52"/>
    <w:rsid w:val="242B219E"/>
    <w:rsid w:val="242F751E"/>
    <w:rsid w:val="24406DDE"/>
    <w:rsid w:val="24681644"/>
    <w:rsid w:val="246A734E"/>
    <w:rsid w:val="24772DE1"/>
    <w:rsid w:val="24AC6A49"/>
    <w:rsid w:val="24AF2B7C"/>
    <w:rsid w:val="24CD4C5D"/>
    <w:rsid w:val="24E318DF"/>
    <w:rsid w:val="24EA2059"/>
    <w:rsid w:val="24FC660E"/>
    <w:rsid w:val="251315B0"/>
    <w:rsid w:val="251B1930"/>
    <w:rsid w:val="25275561"/>
    <w:rsid w:val="252F5CBE"/>
    <w:rsid w:val="255D6CCF"/>
    <w:rsid w:val="256D32A5"/>
    <w:rsid w:val="25746F21"/>
    <w:rsid w:val="257D111F"/>
    <w:rsid w:val="258D742B"/>
    <w:rsid w:val="25AB17E9"/>
    <w:rsid w:val="25CC5A3B"/>
    <w:rsid w:val="25D76688"/>
    <w:rsid w:val="25D81723"/>
    <w:rsid w:val="2618783A"/>
    <w:rsid w:val="262477ED"/>
    <w:rsid w:val="26286A50"/>
    <w:rsid w:val="263A491A"/>
    <w:rsid w:val="26785DA9"/>
    <w:rsid w:val="26797B10"/>
    <w:rsid w:val="268A58A2"/>
    <w:rsid w:val="26987C16"/>
    <w:rsid w:val="269956E5"/>
    <w:rsid w:val="269D0D91"/>
    <w:rsid w:val="26A77C60"/>
    <w:rsid w:val="26DD00C8"/>
    <w:rsid w:val="26FB22FC"/>
    <w:rsid w:val="27031211"/>
    <w:rsid w:val="27123262"/>
    <w:rsid w:val="27135E4D"/>
    <w:rsid w:val="27226C58"/>
    <w:rsid w:val="272D447F"/>
    <w:rsid w:val="273B4DEE"/>
    <w:rsid w:val="276460F3"/>
    <w:rsid w:val="27743E5C"/>
    <w:rsid w:val="27833A9D"/>
    <w:rsid w:val="278422F1"/>
    <w:rsid w:val="279849AC"/>
    <w:rsid w:val="279B763B"/>
    <w:rsid w:val="27A02EA3"/>
    <w:rsid w:val="27C052F3"/>
    <w:rsid w:val="27CC7BE6"/>
    <w:rsid w:val="27D74B17"/>
    <w:rsid w:val="27E47234"/>
    <w:rsid w:val="27FE6547"/>
    <w:rsid w:val="280653FC"/>
    <w:rsid w:val="28106259"/>
    <w:rsid w:val="28111579"/>
    <w:rsid w:val="28143639"/>
    <w:rsid w:val="2818512F"/>
    <w:rsid w:val="281B68EC"/>
    <w:rsid w:val="282633A8"/>
    <w:rsid w:val="282A2EFA"/>
    <w:rsid w:val="282A54E0"/>
    <w:rsid w:val="285E6839"/>
    <w:rsid w:val="2865471E"/>
    <w:rsid w:val="286F595B"/>
    <w:rsid w:val="28735A40"/>
    <w:rsid w:val="287843DF"/>
    <w:rsid w:val="2879797C"/>
    <w:rsid w:val="28981387"/>
    <w:rsid w:val="289A2243"/>
    <w:rsid w:val="28A279B8"/>
    <w:rsid w:val="28BF1C5C"/>
    <w:rsid w:val="28E514B5"/>
    <w:rsid w:val="28E66C6A"/>
    <w:rsid w:val="28E82024"/>
    <w:rsid w:val="29080D00"/>
    <w:rsid w:val="29372E5B"/>
    <w:rsid w:val="2948584E"/>
    <w:rsid w:val="29533F58"/>
    <w:rsid w:val="29693E94"/>
    <w:rsid w:val="298F739D"/>
    <w:rsid w:val="29E168BD"/>
    <w:rsid w:val="29F63F49"/>
    <w:rsid w:val="2A01526D"/>
    <w:rsid w:val="2A01609A"/>
    <w:rsid w:val="2A074070"/>
    <w:rsid w:val="2A40615F"/>
    <w:rsid w:val="2A8B7E3A"/>
    <w:rsid w:val="2A9211C9"/>
    <w:rsid w:val="2A976C6F"/>
    <w:rsid w:val="2AB1011E"/>
    <w:rsid w:val="2AB70C30"/>
    <w:rsid w:val="2AE82B97"/>
    <w:rsid w:val="2B3438DD"/>
    <w:rsid w:val="2B4029D3"/>
    <w:rsid w:val="2B54647E"/>
    <w:rsid w:val="2B5D4F12"/>
    <w:rsid w:val="2B5E10AB"/>
    <w:rsid w:val="2B660F5B"/>
    <w:rsid w:val="2B6D12EE"/>
    <w:rsid w:val="2B820A2F"/>
    <w:rsid w:val="2B870602"/>
    <w:rsid w:val="2B991C14"/>
    <w:rsid w:val="2B9B22FF"/>
    <w:rsid w:val="2BA2543C"/>
    <w:rsid w:val="2BA33828"/>
    <w:rsid w:val="2BBB0ECF"/>
    <w:rsid w:val="2BC26463"/>
    <w:rsid w:val="2BCD5161"/>
    <w:rsid w:val="2BD55811"/>
    <w:rsid w:val="2C0412C3"/>
    <w:rsid w:val="2C1A1476"/>
    <w:rsid w:val="2C1D2D14"/>
    <w:rsid w:val="2C3758DA"/>
    <w:rsid w:val="2C522715"/>
    <w:rsid w:val="2C704ADF"/>
    <w:rsid w:val="2C732934"/>
    <w:rsid w:val="2C796D04"/>
    <w:rsid w:val="2C934D84"/>
    <w:rsid w:val="2CAD5E46"/>
    <w:rsid w:val="2CB745EA"/>
    <w:rsid w:val="2CC04EFA"/>
    <w:rsid w:val="2CC43900"/>
    <w:rsid w:val="2CE46028"/>
    <w:rsid w:val="2CE97A3C"/>
    <w:rsid w:val="2CF2792E"/>
    <w:rsid w:val="2D0405E4"/>
    <w:rsid w:val="2D371BB4"/>
    <w:rsid w:val="2D4C1B03"/>
    <w:rsid w:val="2D5D05FB"/>
    <w:rsid w:val="2D6D7CCB"/>
    <w:rsid w:val="2D74105A"/>
    <w:rsid w:val="2DA27975"/>
    <w:rsid w:val="2DB022C4"/>
    <w:rsid w:val="2DE715FE"/>
    <w:rsid w:val="2DED3D4D"/>
    <w:rsid w:val="2DEE4968"/>
    <w:rsid w:val="2DFE2383"/>
    <w:rsid w:val="2E0421ED"/>
    <w:rsid w:val="2E0979F4"/>
    <w:rsid w:val="2E16582B"/>
    <w:rsid w:val="2E1F28B7"/>
    <w:rsid w:val="2E623682"/>
    <w:rsid w:val="2E67296D"/>
    <w:rsid w:val="2EA018E4"/>
    <w:rsid w:val="2EAD7430"/>
    <w:rsid w:val="2ED51684"/>
    <w:rsid w:val="2ED81174"/>
    <w:rsid w:val="2EE3551D"/>
    <w:rsid w:val="2F2C2DF5"/>
    <w:rsid w:val="2F4D56BE"/>
    <w:rsid w:val="2F55631E"/>
    <w:rsid w:val="2F792957"/>
    <w:rsid w:val="30000983"/>
    <w:rsid w:val="30133FEC"/>
    <w:rsid w:val="30274161"/>
    <w:rsid w:val="305817FE"/>
    <w:rsid w:val="30631342"/>
    <w:rsid w:val="30657FF4"/>
    <w:rsid w:val="306D17AC"/>
    <w:rsid w:val="30BB41F2"/>
    <w:rsid w:val="30C3638E"/>
    <w:rsid w:val="30CE282F"/>
    <w:rsid w:val="30D91FC5"/>
    <w:rsid w:val="30DF2C8E"/>
    <w:rsid w:val="30E12562"/>
    <w:rsid w:val="30F43637"/>
    <w:rsid w:val="310B4584"/>
    <w:rsid w:val="310B6782"/>
    <w:rsid w:val="310D77FB"/>
    <w:rsid w:val="31230DCD"/>
    <w:rsid w:val="31243717"/>
    <w:rsid w:val="313A2085"/>
    <w:rsid w:val="315E0057"/>
    <w:rsid w:val="317D6BC6"/>
    <w:rsid w:val="31846894"/>
    <w:rsid w:val="31A33CBC"/>
    <w:rsid w:val="31A50EFF"/>
    <w:rsid w:val="31A65375"/>
    <w:rsid w:val="31A95387"/>
    <w:rsid w:val="31BD5F7C"/>
    <w:rsid w:val="31C8654E"/>
    <w:rsid w:val="31E3055C"/>
    <w:rsid w:val="31EB11BF"/>
    <w:rsid w:val="31FC517A"/>
    <w:rsid w:val="32047A19"/>
    <w:rsid w:val="320539CB"/>
    <w:rsid w:val="32286DC6"/>
    <w:rsid w:val="325712F5"/>
    <w:rsid w:val="326E10B0"/>
    <w:rsid w:val="32855FEF"/>
    <w:rsid w:val="328A5135"/>
    <w:rsid w:val="32B36180"/>
    <w:rsid w:val="32B92120"/>
    <w:rsid w:val="32C80E51"/>
    <w:rsid w:val="32CD2946"/>
    <w:rsid w:val="32E832F0"/>
    <w:rsid w:val="32FB021A"/>
    <w:rsid w:val="332E1CAB"/>
    <w:rsid w:val="33301D0B"/>
    <w:rsid w:val="334F3DB0"/>
    <w:rsid w:val="33783FBC"/>
    <w:rsid w:val="33830490"/>
    <w:rsid w:val="33B271F9"/>
    <w:rsid w:val="33B71435"/>
    <w:rsid w:val="33D4015C"/>
    <w:rsid w:val="33D740F0"/>
    <w:rsid w:val="33F16F60"/>
    <w:rsid w:val="340A0C8D"/>
    <w:rsid w:val="340A1DD0"/>
    <w:rsid w:val="341354EF"/>
    <w:rsid w:val="345A26F2"/>
    <w:rsid w:val="346911EC"/>
    <w:rsid w:val="34960665"/>
    <w:rsid w:val="34A226D4"/>
    <w:rsid w:val="34B0567F"/>
    <w:rsid w:val="34C957E7"/>
    <w:rsid w:val="34D26EB9"/>
    <w:rsid w:val="34D67ABD"/>
    <w:rsid w:val="34E17474"/>
    <w:rsid w:val="354229F0"/>
    <w:rsid w:val="354C1958"/>
    <w:rsid w:val="35817F56"/>
    <w:rsid w:val="358B50DA"/>
    <w:rsid w:val="35AB313F"/>
    <w:rsid w:val="35C47314"/>
    <w:rsid w:val="35C57746"/>
    <w:rsid w:val="35CA2818"/>
    <w:rsid w:val="35DF3E2C"/>
    <w:rsid w:val="35E623C9"/>
    <w:rsid w:val="35FE0837"/>
    <w:rsid w:val="36020F5F"/>
    <w:rsid w:val="360D5BA8"/>
    <w:rsid w:val="361231BE"/>
    <w:rsid w:val="36434E45"/>
    <w:rsid w:val="365657A0"/>
    <w:rsid w:val="3658090C"/>
    <w:rsid w:val="36587762"/>
    <w:rsid w:val="366A124C"/>
    <w:rsid w:val="36D34E97"/>
    <w:rsid w:val="36D466C5"/>
    <w:rsid w:val="36EE2FB3"/>
    <w:rsid w:val="36EF34FF"/>
    <w:rsid w:val="3707610F"/>
    <w:rsid w:val="371145C5"/>
    <w:rsid w:val="372A6A61"/>
    <w:rsid w:val="372D39A1"/>
    <w:rsid w:val="37405B09"/>
    <w:rsid w:val="374D3D49"/>
    <w:rsid w:val="37504CCE"/>
    <w:rsid w:val="377D1237"/>
    <w:rsid w:val="37893954"/>
    <w:rsid w:val="378B27F2"/>
    <w:rsid w:val="37AE5168"/>
    <w:rsid w:val="37B6689D"/>
    <w:rsid w:val="37BE0BC2"/>
    <w:rsid w:val="37D56B99"/>
    <w:rsid w:val="37EA038C"/>
    <w:rsid w:val="380723E4"/>
    <w:rsid w:val="381176A2"/>
    <w:rsid w:val="38353194"/>
    <w:rsid w:val="3885411B"/>
    <w:rsid w:val="38944E4B"/>
    <w:rsid w:val="38C411D2"/>
    <w:rsid w:val="38D1110E"/>
    <w:rsid w:val="38D2556D"/>
    <w:rsid w:val="391351E0"/>
    <w:rsid w:val="39220A44"/>
    <w:rsid w:val="393670ED"/>
    <w:rsid w:val="396134C2"/>
    <w:rsid w:val="399D7D96"/>
    <w:rsid w:val="399E1F45"/>
    <w:rsid w:val="39A00D1B"/>
    <w:rsid w:val="39A706A6"/>
    <w:rsid w:val="39AA3828"/>
    <w:rsid w:val="39AC56D7"/>
    <w:rsid w:val="39B42872"/>
    <w:rsid w:val="39D733F3"/>
    <w:rsid w:val="39EF1C7E"/>
    <w:rsid w:val="39FA113F"/>
    <w:rsid w:val="3A145757"/>
    <w:rsid w:val="3A2A4F7A"/>
    <w:rsid w:val="3A6C45A9"/>
    <w:rsid w:val="3A805574"/>
    <w:rsid w:val="3A95616C"/>
    <w:rsid w:val="3A9B69B4"/>
    <w:rsid w:val="3AAD1707"/>
    <w:rsid w:val="3ACB5E40"/>
    <w:rsid w:val="3AEF471F"/>
    <w:rsid w:val="3AFB2473"/>
    <w:rsid w:val="3AFE64E8"/>
    <w:rsid w:val="3B143534"/>
    <w:rsid w:val="3B2E3617"/>
    <w:rsid w:val="3B2F65C0"/>
    <w:rsid w:val="3B3C073C"/>
    <w:rsid w:val="3B5C5620"/>
    <w:rsid w:val="3B6C511E"/>
    <w:rsid w:val="3B6E70E8"/>
    <w:rsid w:val="3B844933"/>
    <w:rsid w:val="3B8D0D73"/>
    <w:rsid w:val="3BC1546A"/>
    <w:rsid w:val="3BC431AC"/>
    <w:rsid w:val="3BD42A90"/>
    <w:rsid w:val="3BDD7DCA"/>
    <w:rsid w:val="3BE2056A"/>
    <w:rsid w:val="3C0F2CFF"/>
    <w:rsid w:val="3C221C81"/>
    <w:rsid w:val="3C234A31"/>
    <w:rsid w:val="3C2A03C4"/>
    <w:rsid w:val="3C63058A"/>
    <w:rsid w:val="3C7563E4"/>
    <w:rsid w:val="3C7F70D3"/>
    <w:rsid w:val="3D0657A9"/>
    <w:rsid w:val="3D38480A"/>
    <w:rsid w:val="3D3954D4"/>
    <w:rsid w:val="3D803103"/>
    <w:rsid w:val="3D9B618F"/>
    <w:rsid w:val="3DBE4AA6"/>
    <w:rsid w:val="3DC15BF5"/>
    <w:rsid w:val="3DCA72A8"/>
    <w:rsid w:val="3DCC00F6"/>
    <w:rsid w:val="3DDA1BF9"/>
    <w:rsid w:val="3DDD2303"/>
    <w:rsid w:val="3DE46669"/>
    <w:rsid w:val="3DE47B36"/>
    <w:rsid w:val="3DEA1EB4"/>
    <w:rsid w:val="3DEE6AFA"/>
    <w:rsid w:val="3DF4041D"/>
    <w:rsid w:val="3DF5589F"/>
    <w:rsid w:val="3E133F77"/>
    <w:rsid w:val="3E1639E5"/>
    <w:rsid w:val="3E18333B"/>
    <w:rsid w:val="3E2C08DF"/>
    <w:rsid w:val="3E436B44"/>
    <w:rsid w:val="3E4A5E40"/>
    <w:rsid w:val="3E607F66"/>
    <w:rsid w:val="3E6920CB"/>
    <w:rsid w:val="3E764706"/>
    <w:rsid w:val="3E7D7914"/>
    <w:rsid w:val="3E846C23"/>
    <w:rsid w:val="3E985BD3"/>
    <w:rsid w:val="3EB275B0"/>
    <w:rsid w:val="3EBB23C4"/>
    <w:rsid w:val="3ED100BA"/>
    <w:rsid w:val="3EDE2E31"/>
    <w:rsid w:val="3EFB5137"/>
    <w:rsid w:val="3F0E2284"/>
    <w:rsid w:val="3F28582E"/>
    <w:rsid w:val="3F2C52F0"/>
    <w:rsid w:val="3F402B4A"/>
    <w:rsid w:val="3F4E02ED"/>
    <w:rsid w:val="3F5E1365"/>
    <w:rsid w:val="3F602105"/>
    <w:rsid w:val="3F710F55"/>
    <w:rsid w:val="3F836EDA"/>
    <w:rsid w:val="3FAA4467"/>
    <w:rsid w:val="3FC27A03"/>
    <w:rsid w:val="3FC61553"/>
    <w:rsid w:val="3FD35A76"/>
    <w:rsid w:val="3FD6525C"/>
    <w:rsid w:val="3FDD3AA0"/>
    <w:rsid w:val="3FE5751C"/>
    <w:rsid w:val="3FF12096"/>
    <w:rsid w:val="3FF878C8"/>
    <w:rsid w:val="40186BE1"/>
    <w:rsid w:val="402736CA"/>
    <w:rsid w:val="40516596"/>
    <w:rsid w:val="406E7B8B"/>
    <w:rsid w:val="40882E6C"/>
    <w:rsid w:val="4090365D"/>
    <w:rsid w:val="40C41559"/>
    <w:rsid w:val="40D95004"/>
    <w:rsid w:val="40E60834"/>
    <w:rsid w:val="40EB4D37"/>
    <w:rsid w:val="41032CAF"/>
    <w:rsid w:val="41153AD5"/>
    <w:rsid w:val="41202C33"/>
    <w:rsid w:val="413D1A37"/>
    <w:rsid w:val="413D375A"/>
    <w:rsid w:val="414D154E"/>
    <w:rsid w:val="414D77A0"/>
    <w:rsid w:val="41523BBA"/>
    <w:rsid w:val="415723CD"/>
    <w:rsid w:val="416156CA"/>
    <w:rsid w:val="418F7DB9"/>
    <w:rsid w:val="41934623"/>
    <w:rsid w:val="419C2A9B"/>
    <w:rsid w:val="41C9151C"/>
    <w:rsid w:val="41E974C9"/>
    <w:rsid w:val="41ED4859"/>
    <w:rsid w:val="42087906"/>
    <w:rsid w:val="420C1F2C"/>
    <w:rsid w:val="421309EA"/>
    <w:rsid w:val="421D0D04"/>
    <w:rsid w:val="422300C9"/>
    <w:rsid w:val="422A5E1B"/>
    <w:rsid w:val="422C46B1"/>
    <w:rsid w:val="424D21A0"/>
    <w:rsid w:val="425863FC"/>
    <w:rsid w:val="425C3CBE"/>
    <w:rsid w:val="42823479"/>
    <w:rsid w:val="42903DE8"/>
    <w:rsid w:val="42A15FF5"/>
    <w:rsid w:val="42A67551"/>
    <w:rsid w:val="42B90252"/>
    <w:rsid w:val="42BF73A7"/>
    <w:rsid w:val="42C85330"/>
    <w:rsid w:val="42D73C52"/>
    <w:rsid w:val="42D9002B"/>
    <w:rsid w:val="42DD05ED"/>
    <w:rsid w:val="42E01AC5"/>
    <w:rsid w:val="430B098D"/>
    <w:rsid w:val="43160791"/>
    <w:rsid w:val="436037BB"/>
    <w:rsid w:val="43652320"/>
    <w:rsid w:val="436534D6"/>
    <w:rsid w:val="43664D64"/>
    <w:rsid w:val="438F3164"/>
    <w:rsid w:val="43926610"/>
    <w:rsid w:val="439C056B"/>
    <w:rsid w:val="43A6660D"/>
    <w:rsid w:val="43AF4742"/>
    <w:rsid w:val="43B9736F"/>
    <w:rsid w:val="43BC3E10"/>
    <w:rsid w:val="43CE06CA"/>
    <w:rsid w:val="43D85AB0"/>
    <w:rsid w:val="44056110"/>
    <w:rsid w:val="442A1C1D"/>
    <w:rsid w:val="447207D7"/>
    <w:rsid w:val="4475773A"/>
    <w:rsid w:val="44853D1A"/>
    <w:rsid w:val="44A34FEE"/>
    <w:rsid w:val="44C4421D"/>
    <w:rsid w:val="44E26451"/>
    <w:rsid w:val="451707F1"/>
    <w:rsid w:val="451F56A7"/>
    <w:rsid w:val="452F7506"/>
    <w:rsid w:val="453579B5"/>
    <w:rsid w:val="455E01CE"/>
    <w:rsid w:val="45643FE4"/>
    <w:rsid w:val="45921C25"/>
    <w:rsid w:val="45985308"/>
    <w:rsid w:val="45BB5620"/>
    <w:rsid w:val="45CF0727"/>
    <w:rsid w:val="45E12604"/>
    <w:rsid w:val="45F31F56"/>
    <w:rsid w:val="460826A6"/>
    <w:rsid w:val="46096C0E"/>
    <w:rsid w:val="461211F3"/>
    <w:rsid w:val="463311B9"/>
    <w:rsid w:val="463B1AC1"/>
    <w:rsid w:val="465B4AC2"/>
    <w:rsid w:val="46651908"/>
    <w:rsid w:val="466544AC"/>
    <w:rsid w:val="4666290D"/>
    <w:rsid w:val="46767799"/>
    <w:rsid w:val="468679DC"/>
    <w:rsid w:val="46A47F51"/>
    <w:rsid w:val="46D96F15"/>
    <w:rsid w:val="46E42955"/>
    <w:rsid w:val="46ED45C7"/>
    <w:rsid w:val="46F661E4"/>
    <w:rsid w:val="46FA78FD"/>
    <w:rsid w:val="47022DDB"/>
    <w:rsid w:val="47024F61"/>
    <w:rsid w:val="470E352E"/>
    <w:rsid w:val="4721234A"/>
    <w:rsid w:val="4735602C"/>
    <w:rsid w:val="47466CE9"/>
    <w:rsid w:val="47A143A2"/>
    <w:rsid w:val="47A3011A"/>
    <w:rsid w:val="47B2035D"/>
    <w:rsid w:val="47B61448"/>
    <w:rsid w:val="47BC2492"/>
    <w:rsid w:val="47C22C96"/>
    <w:rsid w:val="47C87B80"/>
    <w:rsid w:val="47D34B28"/>
    <w:rsid w:val="47D470D4"/>
    <w:rsid w:val="47E250E6"/>
    <w:rsid w:val="47E524E0"/>
    <w:rsid w:val="48172F28"/>
    <w:rsid w:val="48480CC1"/>
    <w:rsid w:val="48734F6C"/>
    <w:rsid w:val="488009FE"/>
    <w:rsid w:val="48A6529D"/>
    <w:rsid w:val="48B102D4"/>
    <w:rsid w:val="48B54EE6"/>
    <w:rsid w:val="48BF176A"/>
    <w:rsid w:val="48CF4000"/>
    <w:rsid w:val="48DD3C8A"/>
    <w:rsid w:val="48EC5B2F"/>
    <w:rsid w:val="48FC08B3"/>
    <w:rsid w:val="4904108C"/>
    <w:rsid w:val="490D764D"/>
    <w:rsid w:val="49284D7B"/>
    <w:rsid w:val="49331971"/>
    <w:rsid w:val="49683C1F"/>
    <w:rsid w:val="49A21DDA"/>
    <w:rsid w:val="49CB2F9F"/>
    <w:rsid w:val="49E07403"/>
    <w:rsid w:val="49E35145"/>
    <w:rsid w:val="49EC46CD"/>
    <w:rsid w:val="49F647DE"/>
    <w:rsid w:val="4A05102B"/>
    <w:rsid w:val="4A192B91"/>
    <w:rsid w:val="4A1A5AB7"/>
    <w:rsid w:val="4A1A7368"/>
    <w:rsid w:val="4A3B1B2F"/>
    <w:rsid w:val="4A4C2273"/>
    <w:rsid w:val="4A6629D9"/>
    <w:rsid w:val="4A804742"/>
    <w:rsid w:val="4A826ECA"/>
    <w:rsid w:val="4A901A63"/>
    <w:rsid w:val="4A9C5875"/>
    <w:rsid w:val="4ADA0BDD"/>
    <w:rsid w:val="4AF95895"/>
    <w:rsid w:val="4B005E93"/>
    <w:rsid w:val="4B221C9D"/>
    <w:rsid w:val="4B4C4394"/>
    <w:rsid w:val="4B6A5537"/>
    <w:rsid w:val="4B961BCB"/>
    <w:rsid w:val="4B994494"/>
    <w:rsid w:val="4BA66E4E"/>
    <w:rsid w:val="4BAF1EBA"/>
    <w:rsid w:val="4BB016BF"/>
    <w:rsid w:val="4BCB7C3F"/>
    <w:rsid w:val="4BDD1602"/>
    <w:rsid w:val="4BEA681C"/>
    <w:rsid w:val="4C006E06"/>
    <w:rsid w:val="4C067046"/>
    <w:rsid w:val="4C147838"/>
    <w:rsid w:val="4C413959"/>
    <w:rsid w:val="4C492D39"/>
    <w:rsid w:val="4C513C74"/>
    <w:rsid w:val="4C5A0D04"/>
    <w:rsid w:val="4C653BF0"/>
    <w:rsid w:val="4C667968"/>
    <w:rsid w:val="4C6F4027"/>
    <w:rsid w:val="4CD84C1D"/>
    <w:rsid w:val="4CDD5E7C"/>
    <w:rsid w:val="4CE444B6"/>
    <w:rsid w:val="4CFD19D8"/>
    <w:rsid w:val="4D131782"/>
    <w:rsid w:val="4D140C47"/>
    <w:rsid w:val="4D1F6494"/>
    <w:rsid w:val="4D243AAB"/>
    <w:rsid w:val="4D2910C1"/>
    <w:rsid w:val="4D2B3253"/>
    <w:rsid w:val="4D2C3A27"/>
    <w:rsid w:val="4D445EFB"/>
    <w:rsid w:val="4D620C04"/>
    <w:rsid w:val="4D677E3B"/>
    <w:rsid w:val="4D6C5694"/>
    <w:rsid w:val="4D947FAC"/>
    <w:rsid w:val="4DB76A0C"/>
    <w:rsid w:val="4DCB549E"/>
    <w:rsid w:val="4DE33966"/>
    <w:rsid w:val="4DED6593"/>
    <w:rsid w:val="4DFE3C67"/>
    <w:rsid w:val="4E0833CC"/>
    <w:rsid w:val="4E202280"/>
    <w:rsid w:val="4E2F2707"/>
    <w:rsid w:val="4E720846"/>
    <w:rsid w:val="4E747A56"/>
    <w:rsid w:val="4E8527F6"/>
    <w:rsid w:val="4E8D38D2"/>
    <w:rsid w:val="4E8D576B"/>
    <w:rsid w:val="4EBB6FE2"/>
    <w:rsid w:val="4F035942"/>
    <w:rsid w:val="4F0A0A7E"/>
    <w:rsid w:val="4F0D561E"/>
    <w:rsid w:val="4F2A7771"/>
    <w:rsid w:val="4F416B96"/>
    <w:rsid w:val="4F437FC5"/>
    <w:rsid w:val="4F751524"/>
    <w:rsid w:val="4F795EAC"/>
    <w:rsid w:val="4F7A0475"/>
    <w:rsid w:val="4F8F2595"/>
    <w:rsid w:val="4F8F5307"/>
    <w:rsid w:val="4F8F5511"/>
    <w:rsid w:val="4F9541FD"/>
    <w:rsid w:val="4FA226AC"/>
    <w:rsid w:val="4FAB39C4"/>
    <w:rsid w:val="4FC41575"/>
    <w:rsid w:val="4FE62FE1"/>
    <w:rsid w:val="4FFA6B2C"/>
    <w:rsid w:val="5000564D"/>
    <w:rsid w:val="500B40DE"/>
    <w:rsid w:val="501E6ED7"/>
    <w:rsid w:val="50290F9F"/>
    <w:rsid w:val="504F52E3"/>
    <w:rsid w:val="505C08E8"/>
    <w:rsid w:val="506A2CD6"/>
    <w:rsid w:val="50775761"/>
    <w:rsid w:val="507C1788"/>
    <w:rsid w:val="50852AB2"/>
    <w:rsid w:val="508A1E77"/>
    <w:rsid w:val="508C0AB4"/>
    <w:rsid w:val="50973491"/>
    <w:rsid w:val="50986486"/>
    <w:rsid w:val="50AC5377"/>
    <w:rsid w:val="50C23D07"/>
    <w:rsid w:val="50D66AFC"/>
    <w:rsid w:val="50EF1417"/>
    <w:rsid w:val="50FC6DDC"/>
    <w:rsid w:val="50FF3213"/>
    <w:rsid w:val="5107796B"/>
    <w:rsid w:val="510C14D2"/>
    <w:rsid w:val="510C4F82"/>
    <w:rsid w:val="511D03CE"/>
    <w:rsid w:val="51241F2C"/>
    <w:rsid w:val="512E17AD"/>
    <w:rsid w:val="51327784"/>
    <w:rsid w:val="513553F8"/>
    <w:rsid w:val="515236F9"/>
    <w:rsid w:val="516F6B28"/>
    <w:rsid w:val="518C60C3"/>
    <w:rsid w:val="519A07DF"/>
    <w:rsid w:val="51A25EE6"/>
    <w:rsid w:val="51B75EF7"/>
    <w:rsid w:val="51D37233"/>
    <w:rsid w:val="520F22EE"/>
    <w:rsid w:val="5217054A"/>
    <w:rsid w:val="521D1D55"/>
    <w:rsid w:val="523A167B"/>
    <w:rsid w:val="523A74F6"/>
    <w:rsid w:val="523F5C4A"/>
    <w:rsid w:val="524822D3"/>
    <w:rsid w:val="524C1A71"/>
    <w:rsid w:val="525366EA"/>
    <w:rsid w:val="525F5585"/>
    <w:rsid w:val="527458E8"/>
    <w:rsid w:val="5288324E"/>
    <w:rsid w:val="52A31916"/>
    <w:rsid w:val="52BE7252"/>
    <w:rsid w:val="52C849DE"/>
    <w:rsid w:val="52CA6EA2"/>
    <w:rsid w:val="52DC0984"/>
    <w:rsid w:val="52E15F9A"/>
    <w:rsid w:val="52E6760E"/>
    <w:rsid w:val="52F1599F"/>
    <w:rsid w:val="53163E96"/>
    <w:rsid w:val="532D13D0"/>
    <w:rsid w:val="532E1F10"/>
    <w:rsid w:val="53574490"/>
    <w:rsid w:val="53681016"/>
    <w:rsid w:val="536C629E"/>
    <w:rsid w:val="5373560C"/>
    <w:rsid w:val="537D3F15"/>
    <w:rsid w:val="53B434DF"/>
    <w:rsid w:val="53BE1870"/>
    <w:rsid w:val="53C26984"/>
    <w:rsid w:val="53C955B4"/>
    <w:rsid w:val="53F65A75"/>
    <w:rsid w:val="53F6633A"/>
    <w:rsid w:val="53FF3FBF"/>
    <w:rsid w:val="540168F4"/>
    <w:rsid w:val="54036F2B"/>
    <w:rsid w:val="54295E4B"/>
    <w:rsid w:val="54370568"/>
    <w:rsid w:val="546126FE"/>
    <w:rsid w:val="548337AD"/>
    <w:rsid w:val="54A72E72"/>
    <w:rsid w:val="54E04059"/>
    <w:rsid w:val="54EF79E3"/>
    <w:rsid w:val="54FB3107"/>
    <w:rsid w:val="54FF095A"/>
    <w:rsid w:val="550146D2"/>
    <w:rsid w:val="55052414"/>
    <w:rsid w:val="55064F42"/>
    <w:rsid w:val="5507618C"/>
    <w:rsid w:val="5512068D"/>
    <w:rsid w:val="552B095F"/>
    <w:rsid w:val="5534316B"/>
    <w:rsid w:val="553969A8"/>
    <w:rsid w:val="55472C07"/>
    <w:rsid w:val="55482300"/>
    <w:rsid w:val="5558677E"/>
    <w:rsid w:val="55605404"/>
    <w:rsid w:val="55631913"/>
    <w:rsid w:val="556D2286"/>
    <w:rsid w:val="557C11D1"/>
    <w:rsid w:val="55971BE1"/>
    <w:rsid w:val="55A2658D"/>
    <w:rsid w:val="55B87486"/>
    <w:rsid w:val="55BD684B"/>
    <w:rsid w:val="55D87B28"/>
    <w:rsid w:val="560C69E6"/>
    <w:rsid w:val="562141FD"/>
    <w:rsid w:val="56290384"/>
    <w:rsid w:val="562E599A"/>
    <w:rsid w:val="56827DFA"/>
    <w:rsid w:val="56866800"/>
    <w:rsid w:val="56867584"/>
    <w:rsid w:val="568C3964"/>
    <w:rsid w:val="5694495D"/>
    <w:rsid w:val="56AC5F73"/>
    <w:rsid w:val="56C31EE8"/>
    <w:rsid w:val="57252E86"/>
    <w:rsid w:val="57380B92"/>
    <w:rsid w:val="574647BD"/>
    <w:rsid w:val="574E11A9"/>
    <w:rsid w:val="57565157"/>
    <w:rsid w:val="576176AA"/>
    <w:rsid w:val="57810B57"/>
    <w:rsid w:val="57885129"/>
    <w:rsid w:val="578D66F1"/>
    <w:rsid w:val="57BF1110"/>
    <w:rsid w:val="57C2283E"/>
    <w:rsid w:val="57CA34D7"/>
    <w:rsid w:val="57CD239A"/>
    <w:rsid w:val="57D950B8"/>
    <w:rsid w:val="57E83927"/>
    <w:rsid w:val="582D3647"/>
    <w:rsid w:val="582F6BBC"/>
    <w:rsid w:val="5836637E"/>
    <w:rsid w:val="583D3C73"/>
    <w:rsid w:val="58586D5A"/>
    <w:rsid w:val="585D5C20"/>
    <w:rsid w:val="586B07E0"/>
    <w:rsid w:val="58847AF3"/>
    <w:rsid w:val="5895585D"/>
    <w:rsid w:val="58A310F9"/>
    <w:rsid w:val="58C3061C"/>
    <w:rsid w:val="592E180D"/>
    <w:rsid w:val="593257A1"/>
    <w:rsid w:val="59345076"/>
    <w:rsid w:val="59396B30"/>
    <w:rsid w:val="594A2AEB"/>
    <w:rsid w:val="5954694D"/>
    <w:rsid w:val="596811C3"/>
    <w:rsid w:val="596A3E8D"/>
    <w:rsid w:val="596F7FA0"/>
    <w:rsid w:val="59864EE8"/>
    <w:rsid w:val="599757F5"/>
    <w:rsid w:val="59D6437F"/>
    <w:rsid w:val="59DF54E5"/>
    <w:rsid w:val="59E7033A"/>
    <w:rsid w:val="59EE4D15"/>
    <w:rsid w:val="59F6057D"/>
    <w:rsid w:val="5A0F163F"/>
    <w:rsid w:val="5A1C125F"/>
    <w:rsid w:val="5A1E0981"/>
    <w:rsid w:val="5A292245"/>
    <w:rsid w:val="5A3410A5"/>
    <w:rsid w:val="5A371C4E"/>
    <w:rsid w:val="5A4C5C31"/>
    <w:rsid w:val="5A4E660B"/>
    <w:rsid w:val="5AB03D38"/>
    <w:rsid w:val="5AC16DDD"/>
    <w:rsid w:val="5AE8436A"/>
    <w:rsid w:val="5AFA216F"/>
    <w:rsid w:val="5B3C6463"/>
    <w:rsid w:val="5B471417"/>
    <w:rsid w:val="5B500161"/>
    <w:rsid w:val="5B563BDB"/>
    <w:rsid w:val="5B6B4FF2"/>
    <w:rsid w:val="5B793214"/>
    <w:rsid w:val="5B85605C"/>
    <w:rsid w:val="5B94004E"/>
    <w:rsid w:val="5BC76884"/>
    <w:rsid w:val="5BEB1783"/>
    <w:rsid w:val="5BED535D"/>
    <w:rsid w:val="5BF1724E"/>
    <w:rsid w:val="5C0A6562"/>
    <w:rsid w:val="5C251444"/>
    <w:rsid w:val="5C2632F7"/>
    <w:rsid w:val="5C4001D5"/>
    <w:rsid w:val="5C5A5254"/>
    <w:rsid w:val="5C9347A9"/>
    <w:rsid w:val="5C9D6032"/>
    <w:rsid w:val="5CAF2E9D"/>
    <w:rsid w:val="5CBD21B3"/>
    <w:rsid w:val="5CC22E0D"/>
    <w:rsid w:val="5CC27B0D"/>
    <w:rsid w:val="5CC608C4"/>
    <w:rsid w:val="5CCE39E3"/>
    <w:rsid w:val="5CDC2A68"/>
    <w:rsid w:val="5D2D376B"/>
    <w:rsid w:val="5D392E01"/>
    <w:rsid w:val="5D3F66DF"/>
    <w:rsid w:val="5D463E08"/>
    <w:rsid w:val="5D494E68"/>
    <w:rsid w:val="5D551973"/>
    <w:rsid w:val="5D617D3E"/>
    <w:rsid w:val="5D70031C"/>
    <w:rsid w:val="5D706898"/>
    <w:rsid w:val="5D920EE6"/>
    <w:rsid w:val="5D924A61"/>
    <w:rsid w:val="5D977D4E"/>
    <w:rsid w:val="5DA53775"/>
    <w:rsid w:val="5DC664B8"/>
    <w:rsid w:val="5DF03535"/>
    <w:rsid w:val="5DF72B16"/>
    <w:rsid w:val="5DFC50BD"/>
    <w:rsid w:val="5DFD63C2"/>
    <w:rsid w:val="5E0D5658"/>
    <w:rsid w:val="5E145476"/>
    <w:rsid w:val="5E1D0609"/>
    <w:rsid w:val="5E1D12DB"/>
    <w:rsid w:val="5E27164D"/>
    <w:rsid w:val="5E406D07"/>
    <w:rsid w:val="5E4F3C12"/>
    <w:rsid w:val="5E6D3270"/>
    <w:rsid w:val="5E7668CA"/>
    <w:rsid w:val="5E82081A"/>
    <w:rsid w:val="5E8D34AB"/>
    <w:rsid w:val="5F0D0843"/>
    <w:rsid w:val="5F11067D"/>
    <w:rsid w:val="5F14446B"/>
    <w:rsid w:val="5F2F1BA8"/>
    <w:rsid w:val="5F45229B"/>
    <w:rsid w:val="5F5024DD"/>
    <w:rsid w:val="5F625263"/>
    <w:rsid w:val="5FA1405D"/>
    <w:rsid w:val="5FA26818"/>
    <w:rsid w:val="5FEA2932"/>
    <w:rsid w:val="60025ECE"/>
    <w:rsid w:val="60101E2F"/>
    <w:rsid w:val="60240C0E"/>
    <w:rsid w:val="6025124B"/>
    <w:rsid w:val="6027474E"/>
    <w:rsid w:val="60577F1A"/>
    <w:rsid w:val="60612322"/>
    <w:rsid w:val="6089522E"/>
    <w:rsid w:val="60991EE6"/>
    <w:rsid w:val="60BB607C"/>
    <w:rsid w:val="60BD0294"/>
    <w:rsid w:val="60BE2C44"/>
    <w:rsid w:val="60CE6793"/>
    <w:rsid w:val="60D33FA2"/>
    <w:rsid w:val="61161E58"/>
    <w:rsid w:val="611C6512"/>
    <w:rsid w:val="612532A5"/>
    <w:rsid w:val="612C2AD6"/>
    <w:rsid w:val="614147D4"/>
    <w:rsid w:val="61446072"/>
    <w:rsid w:val="615A5895"/>
    <w:rsid w:val="615B7C5B"/>
    <w:rsid w:val="61671D60"/>
    <w:rsid w:val="61785156"/>
    <w:rsid w:val="617F354E"/>
    <w:rsid w:val="61A343CF"/>
    <w:rsid w:val="61C06590"/>
    <w:rsid w:val="61CB6793"/>
    <w:rsid w:val="61EC3265"/>
    <w:rsid w:val="61EF5510"/>
    <w:rsid w:val="62221679"/>
    <w:rsid w:val="622249B5"/>
    <w:rsid w:val="62285198"/>
    <w:rsid w:val="622F6D22"/>
    <w:rsid w:val="625E13B5"/>
    <w:rsid w:val="627746E2"/>
    <w:rsid w:val="62865067"/>
    <w:rsid w:val="628E03BF"/>
    <w:rsid w:val="629B6165"/>
    <w:rsid w:val="62A71AC9"/>
    <w:rsid w:val="62F11B3C"/>
    <w:rsid w:val="632F1643"/>
    <w:rsid w:val="63515EFF"/>
    <w:rsid w:val="63584057"/>
    <w:rsid w:val="635E105A"/>
    <w:rsid w:val="636261BC"/>
    <w:rsid w:val="637F3391"/>
    <w:rsid w:val="638766EA"/>
    <w:rsid w:val="639704E6"/>
    <w:rsid w:val="63AB062A"/>
    <w:rsid w:val="63B03A39"/>
    <w:rsid w:val="63B0509E"/>
    <w:rsid w:val="63D25BB7"/>
    <w:rsid w:val="63DA2FC0"/>
    <w:rsid w:val="63F41D97"/>
    <w:rsid w:val="63F55D49"/>
    <w:rsid w:val="640E1279"/>
    <w:rsid w:val="64262B05"/>
    <w:rsid w:val="64287ECD"/>
    <w:rsid w:val="643C4C03"/>
    <w:rsid w:val="645021EA"/>
    <w:rsid w:val="6456647B"/>
    <w:rsid w:val="645B57E3"/>
    <w:rsid w:val="646B7DB9"/>
    <w:rsid w:val="647902BF"/>
    <w:rsid w:val="649317EA"/>
    <w:rsid w:val="649A3955"/>
    <w:rsid w:val="64B06E9A"/>
    <w:rsid w:val="64F77737"/>
    <w:rsid w:val="651200DE"/>
    <w:rsid w:val="65182897"/>
    <w:rsid w:val="651B5361"/>
    <w:rsid w:val="65236853"/>
    <w:rsid w:val="653010DA"/>
    <w:rsid w:val="65454A50"/>
    <w:rsid w:val="65501489"/>
    <w:rsid w:val="656D4F75"/>
    <w:rsid w:val="657213FC"/>
    <w:rsid w:val="657D7DA4"/>
    <w:rsid w:val="65844B9A"/>
    <w:rsid w:val="65896749"/>
    <w:rsid w:val="658C44EA"/>
    <w:rsid w:val="659421A6"/>
    <w:rsid w:val="65957E56"/>
    <w:rsid w:val="65AB5D26"/>
    <w:rsid w:val="65C2265B"/>
    <w:rsid w:val="65E63B9C"/>
    <w:rsid w:val="65EE2A50"/>
    <w:rsid w:val="66007D67"/>
    <w:rsid w:val="660122F3"/>
    <w:rsid w:val="661E0995"/>
    <w:rsid w:val="662D1B30"/>
    <w:rsid w:val="6632293D"/>
    <w:rsid w:val="66327908"/>
    <w:rsid w:val="66523795"/>
    <w:rsid w:val="66756CCD"/>
    <w:rsid w:val="667747F4"/>
    <w:rsid w:val="66803B38"/>
    <w:rsid w:val="6686712D"/>
    <w:rsid w:val="66933851"/>
    <w:rsid w:val="66CC0FE3"/>
    <w:rsid w:val="67020A40"/>
    <w:rsid w:val="67087B42"/>
    <w:rsid w:val="675039C2"/>
    <w:rsid w:val="67523E91"/>
    <w:rsid w:val="67712CE1"/>
    <w:rsid w:val="67BB658C"/>
    <w:rsid w:val="67BF6452"/>
    <w:rsid w:val="67C81DA9"/>
    <w:rsid w:val="67C9107F"/>
    <w:rsid w:val="67DA347A"/>
    <w:rsid w:val="67E340E7"/>
    <w:rsid w:val="6805760C"/>
    <w:rsid w:val="682565B9"/>
    <w:rsid w:val="682E4E44"/>
    <w:rsid w:val="684150B9"/>
    <w:rsid w:val="684D7F02"/>
    <w:rsid w:val="686226DB"/>
    <w:rsid w:val="686E63B8"/>
    <w:rsid w:val="68743F70"/>
    <w:rsid w:val="6874548F"/>
    <w:rsid w:val="688B0A2A"/>
    <w:rsid w:val="689D0938"/>
    <w:rsid w:val="68A97CC5"/>
    <w:rsid w:val="68D93997"/>
    <w:rsid w:val="68DB3760"/>
    <w:rsid w:val="68DD1419"/>
    <w:rsid w:val="68E245DD"/>
    <w:rsid w:val="68EF720B"/>
    <w:rsid w:val="69252C2D"/>
    <w:rsid w:val="69401DA6"/>
    <w:rsid w:val="69607E4B"/>
    <w:rsid w:val="69763B96"/>
    <w:rsid w:val="697C4909"/>
    <w:rsid w:val="6982558F"/>
    <w:rsid w:val="69852B2B"/>
    <w:rsid w:val="69B01180"/>
    <w:rsid w:val="69B566C5"/>
    <w:rsid w:val="69D114FA"/>
    <w:rsid w:val="69DE6A3D"/>
    <w:rsid w:val="69DF2DDC"/>
    <w:rsid w:val="69FF522C"/>
    <w:rsid w:val="6A0445F0"/>
    <w:rsid w:val="6A151116"/>
    <w:rsid w:val="6A254C33"/>
    <w:rsid w:val="6A3824EC"/>
    <w:rsid w:val="6A3C265A"/>
    <w:rsid w:val="6A4E3ABD"/>
    <w:rsid w:val="6A586445"/>
    <w:rsid w:val="6A5C6483"/>
    <w:rsid w:val="6A9D484F"/>
    <w:rsid w:val="6AA66486"/>
    <w:rsid w:val="6AAB0F10"/>
    <w:rsid w:val="6ABA73A5"/>
    <w:rsid w:val="6ABE26A3"/>
    <w:rsid w:val="6ABE50E7"/>
    <w:rsid w:val="6AC975E8"/>
    <w:rsid w:val="6ACA3A8C"/>
    <w:rsid w:val="6AE0505D"/>
    <w:rsid w:val="6AE0709E"/>
    <w:rsid w:val="6AE517EE"/>
    <w:rsid w:val="6AFF0467"/>
    <w:rsid w:val="6B146AB5"/>
    <w:rsid w:val="6B1F4696"/>
    <w:rsid w:val="6B3233DF"/>
    <w:rsid w:val="6B3B594A"/>
    <w:rsid w:val="6B3D55D4"/>
    <w:rsid w:val="6B6E2AC1"/>
    <w:rsid w:val="6B8754D9"/>
    <w:rsid w:val="6B906BBB"/>
    <w:rsid w:val="6BAC3463"/>
    <w:rsid w:val="6BC06C3D"/>
    <w:rsid w:val="6BC5646E"/>
    <w:rsid w:val="6BFB1A23"/>
    <w:rsid w:val="6C042FCD"/>
    <w:rsid w:val="6C0E4753"/>
    <w:rsid w:val="6C1812A0"/>
    <w:rsid w:val="6C21049A"/>
    <w:rsid w:val="6C323313"/>
    <w:rsid w:val="6C656027"/>
    <w:rsid w:val="6C7672FB"/>
    <w:rsid w:val="6C77379F"/>
    <w:rsid w:val="6C7D068A"/>
    <w:rsid w:val="6C80683A"/>
    <w:rsid w:val="6C931B27"/>
    <w:rsid w:val="6CA82754"/>
    <w:rsid w:val="6CCD4886"/>
    <w:rsid w:val="6CD67079"/>
    <w:rsid w:val="6CE1418C"/>
    <w:rsid w:val="6CFC1EF7"/>
    <w:rsid w:val="6D1755D9"/>
    <w:rsid w:val="6D21462A"/>
    <w:rsid w:val="6D323AC4"/>
    <w:rsid w:val="6D4C7A95"/>
    <w:rsid w:val="6D4F1BF8"/>
    <w:rsid w:val="6DA1296C"/>
    <w:rsid w:val="6DA57E98"/>
    <w:rsid w:val="6DAA0F9D"/>
    <w:rsid w:val="6DB4457F"/>
    <w:rsid w:val="6DBE0047"/>
    <w:rsid w:val="6DCA02AD"/>
    <w:rsid w:val="6DD83233"/>
    <w:rsid w:val="6DFB5D0A"/>
    <w:rsid w:val="6E255143"/>
    <w:rsid w:val="6E415530"/>
    <w:rsid w:val="6E4C6312"/>
    <w:rsid w:val="6E684D54"/>
    <w:rsid w:val="6E82467D"/>
    <w:rsid w:val="6E8C1058"/>
    <w:rsid w:val="6E921D0E"/>
    <w:rsid w:val="6E9C48AC"/>
    <w:rsid w:val="6EA13894"/>
    <w:rsid w:val="6EBC4D25"/>
    <w:rsid w:val="6F131A8E"/>
    <w:rsid w:val="6F345300"/>
    <w:rsid w:val="6F3C482C"/>
    <w:rsid w:val="6F434296"/>
    <w:rsid w:val="6F5222A2"/>
    <w:rsid w:val="6F66191F"/>
    <w:rsid w:val="6F6C5AC3"/>
    <w:rsid w:val="6F7F1EFD"/>
    <w:rsid w:val="6F854425"/>
    <w:rsid w:val="6F943A4C"/>
    <w:rsid w:val="6FB72056"/>
    <w:rsid w:val="6FCC5BB0"/>
    <w:rsid w:val="6FCE7B7A"/>
    <w:rsid w:val="6FD0308F"/>
    <w:rsid w:val="6FD159D2"/>
    <w:rsid w:val="6FDD0D2F"/>
    <w:rsid w:val="6FF670D1"/>
    <w:rsid w:val="701E3F13"/>
    <w:rsid w:val="7040659E"/>
    <w:rsid w:val="7042680B"/>
    <w:rsid w:val="704518D1"/>
    <w:rsid w:val="704915C5"/>
    <w:rsid w:val="70587601"/>
    <w:rsid w:val="705A7660"/>
    <w:rsid w:val="707E3B44"/>
    <w:rsid w:val="70877D29"/>
    <w:rsid w:val="709128AC"/>
    <w:rsid w:val="709A3F00"/>
    <w:rsid w:val="70B02A33"/>
    <w:rsid w:val="70C96594"/>
    <w:rsid w:val="70D16F1D"/>
    <w:rsid w:val="70D97BAF"/>
    <w:rsid w:val="70DB20A2"/>
    <w:rsid w:val="70DC66E0"/>
    <w:rsid w:val="70FC4273"/>
    <w:rsid w:val="710D7E42"/>
    <w:rsid w:val="71201629"/>
    <w:rsid w:val="712E6C91"/>
    <w:rsid w:val="715B3690"/>
    <w:rsid w:val="71660A98"/>
    <w:rsid w:val="71A175F8"/>
    <w:rsid w:val="71BA368C"/>
    <w:rsid w:val="71E85C32"/>
    <w:rsid w:val="71F95247"/>
    <w:rsid w:val="725503A1"/>
    <w:rsid w:val="725D3437"/>
    <w:rsid w:val="72756F95"/>
    <w:rsid w:val="729D0FD1"/>
    <w:rsid w:val="729D6B0E"/>
    <w:rsid w:val="72C36F94"/>
    <w:rsid w:val="72C96160"/>
    <w:rsid w:val="72CB3EF4"/>
    <w:rsid w:val="73026E75"/>
    <w:rsid w:val="730438B3"/>
    <w:rsid w:val="730516B6"/>
    <w:rsid w:val="730A1149"/>
    <w:rsid w:val="730E028E"/>
    <w:rsid w:val="73103C19"/>
    <w:rsid w:val="73113792"/>
    <w:rsid w:val="732103F4"/>
    <w:rsid w:val="733945D9"/>
    <w:rsid w:val="73555D45"/>
    <w:rsid w:val="737153BE"/>
    <w:rsid w:val="737A3B75"/>
    <w:rsid w:val="737D2893"/>
    <w:rsid w:val="73831464"/>
    <w:rsid w:val="73832A2A"/>
    <w:rsid w:val="73A25E44"/>
    <w:rsid w:val="73C21567"/>
    <w:rsid w:val="73CD470A"/>
    <w:rsid w:val="73D239B1"/>
    <w:rsid w:val="73D47729"/>
    <w:rsid w:val="73EB711A"/>
    <w:rsid w:val="740C0C71"/>
    <w:rsid w:val="741D2E7E"/>
    <w:rsid w:val="74203947"/>
    <w:rsid w:val="742C42E4"/>
    <w:rsid w:val="74363F40"/>
    <w:rsid w:val="74AA048A"/>
    <w:rsid w:val="74B16ABC"/>
    <w:rsid w:val="74D8656F"/>
    <w:rsid w:val="74DB59A5"/>
    <w:rsid w:val="74E251C4"/>
    <w:rsid w:val="74FD05BA"/>
    <w:rsid w:val="750C1C07"/>
    <w:rsid w:val="75407E9E"/>
    <w:rsid w:val="755A1EB0"/>
    <w:rsid w:val="756974B1"/>
    <w:rsid w:val="75711682"/>
    <w:rsid w:val="75833833"/>
    <w:rsid w:val="758731B4"/>
    <w:rsid w:val="75C003BD"/>
    <w:rsid w:val="75D05CCE"/>
    <w:rsid w:val="75D91027"/>
    <w:rsid w:val="75F93477"/>
    <w:rsid w:val="75FE2420"/>
    <w:rsid w:val="760342F6"/>
    <w:rsid w:val="76224BDE"/>
    <w:rsid w:val="764C7A4B"/>
    <w:rsid w:val="765508B1"/>
    <w:rsid w:val="768F16E6"/>
    <w:rsid w:val="769E3DCB"/>
    <w:rsid w:val="76A13B18"/>
    <w:rsid w:val="76A33F8C"/>
    <w:rsid w:val="76C75323"/>
    <w:rsid w:val="76C778EB"/>
    <w:rsid w:val="76DC27BA"/>
    <w:rsid w:val="76E23151"/>
    <w:rsid w:val="76EE465E"/>
    <w:rsid w:val="76F0695C"/>
    <w:rsid w:val="76FD47EF"/>
    <w:rsid w:val="77BD5432"/>
    <w:rsid w:val="77DA4BE2"/>
    <w:rsid w:val="77E03343"/>
    <w:rsid w:val="77F35CA4"/>
    <w:rsid w:val="78037532"/>
    <w:rsid w:val="7851618A"/>
    <w:rsid w:val="78632E2A"/>
    <w:rsid w:val="78670B6C"/>
    <w:rsid w:val="786D3CA8"/>
    <w:rsid w:val="78746DE5"/>
    <w:rsid w:val="7898516E"/>
    <w:rsid w:val="78C01640"/>
    <w:rsid w:val="78C4257E"/>
    <w:rsid w:val="78E73168"/>
    <w:rsid w:val="79213C3F"/>
    <w:rsid w:val="793F3897"/>
    <w:rsid w:val="79414E00"/>
    <w:rsid w:val="794A5D98"/>
    <w:rsid w:val="795442D7"/>
    <w:rsid w:val="795E654D"/>
    <w:rsid w:val="796108B4"/>
    <w:rsid w:val="7967494F"/>
    <w:rsid w:val="79775D33"/>
    <w:rsid w:val="79925CF5"/>
    <w:rsid w:val="799B4678"/>
    <w:rsid w:val="79A8657B"/>
    <w:rsid w:val="79AE5698"/>
    <w:rsid w:val="79BA2F1D"/>
    <w:rsid w:val="79BD61D8"/>
    <w:rsid w:val="79C54F5A"/>
    <w:rsid w:val="79CF4327"/>
    <w:rsid w:val="79FD2E0A"/>
    <w:rsid w:val="7A04601A"/>
    <w:rsid w:val="7A063ACD"/>
    <w:rsid w:val="7A1F7224"/>
    <w:rsid w:val="7A256189"/>
    <w:rsid w:val="7A287E87"/>
    <w:rsid w:val="7A330C0C"/>
    <w:rsid w:val="7A377612"/>
    <w:rsid w:val="7A522889"/>
    <w:rsid w:val="7A721A4A"/>
    <w:rsid w:val="7A9E33EF"/>
    <w:rsid w:val="7AB23A81"/>
    <w:rsid w:val="7AD70F6E"/>
    <w:rsid w:val="7B343339"/>
    <w:rsid w:val="7B385119"/>
    <w:rsid w:val="7B6018A2"/>
    <w:rsid w:val="7B654C6D"/>
    <w:rsid w:val="7B7974B6"/>
    <w:rsid w:val="7B876E2F"/>
    <w:rsid w:val="7B9F38FB"/>
    <w:rsid w:val="7BBC7909"/>
    <w:rsid w:val="7C395B0D"/>
    <w:rsid w:val="7C725FEE"/>
    <w:rsid w:val="7C7908A2"/>
    <w:rsid w:val="7C9E08D4"/>
    <w:rsid w:val="7CA13F21"/>
    <w:rsid w:val="7CAC7FF4"/>
    <w:rsid w:val="7CB179EB"/>
    <w:rsid w:val="7CD22CA1"/>
    <w:rsid w:val="7CDE1FD5"/>
    <w:rsid w:val="7CF60710"/>
    <w:rsid w:val="7CF64980"/>
    <w:rsid w:val="7CFA3D1C"/>
    <w:rsid w:val="7CFB5D27"/>
    <w:rsid w:val="7D0E6217"/>
    <w:rsid w:val="7D1B1696"/>
    <w:rsid w:val="7D1D5C9D"/>
    <w:rsid w:val="7D4F1BCF"/>
    <w:rsid w:val="7D5B366C"/>
    <w:rsid w:val="7D5D1BB8"/>
    <w:rsid w:val="7D7F24B4"/>
    <w:rsid w:val="7D90267C"/>
    <w:rsid w:val="7D937D0D"/>
    <w:rsid w:val="7DB42C1F"/>
    <w:rsid w:val="7DB859C6"/>
    <w:rsid w:val="7DBA399F"/>
    <w:rsid w:val="7DBF5CDB"/>
    <w:rsid w:val="7DF012AD"/>
    <w:rsid w:val="7E0666CF"/>
    <w:rsid w:val="7E2B263C"/>
    <w:rsid w:val="7E370778"/>
    <w:rsid w:val="7E4C4244"/>
    <w:rsid w:val="7E4E08FA"/>
    <w:rsid w:val="7E695398"/>
    <w:rsid w:val="7E7B5157"/>
    <w:rsid w:val="7EA64A36"/>
    <w:rsid w:val="7EB02B41"/>
    <w:rsid w:val="7EB738F3"/>
    <w:rsid w:val="7EC860DC"/>
    <w:rsid w:val="7EF31F5D"/>
    <w:rsid w:val="7F0A2251"/>
    <w:rsid w:val="7F17496E"/>
    <w:rsid w:val="7F182434"/>
    <w:rsid w:val="7F1B7FBA"/>
    <w:rsid w:val="7F587460"/>
    <w:rsid w:val="7F591A71"/>
    <w:rsid w:val="7F5E2123"/>
    <w:rsid w:val="7F6B469C"/>
    <w:rsid w:val="7F6D7B9F"/>
    <w:rsid w:val="7F707F1A"/>
    <w:rsid w:val="7F746919"/>
    <w:rsid w:val="7F7E679B"/>
    <w:rsid w:val="7F805F11"/>
    <w:rsid w:val="7F8A5140"/>
    <w:rsid w:val="7FDC37F6"/>
    <w:rsid w:val="7FF6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0"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qFormat="1" w:uiPriority="0" w:semiHidden="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iPriority="99" w:semiHidden="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156"/>
    <w:qFormat/>
    <w:uiPriority w:val="9"/>
    <w:pPr>
      <w:spacing w:line="360" w:lineRule="auto"/>
      <w:jc w:val="center"/>
      <w:outlineLvl w:val="0"/>
    </w:pPr>
    <w:rPr>
      <w:rFonts w:ascii="宋体" w:hAnsi="宋体"/>
      <w:b/>
      <w:bCs/>
      <w:kern w:val="44"/>
      <w:sz w:val="32"/>
      <w:szCs w:val="32"/>
    </w:rPr>
  </w:style>
  <w:style w:type="paragraph" w:styleId="3">
    <w:name w:val="heading 2"/>
    <w:basedOn w:val="1"/>
    <w:next w:val="1"/>
    <w:qFormat/>
    <w:uiPriority w:val="1"/>
    <w:pPr>
      <w:spacing w:before="54"/>
      <w:jc w:val="center"/>
      <w:outlineLvl w:val="1"/>
    </w:pPr>
    <w:rPr>
      <w:rFonts w:ascii="黑体" w:hAnsi="黑体" w:eastAsia="黑体"/>
      <w:b/>
      <w:bCs/>
      <w:sz w:val="35"/>
      <w:szCs w:val="35"/>
      <w:lang w:val="zh-CN" w:bidi="zh-CN"/>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0"/>
    <w:pPr>
      <w:ind w:left="420" w:leftChars="200"/>
    </w:pPr>
  </w:style>
  <w:style w:type="paragraph" w:styleId="7">
    <w:name w:val="Normal Indent"/>
    <w:basedOn w:val="1"/>
    <w:next w:val="8"/>
    <w:link w:val="148"/>
    <w:qFormat/>
    <w:uiPriority w:val="0"/>
    <w:pPr>
      <w:snapToGrid/>
      <w:spacing w:after="0" w:line="360" w:lineRule="auto"/>
      <w:ind w:firstLine="602" w:firstLineChars="200"/>
    </w:pPr>
    <w:rPr>
      <w:rFonts w:ascii="宋体" w:hAnsi="Calibri"/>
      <w:sz w:val="28"/>
      <w:szCs w:val="28"/>
      <w:lang w:eastAsia="en-US" w:bidi="en-US"/>
    </w:rPr>
  </w:style>
  <w:style w:type="paragraph" w:styleId="8">
    <w:name w:val="Body Text First Indent 2"/>
    <w:basedOn w:val="9"/>
    <w:next w:val="10"/>
    <w:unhideWhenUsed/>
    <w:qFormat/>
    <w:uiPriority w:val="99"/>
    <w:pPr>
      <w:ind w:firstLine="420" w:firstLineChars="200"/>
    </w:pPr>
  </w:style>
  <w:style w:type="paragraph" w:styleId="9">
    <w:name w:val="Body Text Indent"/>
    <w:basedOn w:val="1"/>
    <w:next w:val="1"/>
    <w:link w:val="155"/>
    <w:unhideWhenUsed/>
    <w:qFormat/>
    <w:uiPriority w:val="99"/>
    <w:pPr>
      <w:spacing w:after="120"/>
      <w:ind w:left="420" w:leftChars="200"/>
    </w:pPr>
  </w:style>
  <w:style w:type="paragraph" w:styleId="10">
    <w:name w:val="Body Text First Indent"/>
    <w:basedOn w:val="11"/>
    <w:next w:val="1"/>
    <w:qFormat/>
    <w:uiPriority w:val="0"/>
    <w:pPr>
      <w:spacing w:line="567" w:lineRule="exact"/>
      <w:ind w:firstLine="567"/>
    </w:pPr>
  </w:style>
  <w:style w:type="paragraph" w:styleId="11">
    <w:name w:val="Body Text"/>
    <w:basedOn w:val="1"/>
    <w:next w:val="1"/>
    <w:link w:val="149"/>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12">
    <w:name w:val="annotation text"/>
    <w:basedOn w:val="1"/>
    <w:qFormat/>
    <w:uiPriority w:val="99"/>
    <w:pPr>
      <w:spacing w:line="360" w:lineRule="atLeast"/>
      <w:textAlignment w:val="baseline"/>
    </w:pPr>
    <w:rPr>
      <w:sz w:val="24"/>
    </w:rPr>
  </w:style>
  <w:style w:type="paragraph" w:styleId="13">
    <w:name w:val="Body Text 3"/>
    <w:basedOn w:val="1"/>
    <w:qFormat/>
    <w:uiPriority w:val="0"/>
    <w:rPr>
      <w:sz w:val="24"/>
      <w:szCs w:val="20"/>
    </w:rPr>
  </w:style>
  <w:style w:type="paragraph" w:styleId="14">
    <w:name w:val="List 2"/>
    <w:basedOn w:val="1"/>
    <w:next w:val="13"/>
    <w:qFormat/>
    <w:uiPriority w:val="99"/>
    <w:pPr>
      <w:ind w:left="400" w:leftChars="200" w:hanging="200" w:hangingChars="200"/>
    </w:pPr>
  </w:style>
  <w:style w:type="paragraph" w:styleId="15">
    <w:name w:val="toc 3"/>
    <w:basedOn w:val="1"/>
    <w:next w:val="1"/>
    <w:unhideWhenUsed/>
    <w:qFormat/>
    <w:uiPriority w:val="39"/>
    <w:pPr>
      <w:ind w:left="840" w:leftChars="400"/>
    </w:pPr>
  </w:style>
  <w:style w:type="paragraph" w:styleId="16">
    <w:name w:val="Plain Text"/>
    <w:basedOn w:val="1"/>
    <w:qFormat/>
    <w:uiPriority w:val="0"/>
    <w:rPr>
      <w:rFonts w:hint="eastAsia" w:ascii="宋体" w:hAnsi="Calibri"/>
      <w:szCs w:val="20"/>
    </w:rPr>
  </w:style>
  <w:style w:type="paragraph" w:styleId="17">
    <w:name w:val="Date"/>
    <w:basedOn w:val="1"/>
    <w:next w:val="1"/>
    <w:link w:val="123"/>
    <w:qFormat/>
    <w:uiPriority w:val="0"/>
    <w:pPr>
      <w:adjustRightInd/>
      <w:snapToGrid/>
      <w:spacing w:after="0"/>
      <w:ind w:left="100" w:leftChars="2500"/>
      <w:jc w:val="both"/>
      <w:textAlignment w:val="baseline"/>
    </w:pPr>
    <w:rPr>
      <w:rFonts w:ascii="Times New Roman" w:hAnsi="Times New Roman" w:eastAsia="宋体"/>
      <w:kern w:val="2"/>
      <w:sz w:val="21"/>
      <w:szCs w:val="24"/>
    </w:rPr>
  </w:style>
  <w:style w:type="paragraph" w:styleId="18">
    <w:name w:val="Body Text Indent 2"/>
    <w:basedOn w:val="1"/>
    <w:next w:val="11"/>
    <w:qFormat/>
    <w:uiPriority w:val="0"/>
    <w:pPr>
      <w:spacing w:line="520" w:lineRule="exact"/>
      <w:ind w:left="181" w:firstLine="239"/>
    </w:pPr>
    <w:rPr>
      <w:rFonts w:ascii="仿宋_GB2312" w:eastAsia="仿宋_GB2312"/>
      <w:sz w:val="28"/>
      <w:szCs w:val="28"/>
      <w:lang w:val="zh-CN"/>
    </w:rPr>
  </w:style>
  <w:style w:type="paragraph" w:styleId="19">
    <w:name w:val="Balloon Text"/>
    <w:basedOn w:val="1"/>
    <w:link w:val="151"/>
    <w:unhideWhenUsed/>
    <w:qFormat/>
    <w:uiPriority w:val="99"/>
    <w:pPr>
      <w:spacing w:after="0"/>
    </w:pPr>
    <w:rPr>
      <w:sz w:val="18"/>
      <w:szCs w:val="18"/>
    </w:rPr>
  </w:style>
  <w:style w:type="paragraph" w:styleId="20">
    <w:name w:val="footer"/>
    <w:basedOn w:val="1"/>
    <w:link w:val="122"/>
    <w:unhideWhenUsed/>
    <w:qFormat/>
    <w:uiPriority w:val="0"/>
    <w:pPr>
      <w:tabs>
        <w:tab w:val="center" w:pos="4153"/>
        <w:tab w:val="right" w:pos="8306"/>
      </w:tabs>
    </w:pPr>
    <w:rPr>
      <w:sz w:val="18"/>
      <w:szCs w:val="18"/>
    </w:rPr>
  </w:style>
  <w:style w:type="paragraph" w:styleId="21">
    <w:name w:val="header"/>
    <w:basedOn w:val="1"/>
    <w:link w:val="121"/>
    <w:unhideWhenUsed/>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unhideWhenUsed/>
    <w:qFormat/>
    <w:uiPriority w:val="39"/>
  </w:style>
  <w:style w:type="paragraph" w:styleId="23">
    <w:name w:val="toc 4"/>
    <w:next w:val="1"/>
    <w:unhideWhenUsed/>
    <w:qFormat/>
    <w:uiPriority w:val="39"/>
    <w:pPr>
      <w:widowControl w:val="0"/>
      <w:spacing w:line="360" w:lineRule="auto"/>
      <w:ind w:left="630" w:firstLine="200" w:firstLineChars="200"/>
    </w:pPr>
    <w:rPr>
      <w:rFonts w:ascii="Times New Roman" w:hAnsi="Times New Roman" w:eastAsia="仿宋" w:cs="Times New Roman"/>
      <w:kern w:val="2"/>
      <w:sz w:val="18"/>
      <w:szCs w:val="18"/>
      <w:lang w:val="en-US" w:eastAsia="zh-CN" w:bidi="ar-SA"/>
    </w:rPr>
  </w:style>
  <w:style w:type="paragraph" w:styleId="24">
    <w:name w:val="toc 2"/>
    <w:basedOn w:val="1"/>
    <w:next w:val="1"/>
    <w:qFormat/>
    <w:uiPriority w:val="0"/>
    <w:pPr>
      <w:widowControl w:val="0"/>
      <w:autoSpaceDE w:val="0"/>
      <w:autoSpaceDN w:val="0"/>
      <w:adjustRightInd/>
      <w:snapToGrid/>
      <w:spacing w:after="0"/>
      <w:ind w:left="210"/>
    </w:pPr>
    <w:rPr>
      <w:rFonts w:ascii="宋体" w:hAnsi="宋体" w:eastAsia="宋体" w:cs="宋体"/>
      <w:smallCaps/>
      <w:sz w:val="20"/>
      <w:lang w:val="zh-CN" w:bidi="zh-CN"/>
    </w:rPr>
  </w:style>
  <w:style w:type="paragraph" w:styleId="25">
    <w:name w:val="Body Text 2"/>
    <w:basedOn w:val="1"/>
    <w:qFormat/>
    <w:uiPriority w:val="99"/>
    <w:pPr>
      <w:spacing w:after="120" w:line="480" w:lineRule="auto"/>
    </w:pPr>
    <w:rPr>
      <w:sz w:val="24"/>
    </w:rPr>
  </w:style>
  <w:style w:type="paragraph" w:styleId="2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page number"/>
    <w:basedOn w:val="29"/>
    <w:unhideWhenUsed/>
    <w:qFormat/>
    <w:uiPriority w:val="0"/>
  </w:style>
  <w:style w:type="character" w:styleId="32">
    <w:name w:val="FollowedHyperlink"/>
    <w:basedOn w:val="33"/>
    <w:qFormat/>
    <w:uiPriority w:val="0"/>
    <w:rPr>
      <w:color w:val="005EAC"/>
    </w:rPr>
  </w:style>
  <w:style w:type="character" w:customStyle="1" w:styleId="33">
    <w:name w:val="NormalCharacter"/>
    <w:semiHidden/>
    <w:qFormat/>
    <w:uiPriority w:val="0"/>
  </w:style>
  <w:style w:type="character" w:styleId="34">
    <w:name w:val="Emphasis"/>
    <w:basedOn w:val="29"/>
    <w:qFormat/>
    <w:uiPriority w:val="20"/>
    <w:rPr>
      <w:b/>
    </w:rPr>
  </w:style>
  <w:style w:type="character" w:styleId="35">
    <w:name w:val="HTML Definition"/>
    <w:basedOn w:val="29"/>
    <w:unhideWhenUsed/>
    <w:qFormat/>
    <w:uiPriority w:val="99"/>
  </w:style>
  <w:style w:type="character" w:styleId="36">
    <w:name w:val="HTML Typewriter"/>
    <w:basedOn w:val="29"/>
    <w:unhideWhenUsed/>
    <w:qFormat/>
    <w:uiPriority w:val="99"/>
    <w:rPr>
      <w:rFonts w:hint="default" w:ascii="monospace" w:hAnsi="monospace" w:eastAsia="monospace" w:cs="monospace"/>
      <w:sz w:val="20"/>
    </w:rPr>
  </w:style>
  <w:style w:type="character" w:styleId="37">
    <w:name w:val="HTML Acronym"/>
    <w:basedOn w:val="29"/>
    <w:unhideWhenUsed/>
    <w:qFormat/>
    <w:uiPriority w:val="99"/>
  </w:style>
  <w:style w:type="character" w:styleId="38">
    <w:name w:val="HTML Variable"/>
    <w:basedOn w:val="29"/>
    <w:unhideWhenUsed/>
    <w:qFormat/>
    <w:uiPriority w:val="99"/>
  </w:style>
  <w:style w:type="character" w:styleId="39">
    <w:name w:val="Hyperlink"/>
    <w:basedOn w:val="33"/>
    <w:qFormat/>
    <w:uiPriority w:val="0"/>
    <w:rPr>
      <w:color w:val="434343"/>
    </w:rPr>
  </w:style>
  <w:style w:type="character" w:styleId="40">
    <w:name w:val="HTML Code"/>
    <w:basedOn w:val="29"/>
    <w:unhideWhenUsed/>
    <w:qFormat/>
    <w:uiPriority w:val="99"/>
    <w:rPr>
      <w:rFonts w:ascii="monospace" w:hAnsi="monospace" w:eastAsia="monospace" w:cs="monospace"/>
      <w:sz w:val="20"/>
    </w:rPr>
  </w:style>
  <w:style w:type="character" w:styleId="41">
    <w:name w:val="HTML Cite"/>
    <w:basedOn w:val="29"/>
    <w:unhideWhenUsed/>
    <w:qFormat/>
    <w:uiPriority w:val="99"/>
  </w:style>
  <w:style w:type="character" w:styleId="42">
    <w:name w:val="HTML Keyboard"/>
    <w:basedOn w:val="29"/>
    <w:unhideWhenUsed/>
    <w:qFormat/>
    <w:uiPriority w:val="99"/>
    <w:rPr>
      <w:rFonts w:hint="default" w:ascii="monospace" w:hAnsi="monospace" w:eastAsia="monospace" w:cs="monospace"/>
      <w:sz w:val="20"/>
    </w:rPr>
  </w:style>
  <w:style w:type="character" w:styleId="43">
    <w:name w:val="HTML Sample"/>
    <w:basedOn w:val="29"/>
    <w:unhideWhenUsed/>
    <w:qFormat/>
    <w:uiPriority w:val="99"/>
    <w:rPr>
      <w:rFonts w:hint="default" w:ascii="monospace" w:hAnsi="monospace" w:eastAsia="monospace" w:cs="monospace"/>
    </w:rPr>
  </w:style>
  <w:style w:type="paragraph" w:customStyle="1" w:styleId="44">
    <w:name w:val="BodyText"/>
    <w:basedOn w:val="1"/>
    <w:next w:val="1"/>
    <w:qFormat/>
    <w:uiPriority w:val="0"/>
    <w:pPr>
      <w:adjustRightInd/>
      <w:snapToGrid/>
      <w:spacing w:after="120"/>
      <w:jc w:val="both"/>
      <w:textAlignment w:val="baseline"/>
    </w:pPr>
    <w:rPr>
      <w:rFonts w:ascii="Times New Roman" w:hAnsi="Times New Roman" w:eastAsia="宋体"/>
      <w:kern w:val="2"/>
      <w:sz w:val="21"/>
      <w:szCs w:val="24"/>
    </w:rPr>
  </w:style>
  <w:style w:type="paragraph" w:customStyle="1" w:styleId="45">
    <w:name w:val="样式 宋体 小四1 Char"/>
    <w:basedOn w:val="1"/>
    <w:qFormat/>
    <w:uiPriority w:val="0"/>
    <w:pPr>
      <w:spacing w:before="100" w:beforeAutospacing="1" w:after="100" w:afterAutospacing="1" w:line="300" w:lineRule="auto"/>
    </w:pPr>
    <w:rPr>
      <w:rFonts w:ascii="宋体" w:hAnsi="宋体" w:eastAsia="宋体" w:cs="Times New Roman"/>
      <w:szCs w:val="21"/>
    </w:rPr>
  </w:style>
  <w:style w:type="paragraph" w:customStyle="1" w:styleId="46">
    <w:name w:val="NormalIndent"/>
    <w:basedOn w:val="1"/>
    <w:next w:val="1"/>
    <w:link w:val="136"/>
    <w:qFormat/>
    <w:uiPriority w:val="0"/>
    <w:pPr>
      <w:adjustRightInd/>
      <w:snapToGrid/>
      <w:spacing w:after="0" w:line="360" w:lineRule="auto"/>
      <w:ind w:firstLine="602" w:firstLineChars="200"/>
      <w:textAlignment w:val="baseline"/>
    </w:pPr>
    <w:rPr>
      <w:rFonts w:ascii="宋体" w:hAnsi="Calibri" w:eastAsia="宋体"/>
      <w:sz w:val="28"/>
      <w:szCs w:val="28"/>
      <w:lang w:eastAsia="en-US" w:bidi="en-US"/>
    </w:rPr>
  </w:style>
  <w:style w:type="paragraph" w:customStyle="1" w:styleId="47">
    <w:name w:val="Heading1"/>
    <w:basedOn w:val="1"/>
    <w:next w:val="1"/>
    <w:link w:val="130"/>
    <w:qFormat/>
    <w:uiPriority w:val="0"/>
    <w:pPr>
      <w:adjustRightInd/>
      <w:snapToGrid/>
      <w:spacing w:after="0" w:line="360" w:lineRule="auto"/>
      <w:jc w:val="center"/>
      <w:textAlignment w:val="baseline"/>
    </w:pPr>
    <w:rPr>
      <w:rFonts w:ascii="宋体" w:hAnsi="宋体" w:eastAsia="宋体" w:cs="Times New Roman"/>
      <w:b/>
      <w:bCs/>
      <w:kern w:val="44"/>
      <w:sz w:val="28"/>
      <w:szCs w:val="28"/>
    </w:rPr>
  </w:style>
  <w:style w:type="paragraph" w:customStyle="1" w:styleId="48">
    <w:name w:val="Heading2"/>
    <w:basedOn w:val="1"/>
    <w:next w:val="1"/>
    <w:qFormat/>
    <w:uiPriority w:val="0"/>
    <w:pPr>
      <w:keepNext/>
      <w:keepLines/>
      <w:adjustRightInd/>
      <w:snapToGrid/>
      <w:spacing w:before="260" w:after="260" w:line="416" w:lineRule="auto"/>
      <w:jc w:val="both"/>
      <w:textAlignment w:val="baseline"/>
    </w:pPr>
    <w:rPr>
      <w:rFonts w:ascii="Arial" w:hAnsi="Arial" w:eastAsia="黑体" w:cs="Times New Roman"/>
      <w:b/>
      <w:bCs/>
      <w:kern w:val="2"/>
      <w:sz w:val="32"/>
      <w:szCs w:val="32"/>
    </w:rPr>
  </w:style>
  <w:style w:type="paragraph" w:customStyle="1" w:styleId="49">
    <w:name w:val="Heading3"/>
    <w:basedOn w:val="1"/>
    <w:next w:val="1"/>
    <w:qFormat/>
    <w:uiPriority w:val="0"/>
    <w:pPr>
      <w:keepNext/>
      <w:keepLines/>
      <w:adjustRightInd/>
      <w:snapToGrid/>
      <w:spacing w:before="260" w:after="260" w:line="416" w:lineRule="auto"/>
      <w:jc w:val="both"/>
      <w:textAlignment w:val="baseline"/>
    </w:pPr>
    <w:rPr>
      <w:rFonts w:ascii="Times New Roman" w:hAnsi="Times New Roman" w:eastAsia="宋体" w:cs="Times New Roman"/>
      <w:b/>
      <w:bCs/>
      <w:kern w:val="2"/>
      <w:sz w:val="32"/>
      <w:szCs w:val="32"/>
    </w:rPr>
  </w:style>
  <w:style w:type="paragraph" w:customStyle="1" w:styleId="50">
    <w:name w:val="Acetate"/>
    <w:basedOn w:val="1"/>
    <w:link w:val="129"/>
    <w:qFormat/>
    <w:uiPriority w:val="0"/>
    <w:pPr>
      <w:adjustRightInd/>
      <w:snapToGrid/>
      <w:spacing w:after="0"/>
      <w:jc w:val="both"/>
      <w:textAlignment w:val="baseline"/>
    </w:pPr>
    <w:rPr>
      <w:rFonts w:ascii="Calibri" w:hAnsi="Calibri"/>
      <w:kern w:val="2"/>
      <w:sz w:val="18"/>
      <w:szCs w:val="18"/>
    </w:rPr>
  </w:style>
  <w:style w:type="paragraph" w:customStyle="1" w:styleId="51">
    <w:name w:val="PlainText"/>
    <w:basedOn w:val="1"/>
    <w:link w:val="138"/>
    <w:qFormat/>
    <w:uiPriority w:val="0"/>
    <w:pPr>
      <w:adjustRightInd/>
      <w:snapToGrid/>
      <w:spacing w:after="0"/>
      <w:jc w:val="both"/>
      <w:textAlignment w:val="baseline"/>
    </w:pPr>
    <w:rPr>
      <w:rFonts w:ascii="宋体" w:hAnsi="Courier New"/>
      <w:kern w:val="2"/>
      <w:sz w:val="28"/>
    </w:rPr>
  </w:style>
  <w:style w:type="paragraph" w:customStyle="1" w:styleId="52">
    <w:name w:val="TOC3"/>
    <w:basedOn w:val="1"/>
    <w:next w:val="1"/>
    <w:qFormat/>
    <w:uiPriority w:val="0"/>
    <w:pPr>
      <w:adjustRightInd/>
      <w:snapToGrid/>
      <w:spacing w:after="0"/>
      <w:ind w:left="840" w:leftChars="400"/>
      <w:jc w:val="both"/>
      <w:textAlignment w:val="baseline"/>
    </w:pPr>
    <w:rPr>
      <w:rFonts w:ascii="Times New Roman" w:hAnsi="Times New Roman" w:eastAsia="宋体"/>
      <w:kern w:val="2"/>
      <w:sz w:val="21"/>
      <w:szCs w:val="24"/>
    </w:rPr>
  </w:style>
  <w:style w:type="paragraph" w:customStyle="1" w:styleId="53">
    <w:name w:val="179"/>
    <w:basedOn w:val="1"/>
    <w:qFormat/>
    <w:uiPriority w:val="0"/>
    <w:pPr>
      <w:adjustRightInd/>
      <w:snapToGrid/>
      <w:spacing w:after="0"/>
      <w:ind w:firstLine="420" w:firstLineChars="200"/>
      <w:jc w:val="both"/>
      <w:textAlignment w:val="baseline"/>
    </w:pPr>
    <w:rPr>
      <w:rFonts w:ascii="Calibri" w:hAnsi="Calibri" w:eastAsia="宋体"/>
      <w:kern w:val="2"/>
      <w:sz w:val="21"/>
    </w:rPr>
  </w:style>
  <w:style w:type="paragraph" w:customStyle="1" w:styleId="54">
    <w:name w:val="UserStyle_25"/>
    <w:basedOn w:val="1"/>
    <w:qFormat/>
    <w:uiPriority w:val="0"/>
    <w:pPr>
      <w:adjustRightInd/>
      <w:snapToGrid/>
      <w:spacing w:after="0"/>
      <w:jc w:val="both"/>
      <w:textAlignment w:val="baseline"/>
    </w:pPr>
    <w:rPr>
      <w:rFonts w:ascii="Times New Roman" w:hAnsi="Times New Roman" w:eastAsia="宋体"/>
      <w:kern w:val="2"/>
      <w:sz w:val="21"/>
      <w:szCs w:val="20"/>
    </w:rPr>
  </w:style>
  <w:style w:type="paragraph" w:customStyle="1" w:styleId="55">
    <w:name w:val="UserStyle_26"/>
    <w:basedOn w:val="1"/>
    <w:qFormat/>
    <w:uiPriority w:val="0"/>
    <w:pPr>
      <w:adjustRightInd/>
      <w:snapToGrid/>
      <w:spacing w:before="100" w:beforeAutospacing="1" w:after="100" w:afterAutospacing="1"/>
      <w:textAlignment w:val="baseline"/>
    </w:pPr>
    <w:rPr>
      <w:rFonts w:ascii="宋体" w:hAnsi="宋体" w:eastAsia="宋体"/>
      <w:sz w:val="24"/>
      <w:szCs w:val="24"/>
    </w:rPr>
  </w:style>
  <w:style w:type="paragraph" w:customStyle="1" w:styleId="56">
    <w:name w:val="BodyTextIndent"/>
    <w:basedOn w:val="1"/>
    <w:qFormat/>
    <w:uiPriority w:val="0"/>
    <w:pPr>
      <w:adjustRightInd/>
      <w:snapToGrid/>
      <w:spacing w:after="0" w:line="460" w:lineRule="exact"/>
      <w:ind w:firstLine="570"/>
      <w:jc w:val="both"/>
      <w:textAlignment w:val="baseline"/>
    </w:pPr>
    <w:rPr>
      <w:rFonts w:ascii="Times New Roman" w:hAnsi="Times New Roman" w:eastAsia="宋体" w:cs="Times New Roman"/>
      <w:b/>
      <w:bCs/>
      <w:kern w:val="2"/>
      <w:sz w:val="28"/>
      <w:szCs w:val="20"/>
    </w:rPr>
  </w:style>
  <w:style w:type="paragraph" w:customStyle="1" w:styleId="57">
    <w:name w:val="BodyTextIndent3"/>
    <w:basedOn w:val="1"/>
    <w:qFormat/>
    <w:uiPriority w:val="0"/>
    <w:pPr>
      <w:adjustRightInd/>
      <w:snapToGrid/>
      <w:spacing w:after="120"/>
      <w:ind w:left="420" w:leftChars="200"/>
      <w:jc w:val="both"/>
      <w:textAlignment w:val="baseline"/>
    </w:pPr>
    <w:rPr>
      <w:rFonts w:ascii="Times New Roman" w:hAnsi="Times New Roman" w:eastAsia="宋体"/>
      <w:kern w:val="2"/>
      <w:sz w:val="16"/>
      <w:szCs w:val="16"/>
    </w:rPr>
  </w:style>
  <w:style w:type="paragraph" w:customStyle="1" w:styleId="58">
    <w:name w:val="TOC1"/>
    <w:basedOn w:val="1"/>
    <w:next w:val="1"/>
    <w:qFormat/>
    <w:uiPriority w:val="0"/>
    <w:pPr>
      <w:tabs>
        <w:tab w:val="right" w:leader="dot" w:pos="9344"/>
      </w:tabs>
      <w:adjustRightInd/>
      <w:snapToGrid/>
      <w:spacing w:after="0"/>
      <w:jc w:val="both"/>
      <w:textAlignment w:val="baseline"/>
    </w:pPr>
    <w:rPr>
      <w:rFonts w:ascii="Times New Roman" w:hAnsi="Times New Roman" w:eastAsia="宋体"/>
      <w:kern w:val="2"/>
      <w:sz w:val="21"/>
      <w:szCs w:val="24"/>
    </w:rPr>
  </w:style>
  <w:style w:type="paragraph" w:customStyle="1" w:styleId="59">
    <w:name w:val="AnnotationText"/>
    <w:basedOn w:val="1"/>
    <w:qFormat/>
    <w:uiPriority w:val="0"/>
    <w:pPr>
      <w:adjustRightInd/>
      <w:snapToGrid/>
      <w:spacing w:after="0" w:line="360" w:lineRule="atLeast"/>
      <w:textAlignment w:val="baseline"/>
    </w:pPr>
    <w:rPr>
      <w:rFonts w:ascii="Times New Roman" w:hAnsi="Times New Roman" w:eastAsia="宋体"/>
      <w:sz w:val="24"/>
      <w:szCs w:val="24"/>
    </w:rPr>
  </w:style>
  <w:style w:type="paragraph" w:customStyle="1" w:styleId="60">
    <w:name w:val="TOC2"/>
    <w:basedOn w:val="1"/>
    <w:next w:val="1"/>
    <w:qFormat/>
    <w:uiPriority w:val="0"/>
    <w:pPr>
      <w:tabs>
        <w:tab w:val="right" w:leader="dot" w:pos="9344"/>
      </w:tabs>
      <w:adjustRightInd/>
      <w:snapToGrid/>
      <w:spacing w:after="0"/>
      <w:ind w:left="420" w:leftChars="200"/>
      <w:jc w:val="both"/>
      <w:textAlignment w:val="baseline"/>
    </w:pPr>
    <w:rPr>
      <w:rFonts w:ascii="Times New Roman" w:hAnsi="Times New Roman" w:eastAsia="宋体"/>
      <w:spacing w:val="10"/>
      <w:kern w:val="2"/>
      <w:sz w:val="21"/>
      <w:szCs w:val="24"/>
    </w:rPr>
  </w:style>
  <w:style w:type="paragraph" w:customStyle="1" w:styleId="61">
    <w:name w:val="UserStyle_27"/>
    <w:basedOn w:val="1"/>
    <w:qFormat/>
    <w:uiPriority w:val="0"/>
    <w:pPr>
      <w:adjustRightInd/>
      <w:snapToGrid/>
      <w:spacing w:before="100" w:beforeAutospacing="1" w:after="100" w:afterAutospacing="1"/>
      <w:textAlignment w:val="baseline"/>
    </w:pPr>
    <w:rPr>
      <w:rFonts w:ascii="宋体" w:hAnsi="宋体" w:eastAsia="宋体"/>
      <w:sz w:val="24"/>
      <w:szCs w:val="24"/>
    </w:rPr>
  </w:style>
  <w:style w:type="paragraph" w:customStyle="1" w:styleId="62">
    <w:name w:val="UserStyle_28"/>
    <w:basedOn w:val="1"/>
    <w:qFormat/>
    <w:uiPriority w:val="0"/>
    <w:pPr>
      <w:shd w:val="clear" w:color="auto" w:fill="FFFFFF"/>
      <w:adjustRightInd/>
      <w:snapToGrid/>
      <w:spacing w:before="100" w:beforeAutospacing="1" w:after="100" w:afterAutospacing="1"/>
      <w:jc w:val="center"/>
      <w:textAlignment w:val="center"/>
    </w:pPr>
    <w:rPr>
      <w:rFonts w:ascii="宋体" w:hAnsi="宋体" w:eastAsia="宋体" w:cs="宋体"/>
      <w:b/>
      <w:bCs/>
      <w:color w:val="000000"/>
      <w:sz w:val="32"/>
      <w:szCs w:val="32"/>
    </w:rPr>
  </w:style>
  <w:style w:type="paragraph" w:customStyle="1" w:styleId="63">
    <w:name w:val="UserStyle_29"/>
    <w:basedOn w:val="1"/>
    <w:qFormat/>
    <w:uiPriority w:val="0"/>
    <w:pPr>
      <w:pBdr>
        <w:top w:val="single" w:color="000000" w:sz="8" w:space="0"/>
        <w:left w:val="single" w:color="000000" w:sz="4" w:space="0"/>
        <w:bottom w:val="single" w:color="000000" w:sz="4" w:space="0"/>
        <w:right w:val="single" w:color="000000" w:sz="8" w:space="0"/>
      </w:pBd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64">
    <w:name w:val="UserStyle_30"/>
    <w:basedOn w:val="49"/>
    <w:qFormat/>
    <w:uiPriority w:val="0"/>
    <w:pPr>
      <w:spacing w:before="0" w:after="0" w:line="400" w:lineRule="exact"/>
    </w:pPr>
    <w:rPr>
      <w:rFonts w:eastAsia="黑体"/>
      <w:b w:val="0"/>
      <w:bCs w:val="0"/>
      <w:sz w:val="24"/>
      <w:szCs w:val="20"/>
    </w:rPr>
  </w:style>
  <w:style w:type="paragraph" w:customStyle="1" w:styleId="65">
    <w:name w:val="HtmlNormal"/>
    <w:basedOn w:val="1"/>
    <w:next w:val="1"/>
    <w:qFormat/>
    <w:uiPriority w:val="0"/>
    <w:pPr>
      <w:adjustRightInd/>
      <w:snapToGrid/>
      <w:spacing w:before="100" w:beforeAutospacing="1" w:after="100" w:afterAutospacing="1"/>
      <w:textAlignment w:val="baseline"/>
    </w:pPr>
    <w:rPr>
      <w:rFonts w:ascii="宋体" w:hAnsi="宋体" w:eastAsia="宋体"/>
      <w:sz w:val="24"/>
      <w:szCs w:val="24"/>
    </w:rPr>
  </w:style>
  <w:style w:type="paragraph" w:customStyle="1" w:styleId="66">
    <w:name w:val="UserStyle_31"/>
    <w:basedOn w:val="1"/>
    <w:qFormat/>
    <w:uiPriority w:val="0"/>
    <w:pPr>
      <w:pBdr>
        <w:top w:val="single" w:color="000000" w:sz="4" w:space="0"/>
        <w:left w:val="single" w:color="000000" w:sz="4" w:space="0"/>
        <w:bottom w:val="single" w:color="000000" w:sz="8"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s="宋体"/>
      <w:b/>
      <w:bCs/>
      <w:color w:val="000000"/>
      <w:sz w:val="24"/>
      <w:szCs w:val="24"/>
    </w:rPr>
  </w:style>
  <w:style w:type="paragraph" w:customStyle="1" w:styleId="67">
    <w:name w:val="UserStyle_32"/>
    <w:basedOn w:val="1"/>
    <w:qFormat/>
    <w:uiPriority w:val="0"/>
    <w:pPr>
      <w:tabs>
        <w:tab w:val="left" w:pos="525"/>
      </w:tabs>
      <w:adjustRightInd/>
      <w:snapToGrid/>
      <w:spacing w:after="0" w:line="400" w:lineRule="atLeast"/>
      <w:jc w:val="center"/>
      <w:textAlignment w:val="baseline"/>
    </w:pPr>
    <w:rPr>
      <w:rFonts w:ascii="New York" w:hAnsi="New York" w:eastAsia="楷体_GB2312"/>
      <w:position w:val="-6"/>
      <w:sz w:val="24"/>
      <w:szCs w:val="20"/>
    </w:rPr>
  </w:style>
  <w:style w:type="paragraph" w:customStyle="1" w:styleId="68">
    <w:name w:val="UserStyle_33"/>
    <w:basedOn w:val="1"/>
    <w:qFormat/>
    <w:uiPriority w:val="0"/>
    <w:pP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69">
    <w:name w:val="UserStyle_34"/>
    <w:basedOn w:val="1"/>
    <w:qFormat/>
    <w:uiPriority w:val="0"/>
    <w:pPr>
      <w:adjustRightInd/>
      <w:snapToGrid/>
      <w:spacing w:before="100" w:beforeAutospacing="1" w:after="100" w:afterAutospacing="1"/>
      <w:textAlignment w:val="baseline"/>
    </w:pPr>
    <w:rPr>
      <w:rFonts w:ascii="宋体" w:hAnsi="宋体" w:eastAsia="宋体"/>
      <w:sz w:val="24"/>
      <w:szCs w:val="24"/>
    </w:rPr>
  </w:style>
  <w:style w:type="paragraph" w:customStyle="1" w:styleId="70">
    <w:name w:val="UserStyle_35"/>
    <w:basedOn w:val="1"/>
    <w:qFormat/>
    <w:uiPriority w:val="0"/>
    <w:pPr>
      <w:pBdr>
        <w:top w:val="single" w:color="000000" w:sz="8"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71">
    <w:name w:val="UserStyle_36"/>
    <w:basedOn w:val="1"/>
    <w:qFormat/>
    <w:uiPriority w:val="0"/>
    <w:pPr>
      <w:pBdr>
        <w:top w:val="single" w:color="000000" w:sz="4" w:space="0"/>
        <w:left w:val="single" w:color="000000" w:sz="4" w:space="0"/>
        <w:bottom w:val="single" w:color="000000" w:sz="8"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olor w:val="000000"/>
      <w:sz w:val="24"/>
      <w:szCs w:val="24"/>
    </w:rPr>
  </w:style>
  <w:style w:type="paragraph" w:customStyle="1" w:styleId="72">
    <w:name w:val="UserStyle_37"/>
    <w:basedOn w:val="1"/>
    <w:qFormat/>
    <w:uiPriority w:val="0"/>
    <w:pPr>
      <w:adjustRightInd/>
      <w:snapToGrid/>
      <w:spacing w:after="0"/>
      <w:textAlignment w:val="baseline"/>
    </w:pPr>
    <w:rPr>
      <w:rFonts w:ascii="宋体" w:hAnsi="宋体" w:eastAsia="宋体"/>
      <w:lang w:val="zh-CN" w:bidi="zh-CN"/>
    </w:rPr>
  </w:style>
  <w:style w:type="paragraph" w:customStyle="1" w:styleId="73">
    <w:name w:val="UserStyle_38"/>
    <w:basedOn w:val="1"/>
    <w:qFormat/>
    <w:uiPriority w:val="0"/>
    <w:pPr>
      <w:shd w:val="clear" w:color="auto" w:fill="FFFFFF"/>
      <w:adjustRightInd/>
      <w:snapToGrid/>
      <w:spacing w:before="100" w:beforeAutospacing="1" w:after="100" w:afterAutospacing="1"/>
      <w:jc w:val="right"/>
      <w:textAlignment w:val="center"/>
    </w:pPr>
    <w:rPr>
      <w:rFonts w:ascii="宋体" w:hAnsi="宋体" w:eastAsia="宋体"/>
      <w:color w:val="000000"/>
      <w:sz w:val="24"/>
      <w:szCs w:val="24"/>
    </w:rPr>
  </w:style>
  <w:style w:type="paragraph" w:customStyle="1" w:styleId="74">
    <w:name w:val="UserStyle_39"/>
    <w:basedOn w:val="1"/>
    <w:qFormat/>
    <w:uiPriority w:val="0"/>
    <w:pPr>
      <w:pBdr>
        <w:top w:val="single" w:color="000000" w:sz="4" w:space="0"/>
        <w:left w:val="single" w:color="000000" w:sz="4" w:space="0"/>
        <w:bottom w:val="single" w:color="000000" w:sz="4" w:space="0"/>
        <w:right w:val="single" w:color="000000" w:sz="8" w:space="0"/>
      </w:pBd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75">
    <w:name w:val="UserStyle_40"/>
    <w:basedOn w:val="1"/>
    <w:qFormat/>
    <w:uiPriority w:val="0"/>
    <w:pPr>
      <w:shd w:val="clear" w:color="auto" w:fill="FFFFFF"/>
      <w:adjustRightInd/>
      <w:snapToGrid/>
      <w:spacing w:before="100" w:beforeAutospacing="1" w:after="100" w:afterAutospacing="1"/>
      <w:textAlignment w:val="center"/>
    </w:pPr>
    <w:rPr>
      <w:rFonts w:ascii="宋体" w:hAnsi="宋体" w:eastAsia="宋体"/>
      <w:color w:val="000000"/>
      <w:sz w:val="24"/>
      <w:szCs w:val="24"/>
    </w:rPr>
  </w:style>
  <w:style w:type="paragraph" w:customStyle="1" w:styleId="76">
    <w:name w:val="UserStyle_41"/>
    <w:basedOn w:val="1"/>
    <w:qFormat/>
    <w:uiPriority w:val="0"/>
    <w:pPr>
      <w:pBdr>
        <w:top w:val="single" w:color="000000" w:sz="4" w:space="0"/>
        <w:left w:val="single" w:color="000000" w:sz="4" w:space="0"/>
        <w:bottom w:val="single" w:color="000000" w:sz="8" w:space="0"/>
        <w:right w:val="single" w:color="000000" w:sz="4" w:space="0"/>
      </w:pBdr>
      <w:shd w:val="clear" w:color="auto" w:fill="FFFFFF"/>
      <w:adjustRightInd/>
      <w:snapToGrid/>
      <w:spacing w:before="100" w:beforeAutospacing="1" w:after="100" w:afterAutospacing="1"/>
      <w:jc w:val="right"/>
      <w:textAlignment w:val="center"/>
    </w:pPr>
    <w:rPr>
      <w:rFonts w:ascii="宋体" w:hAnsi="宋体" w:eastAsia="宋体" w:cs="宋体"/>
      <w:b/>
      <w:bCs/>
      <w:color w:val="000000"/>
      <w:sz w:val="24"/>
      <w:szCs w:val="24"/>
    </w:rPr>
  </w:style>
  <w:style w:type="paragraph" w:customStyle="1" w:styleId="77">
    <w:name w:val="UserStyle_42"/>
    <w:basedOn w:val="1"/>
    <w:qFormat/>
    <w:uiPriority w:val="0"/>
    <w:pPr>
      <w:adjustRightInd/>
      <w:snapToGrid/>
      <w:spacing w:after="0"/>
      <w:ind w:left="1103"/>
      <w:textAlignment w:val="baseline"/>
    </w:pPr>
    <w:rPr>
      <w:rFonts w:ascii="宋体" w:hAnsi="宋体" w:eastAsia="宋体" w:cs="宋体"/>
      <w:b/>
      <w:bCs/>
      <w:sz w:val="24"/>
      <w:szCs w:val="24"/>
      <w:lang w:val="zh-CN" w:bidi="zh-CN"/>
    </w:rPr>
  </w:style>
  <w:style w:type="paragraph" w:customStyle="1" w:styleId="78">
    <w:name w:val="UserStyle_43"/>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jc w:val="right"/>
      <w:textAlignment w:val="center"/>
    </w:pPr>
    <w:rPr>
      <w:rFonts w:ascii="宋体" w:hAnsi="宋体" w:eastAsia="宋体"/>
      <w:color w:val="000000"/>
      <w:sz w:val="24"/>
      <w:szCs w:val="24"/>
    </w:rPr>
  </w:style>
  <w:style w:type="paragraph" w:customStyle="1" w:styleId="79">
    <w:name w:val="UserStyle_44"/>
    <w:qFormat/>
    <w:uiPriority w:val="0"/>
    <w:pPr>
      <w:textAlignment w:val="baseline"/>
    </w:pPr>
    <w:rPr>
      <w:rFonts w:ascii="宋体" w:hAnsi="Times New Roman" w:eastAsia="宋体" w:cs="黑体"/>
      <w:color w:val="000000"/>
      <w:sz w:val="24"/>
      <w:szCs w:val="24"/>
      <w:lang w:val="en-US" w:eastAsia="zh-CN" w:bidi="ar-SA"/>
    </w:rPr>
  </w:style>
  <w:style w:type="paragraph" w:customStyle="1" w:styleId="80">
    <w:name w:val="UserStyle_45"/>
    <w:basedOn w:val="1"/>
    <w:qFormat/>
    <w:uiPriority w:val="0"/>
    <w:pPr>
      <w:pBdr>
        <w:top w:val="single" w:color="000000" w:sz="4" w:space="0"/>
        <w:left w:val="single" w:color="000000" w:sz="4" w:space="0"/>
        <w:bottom w:val="single" w:color="000000" w:sz="8" w:space="0"/>
        <w:right w:val="single" w:color="000000" w:sz="8" w:space="0"/>
      </w:pBdr>
      <w:shd w:val="clear" w:color="auto" w:fill="FFFFFF"/>
      <w:adjustRightInd/>
      <w:snapToGrid/>
      <w:spacing w:before="100" w:beforeAutospacing="1" w:after="100" w:afterAutospacing="1"/>
      <w:jc w:val="right"/>
      <w:textAlignment w:val="center"/>
    </w:pPr>
    <w:rPr>
      <w:rFonts w:ascii="宋体" w:hAnsi="宋体" w:eastAsia="宋体" w:cs="宋体"/>
      <w:b/>
      <w:bCs/>
      <w:color w:val="000000"/>
      <w:sz w:val="24"/>
      <w:szCs w:val="24"/>
    </w:rPr>
  </w:style>
  <w:style w:type="paragraph" w:customStyle="1" w:styleId="81">
    <w:name w:val="UserStyle_46"/>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olor w:val="000000"/>
      <w:sz w:val="20"/>
      <w:szCs w:val="20"/>
    </w:rPr>
  </w:style>
  <w:style w:type="paragraph" w:customStyle="1" w:styleId="82">
    <w:name w:val="UserStyle_47"/>
    <w:basedOn w:val="1"/>
    <w:qFormat/>
    <w:uiPriority w:val="0"/>
    <w:pPr>
      <w:pBdr>
        <w:top w:val="single" w:color="000000" w:sz="8"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olor w:val="000000"/>
      <w:sz w:val="20"/>
      <w:szCs w:val="20"/>
    </w:rPr>
  </w:style>
  <w:style w:type="paragraph" w:customStyle="1" w:styleId="83">
    <w:name w:val="UserStyle_48"/>
    <w:basedOn w:val="1"/>
    <w:qFormat/>
    <w:uiPriority w:val="0"/>
    <w:pPr>
      <w:pBdr>
        <w:top w:val="single" w:color="000000" w:sz="4" w:space="0"/>
        <w:left w:val="single" w:color="000000" w:sz="8" w:space="0"/>
        <w:bottom w:val="single" w:color="000000" w:sz="8"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olor w:val="000000"/>
      <w:sz w:val="24"/>
      <w:szCs w:val="24"/>
    </w:rPr>
  </w:style>
  <w:style w:type="paragraph" w:customStyle="1" w:styleId="84">
    <w:name w:val="UserStyle_49"/>
    <w:basedOn w:val="1"/>
    <w:qFormat/>
    <w:uiPriority w:val="0"/>
    <w:pPr>
      <w:pBdr>
        <w:top w:val="single" w:color="000000" w:sz="4" w:space="0"/>
        <w:left w:val="single" w:color="000000" w:sz="8" w:space="0"/>
        <w:bottom w:val="single" w:color="000000" w:sz="4"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olor w:val="000000"/>
      <w:sz w:val="24"/>
      <w:szCs w:val="24"/>
    </w:rPr>
  </w:style>
  <w:style w:type="paragraph" w:customStyle="1" w:styleId="85">
    <w:name w:val="UserStyle_50"/>
    <w:basedOn w:val="1"/>
    <w:qFormat/>
    <w:uiPriority w:val="0"/>
    <w:pPr>
      <w:pBdr>
        <w:top w:val="single" w:color="000000" w:sz="4" w:space="0"/>
        <w:left w:val="single" w:color="000000" w:sz="4" w:space="0"/>
        <w:bottom w:val="single" w:color="000000" w:sz="8"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s="宋体"/>
      <w:b/>
      <w:bCs/>
      <w:color w:val="000000"/>
      <w:sz w:val="24"/>
      <w:szCs w:val="24"/>
    </w:rPr>
  </w:style>
  <w:style w:type="paragraph" w:customStyle="1" w:styleId="86">
    <w:name w:val="UserStyle_51"/>
    <w:basedOn w:val="1"/>
    <w:qFormat/>
    <w:uiPriority w:val="0"/>
    <w:pPr>
      <w:pBdr>
        <w:top w:val="single" w:color="000000" w:sz="4" w:space="0"/>
        <w:left w:val="single" w:color="000000" w:sz="4" w:space="0"/>
        <w:bottom w:val="single" w:color="000000" w:sz="8"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87">
    <w:name w:val="UserStyle_52"/>
    <w:basedOn w:val="1"/>
    <w:qFormat/>
    <w:uiPriority w:val="0"/>
    <w:pPr>
      <w:pBdr>
        <w:top w:val="single" w:color="000000" w:sz="8" w:space="0"/>
        <w:left w:val="single" w:color="000000" w:sz="8"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0"/>
      <w:szCs w:val="20"/>
    </w:rPr>
  </w:style>
  <w:style w:type="paragraph" w:customStyle="1" w:styleId="88">
    <w:name w:val="UserStyle_53"/>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s="宋体"/>
      <w:b/>
      <w:bCs/>
      <w:color w:val="000000"/>
      <w:sz w:val="24"/>
      <w:szCs w:val="24"/>
    </w:rPr>
  </w:style>
  <w:style w:type="paragraph" w:customStyle="1" w:styleId="89">
    <w:name w:val="UserStyle_54"/>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olor w:val="000000"/>
      <w:sz w:val="24"/>
      <w:szCs w:val="24"/>
    </w:rPr>
  </w:style>
  <w:style w:type="paragraph" w:customStyle="1" w:styleId="90">
    <w:name w:val="UserStyle_55"/>
    <w:basedOn w:val="1"/>
    <w:qFormat/>
    <w:uiPriority w:val="0"/>
    <w:pPr>
      <w:pBdr>
        <w:top w:val="single" w:color="000000" w:sz="4" w:space="0"/>
        <w:left w:val="single" w:color="000000" w:sz="8"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91">
    <w:name w:val="UserStyle_56"/>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jc w:val="right"/>
      <w:textAlignment w:val="center"/>
    </w:pPr>
    <w:rPr>
      <w:rFonts w:ascii="宋体" w:hAnsi="宋体" w:eastAsia="宋体" w:cs="宋体"/>
      <w:b/>
      <w:bCs/>
      <w:color w:val="000000"/>
      <w:sz w:val="24"/>
      <w:szCs w:val="24"/>
    </w:rPr>
  </w:style>
  <w:style w:type="paragraph" w:customStyle="1" w:styleId="92">
    <w:name w:val="UserStyle_57"/>
    <w:qFormat/>
    <w:uiPriority w:val="0"/>
    <w:pPr>
      <w:jc w:val="both"/>
      <w:textAlignment w:val="baseline"/>
    </w:pPr>
    <w:rPr>
      <w:rFonts w:ascii="Times New Roman" w:hAnsi="Times New Roman" w:eastAsia="宋体" w:cs="黑体"/>
      <w:kern w:val="2"/>
      <w:sz w:val="21"/>
      <w:lang w:val="en-US" w:eastAsia="zh-CN" w:bidi="ar-SA"/>
    </w:rPr>
  </w:style>
  <w:style w:type="paragraph" w:customStyle="1" w:styleId="93">
    <w:name w:val="UserStyle_58"/>
    <w:basedOn w:val="1"/>
    <w:qFormat/>
    <w:uiPriority w:val="0"/>
    <w:pPr>
      <w:pBdr>
        <w:top w:val="single" w:color="000000" w:sz="4" w:space="0"/>
        <w:left w:val="single" w:color="000000" w:sz="4" w:space="0"/>
        <w:bottom w:val="single" w:color="000000" w:sz="8" w:space="0"/>
        <w:right w:val="single" w:color="000000" w:sz="4" w:space="0"/>
      </w:pBdr>
      <w:shd w:val="clear" w:color="auto" w:fill="FFFFFF"/>
      <w:adjustRightInd/>
      <w:snapToGrid/>
      <w:spacing w:before="100" w:beforeAutospacing="1" w:after="100" w:afterAutospacing="1"/>
      <w:jc w:val="right"/>
      <w:textAlignment w:val="center"/>
    </w:pPr>
    <w:rPr>
      <w:rFonts w:ascii="宋体" w:hAnsi="宋体" w:eastAsia="宋体"/>
      <w:color w:val="000000"/>
      <w:sz w:val="24"/>
      <w:szCs w:val="24"/>
    </w:rPr>
  </w:style>
  <w:style w:type="paragraph" w:customStyle="1" w:styleId="94">
    <w:name w:val="UserStyle_59"/>
    <w:basedOn w:val="46"/>
    <w:qFormat/>
    <w:uiPriority w:val="0"/>
    <w:pPr>
      <w:snapToGrid w:val="0"/>
      <w:spacing w:before="120" w:after="120" w:line="240" w:lineRule="auto"/>
      <w:ind w:left="851" w:firstLine="200"/>
      <w:jc w:val="both"/>
    </w:pPr>
    <w:rPr>
      <w:rFonts w:ascii="Times New Roman" w:hAnsi="Times New Roman"/>
      <w:sz w:val="24"/>
      <w:szCs w:val="24"/>
      <w:lang w:eastAsia="zh-CN" w:bidi="ar-SA"/>
    </w:rPr>
  </w:style>
  <w:style w:type="paragraph" w:customStyle="1" w:styleId="95">
    <w:name w:val="UserStyle_60"/>
    <w:basedOn w:val="1"/>
    <w:qFormat/>
    <w:uiPriority w:val="0"/>
    <w:pPr>
      <w:pBdr>
        <w:top w:val="single" w:color="000000" w:sz="4" w:space="0"/>
        <w:left w:val="single" w:color="000000" w:sz="8"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0"/>
      <w:szCs w:val="20"/>
    </w:rPr>
  </w:style>
  <w:style w:type="paragraph" w:customStyle="1" w:styleId="96">
    <w:name w:val="UserStyle_61"/>
    <w:basedOn w:val="1"/>
    <w:qFormat/>
    <w:uiPriority w:val="0"/>
    <w:pPr>
      <w:pBdr>
        <w:top w:val="single" w:color="000000" w:sz="4" w:space="0"/>
        <w:left w:val="single" w:color="000000" w:sz="8" w:space="0"/>
        <w:bottom w:val="single" w:color="000000" w:sz="8"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97">
    <w:name w:val="UserStyle_62"/>
    <w:basedOn w:val="1"/>
    <w:qFormat/>
    <w:uiPriority w:val="0"/>
    <w:pPr>
      <w:pBdr>
        <w:top w:val="single" w:color="000000" w:sz="4" w:space="0"/>
        <w:left w:val="single" w:color="000000" w:sz="4" w:space="0"/>
        <w:bottom w:val="single" w:color="000000" w:sz="4" w:space="0"/>
        <w:right w:val="single" w:color="000000" w:sz="8" w:space="0"/>
      </w:pBdr>
      <w:shd w:val="clear" w:color="auto" w:fill="FFFFFF"/>
      <w:adjustRightInd/>
      <w:snapToGrid/>
      <w:spacing w:before="100" w:beforeAutospacing="1" w:after="100" w:afterAutospacing="1"/>
      <w:jc w:val="right"/>
      <w:textAlignment w:val="center"/>
    </w:pPr>
    <w:rPr>
      <w:rFonts w:ascii="宋体" w:hAnsi="宋体" w:eastAsia="宋体"/>
      <w:color w:val="000000"/>
      <w:sz w:val="24"/>
      <w:szCs w:val="24"/>
    </w:rPr>
  </w:style>
  <w:style w:type="paragraph" w:customStyle="1" w:styleId="98">
    <w:name w:val="UserStyle_63"/>
    <w:basedOn w:val="1"/>
    <w:qFormat/>
    <w:uiPriority w:val="0"/>
    <w:pPr>
      <w:pBdr>
        <w:top w:val="single" w:color="000000" w:sz="8"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0"/>
      <w:szCs w:val="20"/>
    </w:rPr>
  </w:style>
  <w:style w:type="paragraph" w:customStyle="1" w:styleId="99">
    <w:name w:val="UserStyle_64"/>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textAlignment w:val="center"/>
    </w:pPr>
    <w:rPr>
      <w:rFonts w:ascii="宋体" w:hAnsi="宋体" w:eastAsia="宋体" w:cs="宋体"/>
      <w:b/>
      <w:bCs/>
      <w:color w:val="000000"/>
      <w:sz w:val="24"/>
      <w:szCs w:val="24"/>
    </w:rPr>
  </w:style>
  <w:style w:type="paragraph" w:customStyle="1" w:styleId="100">
    <w:name w:val="UserStyle_65"/>
    <w:basedOn w:val="1"/>
    <w:qFormat/>
    <w:uiPriority w:val="0"/>
    <w:pPr>
      <w:pBdr>
        <w:top w:val="single" w:color="000000" w:sz="4" w:space="0"/>
        <w:left w:val="single" w:color="000000" w:sz="4" w:space="0"/>
        <w:bottom w:val="single" w:color="000000" w:sz="8" w:space="0"/>
        <w:right w:val="single" w:color="000000" w:sz="8" w:space="0"/>
      </w:pBdr>
      <w:shd w:val="clear" w:color="auto" w:fill="FFFFFF"/>
      <w:adjustRightInd/>
      <w:snapToGrid/>
      <w:spacing w:before="100" w:beforeAutospacing="1" w:after="100" w:afterAutospacing="1"/>
      <w:jc w:val="right"/>
      <w:textAlignment w:val="center"/>
    </w:pPr>
    <w:rPr>
      <w:rFonts w:ascii="宋体" w:hAnsi="宋体" w:eastAsia="宋体"/>
      <w:color w:val="000000"/>
      <w:sz w:val="24"/>
      <w:szCs w:val="24"/>
    </w:rPr>
  </w:style>
  <w:style w:type="paragraph" w:customStyle="1" w:styleId="101">
    <w:name w:val="UserStyle_66"/>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0"/>
      <w:szCs w:val="20"/>
    </w:rPr>
  </w:style>
  <w:style w:type="paragraph" w:customStyle="1" w:styleId="102">
    <w:name w:val="UserStyle_67"/>
    <w:basedOn w:val="1"/>
    <w:qFormat/>
    <w:uiPriority w:val="0"/>
    <w:pPr>
      <w:pBdr>
        <w:top w:val="single" w:color="000000" w:sz="4" w:space="0"/>
        <w:left w:val="single" w:color="000000" w:sz="4" w:space="0"/>
        <w:bottom w:val="single" w:color="000000" w:sz="4" w:space="0"/>
        <w:right w:val="single" w:color="000000" w:sz="8" w:space="0"/>
      </w:pBdr>
      <w:shd w:val="clear" w:color="auto" w:fill="FFFFFF"/>
      <w:adjustRightInd/>
      <w:snapToGrid/>
      <w:spacing w:before="100" w:beforeAutospacing="1" w:after="100" w:afterAutospacing="1"/>
      <w:jc w:val="right"/>
      <w:textAlignment w:val="center"/>
    </w:pPr>
    <w:rPr>
      <w:rFonts w:ascii="宋体" w:hAnsi="宋体" w:eastAsia="宋体" w:cs="宋体"/>
      <w:b/>
      <w:bCs/>
      <w:color w:val="000000"/>
      <w:sz w:val="24"/>
      <w:szCs w:val="24"/>
    </w:rPr>
  </w:style>
  <w:style w:type="paragraph" w:customStyle="1" w:styleId="103">
    <w:name w:val="UserStyle_68"/>
    <w:basedOn w:val="1"/>
    <w:qFormat/>
    <w:uiPriority w:val="0"/>
    <w:pPr>
      <w:pBdr>
        <w:top w:val="single" w:color="000000" w:sz="4" w:space="0"/>
        <w:left w:val="single" w:color="000000" w:sz="4" w:space="0"/>
        <w:bottom w:val="single" w:color="000000" w:sz="4" w:space="0"/>
        <w:right w:val="single" w:color="000000" w:sz="4" w:space="0"/>
      </w:pBdr>
      <w:shd w:val="clear" w:color="auto" w:fill="FFFFFF"/>
      <w:adjustRightInd/>
      <w:snapToGrid/>
      <w:spacing w:before="100" w:beforeAutospacing="1" w:after="100" w:afterAutospacing="1"/>
      <w:jc w:val="center"/>
      <w:textAlignment w:val="center"/>
    </w:pPr>
    <w:rPr>
      <w:rFonts w:ascii="宋体" w:hAnsi="宋体" w:eastAsia="宋体"/>
      <w:color w:val="000000"/>
      <w:sz w:val="24"/>
      <w:szCs w:val="24"/>
    </w:rPr>
  </w:style>
  <w:style w:type="paragraph" w:customStyle="1" w:styleId="104">
    <w:name w:val="UserStyle_69"/>
    <w:basedOn w:val="1"/>
    <w:qFormat/>
    <w:uiPriority w:val="0"/>
    <w:pPr>
      <w:adjustRightInd/>
      <w:snapToGrid/>
      <w:spacing w:after="0"/>
      <w:ind w:left="1320"/>
      <w:textAlignment w:val="baseline"/>
    </w:pPr>
    <w:rPr>
      <w:rFonts w:ascii="宋体" w:hAnsi="宋体" w:eastAsia="宋体" w:cs="宋体"/>
      <w:b/>
      <w:bCs/>
      <w:sz w:val="24"/>
      <w:szCs w:val="24"/>
      <w:lang w:val="zh-CN" w:bidi="zh-CN"/>
    </w:rPr>
  </w:style>
  <w:style w:type="paragraph" w:customStyle="1" w:styleId="105">
    <w:name w:val="列出段落1"/>
    <w:basedOn w:val="1"/>
    <w:qFormat/>
    <w:uiPriority w:val="1"/>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06">
    <w:name w:val="Table Paragraph"/>
    <w:basedOn w:val="1"/>
    <w:qFormat/>
    <w:uiPriority w:val="1"/>
    <w:pPr>
      <w:autoSpaceDE w:val="0"/>
      <w:autoSpaceDN w:val="0"/>
    </w:pPr>
    <w:rPr>
      <w:rFonts w:ascii="宋体" w:hAnsi="宋体" w:cs="宋体"/>
      <w:lang w:val="zh-CN" w:bidi="zh-CN"/>
    </w:rPr>
  </w:style>
  <w:style w:type="paragraph" w:customStyle="1" w:styleId="107">
    <w:name w:val="_Style 1"/>
    <w:basedOn w:val="1"/>
    <w:qFormat/>
    <w:uiPriority w:val="0"/>
    <w:pPr>
      <w:spacing w:line="360" w:lineRule="auto"/>
      <w:ind w:firstLine="200" w:firstLineChars="200"/>
    </w:pPr>
  </w:style>
  <w:style w:type="paragraph" w:customStyle="1" w:styleId="108">
    <w:name w:val="WPSOffice手动目录 1"/>
    <w:qFormat/>
    <w:uiPriority w:val="0"/>
    <w:rPr>
      <w:rFonts w:ascii="Times New Roman" w:hAnsi="Times New Roman" w:eastAsia="宋体" w:cs="Times New Roman"/>
      <w:lang w:val="en-US" w:eastAsia="zh-CN" w:bidi="ar-SA"/>
    </w:rPr>
  </w:style>
  <w:style w:type="paragraph" w:customStyle="1" w:styleId="109">
    <w:name w:val="Char1"/>
    <w:basedOn w:val="1"/>
    <w:qFormat/>
    <w:uiPriority w:val="0"/>
    <w:pPr>
      <w:widowControl w:val="0"/>
      <w:adjustRightInd/>
    </w:pPr>
    <w:rPr>
      <w:rFonts w:ascii="仿宋_GB2312" w:hAnsi="Times New Roman" w:eastAsia="仿宋_GB2312" w:cs="Times New Roman"/>
      <w:b/>
      <w:kern w:val="2"/>
      <w:sz w:val="32"/>
      <w:szCs w:val="32"/>
    </w:rPr>
  </w:style>
  <w:style w:type="paragraph" w:customStyle="1" w:styleId="110">
    <w:name w:val="Char"/>
    <w:basedOn w:val="1"/>
    <w:qFormat/>
    <w:uiPriority w:val="0"/>
    <w:pPr>
      <w:widowControl w:val="0"/>
      <w:adjustRightInd/>
    </w:pPr>
    <w:rPr>
      <w:rFonts w:ascii="仿宋_GB2312" w:hAnsi="Times New Roman" w:eastAsia="仿宋_GB2312" w:cs="Times New Roman"/>
      <w:b/>
      <w:kern w:val="2"/>
      <w:sz w:val="32"/>
      <w:szCs w:val="32"/>
    </w:rPr>
  </w:style>
  <w:style w:type="paragraph" w:customStyle="1" w:styleId="111">
    <w:name w:val="首行缩进"/>
    <w:basedOn w:val="1"/>
    <w:qFormat/>
    <w:uiPriority w:val="99"/>
    <w:pPr>
      <w:spacing w:line="360" w:lineRule="auto"/>
      <w:ind w:firstLine="480" w:firstLineChars="200"/>
    </w:pPr>
    <w:rPr>
      <w:rFonts w:ascii="宋体" w:hAnsi="宋体" w:cs="宋体"/>
      <w:sz w:val="24"/>
    </w:rPr>
  </w:style>
  <w:style w:type="paragraph" w:customStyle="1" w:styleId="112">
    <w:name w:val="BodyText1I2"/>
    <w:basedOn w:val="56"/>
    <w:qFormat/>
    <w:uiPriority w:val="0"/>
    <w:pPr>
      <w:ind w:firstLine="420" w:firstLineChars="200"/>
    </w:pPr>
  </w:style>
  <w:style w:type="paragraph" w:customStyle="1" w:styleId="113">
    <w:name w:val="样式"/>
    <w:qFormat/>
    <w:uiPriority w:val="0"/>
    <w:pPr>
      <w:widowControl w:val="0"/>
      <w:autoSpaceDE w:val="0"/>
      <w:autoSpaceDN w:val="0"/>
      <w:adjustRightInd w:val="0"/>
      <w:spacing w:after="200" w:line="276" w:lineRule="auto"/>
      <w:jc w:val="both"/>
    </w:pPr>
    <w:rPr>
      <w:rFonts w:ascii="宋体" w:hAnsi="宋体" w:eastAsia="宋体" w:cs="宋体"/>
      <w:sz w:val="24"/>
      <w:szCs w:val="24"/>
      <w:lang w:val="en-US" w:eastAsia="en-US" w:bidi="en-US"/>
    </w:rPr>
  </w:style>
  <w:style w:type="paragraph" w:customStyle="1" w:styleId="114">
    <w:name w:val="正文文本1"/>
    <w:basedOn w:val="1"/>
    <w:link w:val="157"/>
    <w:qFormat/>
    <w:uiPriority w:val="0"/>
    <w:pPr>
      <w:widowControl w:val="0"/>
      <w:adjustRightInd/>
      <w:snapToGrid/>
      <w:spacing w:after="0" w:line="439" w:lineRule="auto"/>
      <w:ind w:firstLine="400"/>
    </w:pPr>
    <w:rPr>
      <w:rFonts w:ascii="仿宋" w:hAnsi="仿宋" w:eastAsia="仿宋" w:cs="仿宋"/>
      <w:sz w:val="26"/>
      <w:szCs w:val="26"/>
    </w:rPr>
  </w:style>
  <w:style w:type="paragraph" w:customStyle="1" w:styleId="115">
    <w:name w:val="Heading #3|1"/>
    <w:basedOn w:val="1"/>
    <w:qFormat/>
    <w:uiPriority w:val="0"/>
    <w:pPr>
      <w:widowControl w:val="0"/>
      <w:spacing w:after="110"/>
      <w:ind w:hanging="310"/>
      <w:outlineLvl w:val="2"/>
    </w:pPr>
    <w:rPr>
      <w:rFonts w:ascii="宋体" w:hAnsi="宋体" w:eastAsia="宋体" w:cs="宋体"/>
      <w:b/>
      <w:bCs/>
      <w:sz w:val="36"/>
      <w:szCs w:val="36"/>
      <w:lang w:val="zh-CN" w:bidi="zh-CN"/>
    </w:rPr>
  </w:style>
  <w:style w:type="paragraph" w:customStyle="1" w:styleId="116">
    <w:name w:val="Other|1"/>
    <w:basedOn w:val="1"/>
    <w:qFormat/>
    <w:uiPriority w:val="0"/>
    <w:pPr>
      <w:widowControl w:val="0"/>
    </w:pPr>
    <w:rPr>
      <w:rFonts w:ascii="宋体" w:hAnsi="宋体" w:eastAsia="宋体" w:cs="宋体"/>
      <w:lang w:val="zh-CN" w:bidi="zh-CN"/>
    </w:rPr>
  </w:style>
  <w:style w:type="paragraph" w:customStyle="1" w:styleId="117">
    <w:name w:val="Body text|2"/>
    <w:basedOn w:val="1"/>
    <w:qFormat/>
    <w:uiPriority w:val="0"/>
    <w:pPr>
      <w:widowControl w:val="0"/>
      <w:spacing w:after="470" w:line="257" w:lineRule="auto"/>
    </w:pPr>
    <w:rPr>
      <w:rFonts w:ascii="宋体" w:hAnsi="宋体" w:eastAsia="宋体" w:cs="宋体"/>
      <w:color w:val="000080"/>
      <w:sz w:val="28"/>
      <w:szCs w:val="28"/>
      <w:lang w:val="zh-CN" w:bidi="zh-CN"/>
    </w:rPr>
  </w:style>
  <w:style w:type="paragraph" w:customStyle="1" w:styleId="118">
    <w:name w:val="列出段落2"/>
    <w:basedOn w:val="1"/>
    <w:qFormat/>
    <w:uiPriority w:val="34"/>
    <w:pPr>
      <w:ind w:firstLine="420" w:firstLineChars="200"/>
    </w:pPr>
  </w:style>
  <w:style w:type="paragraph" w:customStyle="1" w:styleId="119">
    <w:name w:val="正文_0"/>
    <w:basedOn w:val="1"/>
    <w:qFormat/>
    <w:uiPriority w:val="0"/>
    <w:rPr>
      <w:rFonts w:ascii="Times New Roman" w:hAnsi="Times New Roman" w:eastAsia="宋体" w:cs="Times New Roman"/>
      <w:szCs w:val="20"/>
    </w:rPr>
  </w:style>
  <w:style w:type="paragraph" w:customStyle="1" w:styleId="120">
    <w:name w:val="正文文字2"/>
    <w:basedOn w:val="11"/>
    <w:qFormat/>
    <w:uiPriority w:val="0"/>
    <w:pPr>
      <w:adjustRightInd w:val="0"/>
      <w:spacing w:after="60" w:line="360" w:lineRule="atLeast"/>
      <w:ind w:left="72" w:leftChars="30" w:right="72" w:rightChars="30"/>
      <w:jc w:val="center"/>
    </w:pPr>
    <w:rPr>
      <w:rFonts w:ascii="Arial" w:hAnsi="Calibri" w:eastAsia="黑体"/>
      <w:szCs w:val="20"/>
    </w:rPr>
  </w:style>
  <w:style w:type="character" w:customStyle="1" w:styleId="121">
    <w:name w:val="页眉 Char"/>
    <w:basedOn w:val="29"/>
    <w:link w:val="21"/>
    <w:qFormat/>
    <w:uiPriority w:val="0"/>
    <w:rPr>
      <w:rFonts w:ascii="Tahoma" w:hAnsi="Tahoma"/>
      <w:sz w:val="18"/>
      <w:szCs w:val="18"/>
    </w:rPr>
  </w:style>
  <w:style w:type="character" w:customStyle="1" w:styleId="122">
    <w:name w:val="页脚 Char"/>
    <w:basedOn w:val="29"/>
    <w:link w:val="20"/>
    <w:qFormat/>
    <w:uiPriority w:val="0"/>
    <w:rPr>
      <w:rFonts w:ascii="Tahoma" w:hAnsi="Tahoma"/>
      <w:sz w:val="18"/>
      <w:szCs w:val="18"/>
    </w:rPr>
  </w:style>
  <w:style w:type="character" w:customStyle="1" w:styleId="123">
    <w:name w:val="日期 Char"/>
    <w:basedOn w:val="29"/>
    <w:link w:val="17"/>
    <w:qFormat/>
    <w:uiPriority w:val="0"/>
    <w:rPr>
      <w:rFonts w:ascii="Times New Roman" w:hAnsi="Times New Roman" w:eastAsia="宋体"/>
      <w:kern w:val="2"/>
      <w:sz w:val="21"/>
      <w:szCs w:val="24"/>
    </w:rPr>
  </w:style>
  <w:style w:type="character" w:customStyle="1" w:styleId="124">
    <w:name w:val="UserStyle_0"/>
    <w:basedOn w:val="33"/>
    <w:qFormat/>
    <w:uiPriority w:val="0"/>
    <w:rPr>
      <w:rFonts w:ascii="Times New Roman" w:hAnsi="Times New Roman"/>
      <w:color w:val="FF0000"/>
      <w:sz w:val="22"/>
      <w:szCs w:val="22"/>
    </w:rPr>
  </w:style>
  <w:style w:type="character" w:customStyle="1" w:styleId="125">
    <w:name w:val="PageNumber"/>
    <w:basedOn w:val="33"/>
    <w:qFormat/>
    <w:uiPriority w:val="0"/>
  </w:style>
  <w:style w:type="character" w:customStyle="1" w:styleId="126">
    <w:name w:val="UserStyle_1"/>
    <w:basedOn w:val="33"/>
    <w:qFormat/>
    <w:uiPriority w:val="0"/>
    <w:rPr>
      <w:rFonts w:ascii="仿宋" w:hAnsi="仿宋" w:eastAsia="仿宋"/>
      <w:b/>
      <w:color w:val="000000"/>
      <w:sz w:val="24"/>
      <w:szCs w:val="24"/>
    </w:rPr>
  </w:style>
  <w:style w:type="character" w:customStyle="1" w:styleId="127">
    <w:name w:val="AnnotationReference"/>
    <w:qFormat/>
    <w:uiPriority w:val="0"/>
    <w:rPr>
      <w:sz w:val="21"/>
      <w:szCs w:val="21"/>
    </w:rPr>
  </w:style>
  <w:style w:type="character" w:customStyle="1" w:styleId="128">
    <w:name w:val="UserStyle_3"/>
    <w:basedOn w:val="33"/>
    <w:qFormat/>
    <w:uiPriority w:val="0"/>
    <w:rPr>
      <w:kern w:val="2"/>
      <w:sz w:val="18"/>
      <w:szCs w:val="18"/>
    </w:rPr>
  </w:style>
  <w:style w:type="character" w:customStyle="1" w:styleId="129">
    <w:name w:val="UserStyle_4"/>
    <w:basedOn w:val="33"/>
    <w:link w:val="50"/>
    <w:qFormat/>
    <w:uiPriority w:val="0"/>
    <w:rPr>
      <w:kern w:val="2"/>
      <w:sz w:val="18"/>
      <w:szCs w:val="18"/>
    </w:rPr>
  </w:style>
  <w:style w:type="character" w:customStyle="1" w:styleId="130">
    <w:name w:val="UserStyle_5"/>
    <w:basedOn w:val="33"/>
    <w:link w:val="47"/>
    <w:qFormat/>
    <w:uiPriority w:val="0"/>
    <w:rPr>
      <w:rFonts w:ascii="宋体" w:hAnsi="宋体" w:eastAsia="宋体" w:cs="Times New Roman"/>
      <w:b/>
      <w:bCs/>
      <w:kern w:val="44"/>
      <w:sz w:val="28"/>
      <w:szCs w:val="28"/>
    </w:rPr>
  </w:style>
  <w:style w:type="character" w:customStyle="1" w:styleId="131">
    <w:name w:val="UserStyle_6"/>
    <w:basedOn w:val="33"/>
    <w:qFormat/>
    <w:uiPriority w:val="0"/>
    <w:rPr>
      <w:rFonts w:ascii="宋体" w:hAnsi="宋体" w:eastAsia="宋体"/>
      <w:b/>
      <w:color w:val="000000"/>
      <w:sz w:val="22"/>
      <w:szCs w:val="22"/>
    </w:rPr>
  </w:style>
  <w:style w:type="character" w:customStyle="1" w:styleId="132">
    <w:name w:val="UserStyle_7"/>
    <w:basedOn w:val="33"/>
    <w:qFormat/>
    <w:uiPriority w:val="0"/>
    <w:rPr>
      <w:rFonts w:ascii="宋体" w:hAnsi="宋体" w:eastAsia="宋体"/>
      <w:color w:val="000000"/>
      <w:sz w:val="22"/>
      <w:szCs w:val="22"/>
    </w:rPr>
  </w:style>
  <w:style w:type="character" w:customStyle="1" w:styleId="133">
    <w:name w:val="UserStyle_8"/>
    <w:basedOn w:val="33"/>
    <w:qFormat/>
    <w:uiPriority w:val="0"/>
    <w:rPr>
      <w:rFonts w:ascii="Times New Roman" w:hAnsi="Times New Roman"/>
      <w:color w:val="000000"/>
      <w:sz w:val="22"/>
      <w:szCs w:val="22"/>
    </w:rPr>
  </w:style>
  <w:style w:type="character" w:customStyle="1" w:styleId="134">
    <w:name w:val="UserStyle_9"/>
    <w:basedOn w:val="33"/>
    <w:qFormat/>
    <w:uiPriority w:val="0"/>
    <w:rPr>
      <w:rFonts w:ascii="宋体" w:hAnsi="宋体" w:eastAsia="宋体"/>
      <w:color w:val="000000"/>
      <w:sz w:val="22"/>
      <w:szCs w:val="22"/>
    </w:rPr>
  </w:style>
  <w:style w:type="character" w:customStyle="1" w:styleId="135">
    <w:name w:val="UserStyle_10"/>
    <w:basedOn w:val="33"/>
    <w:qFormat/>
    <w:uiPriority w:val="0"/>
    <w:rPr>
      <w:rFonts w:ascii="Times New Roman" w:hAnsi="Times New Roman"/>
      <w:color w:val="000000"/>
      <w:sz w:val="22"/>
      <w:szCs w:val="22"/>
    </w:rPr>
  </w:style>
  <w:style w:type="character" w:customStyle="1" w:styleId="136">
    <w:name w:val="UserStyle_11"/>
    <w:link w:val="46"/>
    <w:qFormat/>
    <w:uiPriority w:val="0"/>
    <w:rPr>
      <w:rFonts w:ascii="宋体" w:hAnsi="Calibri" w:eastAsia="宋体"/>
      <w:sz w:val="28"/>
      <w:szCs w:val="28"/>
      <w:lang w:eastAsia="en-US" w:bidi="en-US"/>
    </w:rPr>
  </w:style>
  <w:style w:type="character" w:customStyle="1" w:styleId="137">
    <w:name w:val="UserStyle_12"/>
    <w:basedOn w:val="33"/>
    <w:qFormat/>
    <w:uiPriority w:val="0"/>
    <w:rPr>
      <w:rFonts w:ascii="Arial" w:hAnsi="Arial"/>
      <w:color w:val="000000"/>
      <w:sz w:val="22"/>
      <w:szCs w:val="22"/>
    </w:rPr>
  </w:style>
  <w:style w:type="character" w:customStyle="1" w:styleId="138">
    <w:name w:val="UserStyle_13"/>
    <w:basedOn w:val="33"/>
    <w:link w:val="51"/>
    <w:qFormat/>
    <w:uiPriority w:val="0"/>
    <w:rPr>
      <w:rFonts w:ascii="宋体" w:hAnsi="Courier New"/>
      <w:kern w:val="2"/>
      <w:sz w:val="28"/>
    </w:rPr>
  </w:style>
  <w:style w:type="character" w:customStyle="1" w:styleId="139">
    <w:name w:val="UserStyle_15"/>
    <w:basedOn w:val="33"/>
    <w:qFormat/>
    <w:uiPriority w:val="0"/>
    <w:rPr>
      <w:rFonts w:ascii="宋体" w:hAnsi="宋体" w:eastAsia="宋体"/>
      <w:color w:val="FF0000"/>
      <w:sz w:val="22"/>
      <w:szCs w:val="22"/>
    </w:rPr>
  </w:style>
  <w:style w:type="character" w:customStyle="1" w:styleId="140">
    <w:name w:val="UserStyle_17"/>
    <w:qFormat/>
    <w:uiPriority w:val="0"/>
  </w:style>
  <w:style w:type="character" w:customStyle="1" w:styleId="141">
    <w:name w:val="UserStyle_18"/>
    <w:basedOn w:val="33"/>
    <w:qFormat/>
    <w:uiPriority w:val="0"/>
    <w:rPr>
      <w:color w:val="355686"/>
      <w:bdr w:val="single" w:color="000000" w:sz="12" w:space="0"/>
    </w:rPr>
  </w:style>
  <w:style w:type="character" w:customStyle="1" w:styleId="142">
    <w:name w:val="UserStyle_19"/>
    <w:basedOn w:val="33"/>
    <w:qFormat/>
    <w:uiPriority w:val="0"/>
    <w:rPr>
      <w:bdr w:val="single" w:color="000000" w:sz="12" w:space="0"/>
    </w:rPr>
  </w:style>
  <w:style w:type="character" w:customStyle="1" w:styleId="143">
    <w:name w:val="UserStyle_20"/>
    <w:basedOn w:val="33"/>
    <w:qFormat/>
    <w:uiPriority w:val="0"/>
    <w:rPr>
      <w:sz w:val="30"/>
      <w:szCs w:val="30"/>
    </w:rPr>
  </w:style>
  <w:style w:type="character" w:customStyle="1" w:styleId="144">
    <w:name w:val="UserStyle_21"/>
    <w:basedOn w:val="33"/>
    <w:qFormat/>
    <w:uiPriority w:val="0"/>
  </w:style>
  <w:style w:type="character" w:customStyle="1" w:styleId="145">
    <w:name w:val="UserStyle_22"/>
    <w:basedOn w:val="33"/>
    <w:qFormat/>
    <w:uiPriority w:val="0"/>
    <w:rPr>
      <w:color w:val="FF851A"/>
    </w:rPr>
  </w:style>
  <w:style w:type="character" w:customStyle="1" w:styleId="146">
    <w:name w:val="UserStyle_23"/>
    <w:basedOn w:val="33"/>
    <w:qFormat/>
    <w:uiPriority w:val="0"/>
    <w:rPr>
      <w:color w:val="FF0000"/>
    </w:rPr>
  </w:style>
  <w:style w:type="character" w:customStyle="1" w:styleId="147">
    <w:name w:val="UserStyle_24"/>
    <w:basedOn w:val="33"/>
    <w:qFormat/>
    <w:uiPriority w:val="0"/>
  </w:style>
  <w:style w:type="character" w:customStyle="1" w:styleId="148">
    <w:name w:val="正文缩进 Char"/>
    <w:link w:val="7"/>
    <w:qFormat/>
    <w:uiPriority w:val="0"/>
    <w:rPr>
      <w:rFonts w:ascii="宋体" w:hAnsi="Calibri"/>
      <w:sz w:val="28"/>
      <w:szCs w:val="28"/>
      <w:lang w:eastAsia="en-US" w:bidi="en-US"/>
    </w:rPr>
  </w:style>
  <w:style w:type="character" w:customStyle="1" w:styleId="149">
    <w:name w:val="正文文本 Char"/>
    <w:basedOn w:val="29"/>
    <w:link w:val="11"/>
    <w:qFormat/>
    <w:uiPriority w:val="0"/>
    <w:rPr>
      <w:rFonts w:ascii="Times New Roman" w:hAnsi="Times New Roman" w:eastAsia="宋体" w:cs="Times New Roman"/>
      <w:kern w:val="2"/>
      <w:sz w:val="21"/>
      <w:szCs w:val="24"/>
    </w:rPr>
  </w:style>
  <w:style w:type="character" w:customStyle="1" w:styleId="150">
    <w:name w:val="font51"/>
    <w:basedOn w:val="29"/>
    <w:qFormat/>
    <w:uiPriority w:val="0"/>
    <w:rPr>
      <w:rFonts w:hint="eastAsia" w:ascii="宋体" w:hAnsi="宋体" w:eastAsia="宋体" w:cs="宋体"/>
      <w:color w:val="000000"/>
      <w:sz w:val="24"/>
      <w:szCs w:val="24"/>
      <w:u w:val="none"/>
    </w:rPr>
  </w:style>
  <w:style w:type="character" w:customStyle="1" w:styleId="151">
    <w:name w:val="批注框文本 Char"/>
    <w:basedOn w:val="29"/>
    <w:link w:val="19"/>
    <w:semiHidden/>
    <w:qFormat/>
    <w:uiPriority w:val="99"/>
    <w:rPr>
      <w:rFonts w:ascii="Tahoma" w:hAnsi="Tahoma" w:eastAsia="微软雅黑" w:cs="黑体"/>
      <w:sz w:val="18"/>
      <w:szCs w:val="18"/>
    </w:rPr>
  </w:style>
  <w:style w:type="character" w:customStyle="1" w:styleId="152">
    <w:name w:val="font31"/>
    <w:basedOn w:val="29"/>
    <w:qFormat/>
    <w:uiPriority w:val="0"/>
    <w:rPr>
      <w:rFonts w:ascii="Tahoma" w:hAnsi="Tahoma" w:eastAsia="Tahoma" w:cs="Tahoma"/>
      <w:color w:val="000000"/>
      <w:sz w:val="22"/>
      <w:szCs w:val="22"/>
      <w:u w:val="none"/>
    </w:rPr>
  </w:style>
  <w:style w:type="character" w:customStyle="1" w:styleId="153">
    <w:name w:val="font21"/>
    <w:basedOn w:val="29"/>
    <w:qFormat/>
    <w:uiPriority w:val="0"/>
    <w:rPr>
      <w:rFonts w:hint="eastAsia" w:ascii="宋体" w:hAnsi="宋体" w:eastAsia="宋体" w:cs="宋体"/>
      <w:color w:val="000000"/>
      <w:sz w:val="22"/>
      <w:szCs w:val="22"/>
      <w:u w:val="none"/>
    </w:rPr>
  </w:style>
  <w:style w:type="character" w:customStyle="1" w:styleId="154">
    <w:name w:val="font101"/>
    <w:basedOn w:val="29"/>
    <w:qFormat/>
    <w:uiPriority w:val="0"/>
    <w:rPr>
      <w:rFonts w:ascii="宋体" w:hAnsi="宋体" w:eastAsia="宋体" w:cs="宋体"/>
      <w:color w:val="000000"/>
      <w:sz w:val="22"/>
      <w:szCs w:val="22"/>
      <w:u w:val="none"/>
    </w:rPr>
  </w:style>
  <w:style w:type="character" w:customStyle="1" w:styleId="155">
    <w:name w:val="正文文本缩进 Char"/>
    <w:link w:val="9"/>
    <w:qFormat/>
    <w:uiPriority w:val="99"/>
  </w:style>
  <w:style w:type="character" w:customStyle="1" w:styleId="156">
    <w:name w:val="标题 1 Char"/>
    <w:link w:val="2"/>
    <w:qFormat/>
    <w:uiPriority w:val="9"/>
    <w:rPr>
      <w:rFonts w:ascii="宋体" w:hAnsi="宋体"/>
      <w:b/>
      <w:bCs/>
      <w:kern w:val="44"/>
      <w:sz w:val="32"/>
      <w:szCs w:val="32"/>
    </w:rPr>
  </w:style>
  <w:style w:type="character" w:customStyle="1" w:styleId="157">
    <w:name w:val="正文文本_"/>
    <w:basedOn w:val="29"/>
    <w:link w:val="114"/>
    <w:qFormat/>
    <w:uiPriority w:val="0"/>
    <w:rPr>
      <w:rFonts w:ascii="仿宋" w:hAnsi="仿宋" w:eastAsia="仿宋" w:cs="仿宋"/>
      <w:sz w:val="26"/>
      <w:szCs w:val="26"/>
    </w:rPr>
  </w:style>
  <w:style w:type="character" w:customStyle="1" w:styleId="158">
    <w:name w:val="标题 1 Char1"/>
    <w:qFormat/>
    <w:uiPriority w:val="0"/>
    <w:rPr>
      <w:rFonts w:ascii="Times New Roman" w:hAnsi="Times New Roman" w:eastAsia="宋体" w:cs="Times New Roman"/>
      <w:b/>
      <w:bCs/>
      <w:kern w:val="44"/>
      <w:sz w:val="32"/>
      <w:szCs w:val="44"/>
    </w:rPr>
  </w:style>
  <w:style w:type="character" w:customStyle="1" w:styleId="159">
    <w:name w:val="font11"/>
    <w:basedOn w:val="29"/>
    <w:qFormat/>
    <w:uiPriority w:val="0"/>
    <w:rPr>
      <w:rFonts w:hint="eastAsia" w:ascii="宋体" w:hAnsi="宋体" w:eastAsia="宋体" w:cs="宋体"/>
      <w:b/>
      <w:color w:val="000000"/>
      <w:sz w:val="20"/>
      <w:szCs w:val="20"/>
      <w:u w:val="none"/>
    </w:rPr>
  </w:style>
  <w:style w:type="character" w:customStyle="1" w:styleId="160">
    <w:name w:val="font01"/>
    <w:basedOn w:val="29"/>
    <w:qFormat/>
    <w:uiPriority w:val="0"/>
    <w:rPr>
      <w:rFonts w:hint="eastAsia" w:ascii="宋体" w:hAnsi="宋体" w:eastAsia="宋体" w:cs="宋体"/>
      <w:b/>
      <w:color w:val="FF0000"/>
      <w:sz w:val="20"/>
      <w:szCs w:val="20"/>
      <w:u w:val="none"/>
    </w:rPr>
  </w:style>
  <w:style w:type="table" w:customStyle="1" w:styleId="161">
    <w:name w:val="TableNormal"/>
    <w:semiHidden/>
    <w:qFormat/>
    <w:uiPriority w:val="0"/>
    <w:tblPr>
      <w:tblCellMar>
        <w:top w:w="0" w:type="dxa"/>
        <w:left w:w="0" w:type="dxa"/>
        <w:bottom w:w="0" w:type="dxa"/>
        <w:right w:w="0" w:type="dxa"/>
      </w:tblCellMar>
    </w:tblPr>
  </w:style>
  <w:style w:type="table" w:customStyle="1" w:styleId="162">
    <w:name w:val="TableGrid"/>
    <w:basedOn w:val="161"/>
    <w:qFormat/>
    <w:uiPriority w:val="0"/>
    <w:tblPr>
      <w:tblCellMar>
        <w:top w:w="0" w:type="dxa"/>
        <w:left w:w="0" w:type="dxa"/>
        <w:bottom w:w="0" w:type="dxa"/>
        <w:right w:w="0" w:type="dxa"/>
      </w:tblCellMar>
    </w:tblPr>
  </w:style>
  <w:style w:type="table" w:customStyle="1" w:styleId="163">
    <w:name w:val="UserStyle_70"/>
    <w:qFormat/>
    <w:uiPriority w:val="0"/>
    <w:tblPr>
      <w:tblCellMar>
        <w:top w:w="0" w:type="dxa"/>
        <w:left w:w="0" w:type="dxa"/>
        <w:bottom w:w="0" w:type="dxa"/>
        <w:right w:w="0" w:type="dxa"/>
      </w:tblCellMar>
    </w:tblPr>
  </w:style>
  <w:style w:type="table" w:customStyle="1" w:styleId="164">
    <w:name w:val="Table Normal"/>
    <w:unhideWhenUsed/>
    <w:qFormat/>
    <w:uiPriority w:val="0"/>
    <w:tblPr>
      <w:tblCellMar>
        <w:top w:w="0" w:type="dxa"/>
        <w:left w:w="0" w:type="dxa"/>
        <w:bottom w:w="0" w:type="dxa"/>
        <w:right w:w="0" w:type="dxa"/>
      </w:tblCellMar>
    </w:tblPr>
  </w:style>
  <w:style w:type="character" w:customStyle="1" w:styleId="165">
    <w:name w:val="layui-this"/>
    <w:basedOn w:val="29"/>
    <w:qFormat/>
    <w:uiPriority w:val="0"/>
    <w:rPr>
      <w:bdr w:val="single" w:color="EEEEEE" w:sz="4" w:space="0"/>
      <w:shd w:val="clear" w:color="auto" w:fill="FFFFFF"/>
    </w:rPr>
  </w:style>
  <w:style w:type="character" w:customStyle="1" w:styleId="166">
    <w:name w:val="first-child"/>
    <w:basedOn w:val="29"/>
    <w:qFormat/>
    <w:uiPriority w:val="0"/>
  </w:style>
  <w:style w:type="character" w:customStyle="1" w:styleId="167">
    <w:name w:val="filter"/>
    <w:basedOn w:val="29"/>
    <w:qFormat/>
    <w:uiPriority w:val="0"/>
  </w:style>
  <w:style w:type="character" w:customStyle="1" w:styleId="168">
    <w:name w:val="active"/>
    <w:basedOn w:val="29"/>
    <w:qFormat/>
    <w:uiPriority w:val="0"/>
    <w:rPr>
      <w:color w:val="FFFFFF"/>
      <w:shd w:val="clear" w:color="auto" w:fill="48CFAD"/>
    </w:rPr>
  </w:style>
  <w:style w:type="paragraph" w:customStyle="1" w:styleId="169">
    <w:name w:val="表格文字"/>
    <w:basedOn w:val="1"/>
    <w:next w:val="11"/>
    <w:qFormat/>
    <w:uiPriority w:val="0"/>
    <w:rPr>
      <w:rFonts w:eastAsia="楷体_GB2312"/>
      <w:szCs w:val="21"/>
    </w:rPr>
  </w:style>
  <w:style w:type="paragraph" w:customStyle="1" w:styleId="170">
    <w:name w:val="Table Text"/>
    <w:basedOn w:val="1"/>
    <w:semiHidden/>
    <w:qFormat/>
    <w:uiPriority w:val="0"/>
    <w:rPr>
      <w:rFonts w:ascii="宋体" w:hAnsi="宋体" w:eastAsia="宋体" w:cs="宋体"/>
      <w:sz w:val="21"/>
      <w:szCs w:val="21"/>
      <w:lang w:val="en-US" w:eastAsia="en-US" w:bidi="ar-SA"/>
    </w:rPr>
  </w:style>
  <w:style w:type="character" w:customStyle="1" w:styleId="171">
    <w:name w:val="font81"/>
    <w:basedOn w:val="29"/>
    <w:qFormat/>
    <w:uiPriority w:val="0"/>
    <w:rPr>
      <w:rFonts w:hint="eastAsia" w:ascii="宋体" w:hAnsi="宋体" w:eastAsia="宋体" w:cs="宋体"/>
      <w:b/>
      <w:bCs/>
      <w:color w:val="000000"/>
      <w:sz w:val="24"/>
      <w:szCs w:val="24"/>
      <w:u w:val="none"/>
    </w:rPr>
  </w:style>
  <w:style w:type="character" w:customStyle="1" w:styleId="172">
    <w:name w:val="jbox-icon-none"/>
    <w:basedOn w:val="29"/>
    <w:qFormat/>
    <w:uiPriority w:val="0"/>
    <w:rPr>
      <w:vanish/>
    </w:rPr>
  </w:style>
  <w:style w:type="character" w:customStyle="1" w:styleId="173">
    <w:name w:val="jbox-icon-warning"/>
    <w:basedOn w:val="29"/>
    <w:qFormat/>
    <w:uiPriority w:val="0"/>
  </w:style>
  <w:style w:type="character" w:customStyle="1" w:styleId="174">
    <w:name w:val="jbox-icon-error"/>
    <w:basedOn w:val="29"/>
    <w:qFormat/>
    <w:uiPriority w:val="0"/>
  </w:style>
  <w:style w:type="character" w:customStyle="1" w:styleId="175">
    <w:name w:val="jbox-icon-success"/>
    <w:basedOn w:val="29"/>
    <w:qFormat/>
    <w:uiPriority w:val="0"/>
  </w:style>
  <w:style w:type="character" w:customStyle="1" w:styleId="176">
    <w:name w:val="jbox-icon"/>
    <w:basedOn w:val="29"/>
    <w:qFormat/>
    <w:uiPriority w:val="0"/>
  </w:style>
  <w:style w:type="character" w:customStyle="1" w:styleId="177">
    <w:name w:val="jbox-icon-info"/>
    <w:basedOn w:val="29"/>
    <w:qFormat/>
    <w:uiPriority w:val="0"/>
  </w:style>
  <w:style w:type="character" w:customStyle="1" w:styleId="178">
    <w:name w:val="jbox-icon-question"/>
    <w:basedOn w:val="29"/>
    <w:qFormat/>
    <w:uiPriority w:val="0"/>
  </w:style>
  <w:style w:type="character" w:customStyle="1" w:styleId="179">
    <w:name w:val="jbox-icon-loading"/>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7.xml"/><Relationship Id="rId14" Type="http://schemas.openxmlformats.org/officeDocument/2006/relationships/footer" Target="footer5.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9219</Words>
  <Characters>9688</Characters>
  <Lines>290</Lines>
  <Paragraphs>81</Paragraphs>
  <TotalTime>73</TotalTime>
  <ScaleCrop>false</ScaleCrop>
  <LinksUpToDate>false</LinksUpToDate>
  <CharactersWithSpaces>9771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2023-06-01T06:56:00Z</dcterms:created>
  <dc:creator>lenovo</dc:creator>
  <cp:lastModifiedBy>遇于北。</cp:lastModifiedBy>
  <cp:lastPrinted>2021-04-13T07:29:00Z</cp:lastPrinted>
  <dcterms:modified xsi:type="dcterms:W3CDTF">2024-11-21T09:22:38Z</dcterms:modified>
  <dc:title>秦安县自然资源局国土空间基础信息平台及规划“一张图”实施监督信息系统建设项目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739132022AD944729F3515917A4E59EA</vt:lpwstr>
  </property>
</Properties>
</file>