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bCs w:val="0"/>
          <w:color w:val="auto"/>
          <w:kern w:val="0"/>
          <w:sz w:val="48"/>
          <w:szCs w:val="48"/>
          <w:lang w:eastAsia="zh-CN"/>
        </w:rPr>
        <w:t>天水市行政事业单位2023-2024年度公务用车框架协议采购项目</w:t>
      </w:r>
    </w:p>
    <w:p>
      <w:pPr>
        <w:jc w:val="center"/>
        <w:rPr>
          <w:rFonts w:hint="eastAsia" w:asciiTheme="minorEastAsia" w:hAnsiTheme="minorEastAsia" w:eastAsiaTheme="minorEastAsia" w:cstheme="minorEastAsia"/>
          <w:b/>
          <w:bCs w:val="0"/>
          <w:color w:val="auto"/>
          <w:sz w:val="36"/>
          <w:szCs w:val="36"/>
        </w:rPr>
      </w:pPr>
    </w:p>
    <w:p>
      <w:pPr>
        <w:jc w:val="center"/>
        <w:rPr>
          <w:rFonts w:hint="eastAsia" w:asciiTheme="minorEastAsia" w:hAnsiTheme="minorEastAsia" w:eastAsiaTheme="minorEastAsia" w:cstheme="minorEastAsia"/>
          <w:b/>
          <w:bCs w:val="0"/>
          <w:color w:val="auto"/>
          <w:sz w:val="44"/>
          <w:szCs w:val="44"/>
          <w:lang w:eastAsia="zh-CN"/>
        </w:rPr>
      </w:pPr>
      <w:r>
        <w:rPr>
          <w:rFonts w:hint="eastAsia" w:asciiTheme="minorEastAsia" w:hAnsiTheme="minorEastAsia" w:eastAsiaTheme="minorEastAsia" w:cstheme="minorEastAsia"/>
          <w:b/>
          <w:bCs w:val="0"/>
          <w:color w:val="auto"/>
          <w:sz w:val="36"/>
          <w:szCs w:val="36"/>
        </w:rPr>
        <w:t>招标编号：</w:t>
      </w:r>
      <w:r>
        <w:rPr>
          <w:rFonts w:hint="eastAsia" w:asciiTheme="minorEastAsia" w:hAnsiTheme="minorEastAsia" w:eastAsiaTheme="minorEastAsia" w:cstheme="minorEastAsia"/>
          <w:b/>
          <w:bCs w:val="0"/>
          <w:color w:val="auto"/>
          <w:sz w:val="36"/>
          <w:szCs w:val="36"/>
          <w:lang w:eastAsia="zh-CN"/>
        </w:rPr>
        <w:t>TGKX2023-022</w:t>
      </w: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r>
        <w:rPr>
          <w:rFonts w:hint="eastAsia" w:asciiTheme="minorEastAsia" w:hAnsiTheme="minorEastAsia" w:eastAsiaTheme="minorEastAsia" w:cstheme="minorEastAsia"/>
          <w:b/>
          <w:bCs w:val="0"/>
          <w:color w:val="auto"/>
          <w:sz w:val="36"/>
          <w:szCs w:val="36"/>
          <w:lang w:eastAsia="zh-CN"/>
        </w:rPr>
        <w:t>（第七包）</w:t>
      </w:r>
    </w:p>
    <w:p>
      <w:pPr>
        <w:jc w:val="center"/>
        <w:rPr>
          <w:rFonts w:hint="eastAsia" w:asciiTheme="minorEastAsia" w:hAnsiTheme="minorEastAsia" w:eastAsiaTheme="minorEastAsia" w:cstheme="minorEastAsia"/>
          <w:b w:val="0"/>
          <w:bCs/>
          <w:color w:val="auto"/>
          <w:sz w:val="96"/>
          <w:szCs w:val="96"/>
          <w:lang w:eastAsia="zh-CN"/>
        </w:rPr>
      </w:pPr>
      <w:r>
        <w:rPr>
          <w:rFonts w:hint="eastAsia" w:asciiTheme="minorEastAsia" w:hAnsiTheme="minorEastAsia" w:eastAsiaTheme="minorEastAsia" w:cstheme="minorEastAsia"/>
          <w:b w:val="0"/>
          <w:bCs/>
          <w:color w:val="auto"/>
          <w:sz w:val="96"/>
          <w:szCs w:val="96"/>
          <w:lang w:eastAsia="zh-CN"/>
        </w:rPr>
        <w:t>征</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集</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文</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件</w:t>
      </w:r>
    </w:p>
    <w:p>
      <w:pPr>
        <w:pStyle w:val="9"/>
        <w:ind w:left="0" w:leftChars="0" w:firstLine="0" w:firstLineChars="0"/>
        <w:rPr>
          <w:rFonts w:hint="eastAsia" w:asciiTheme="minorEastAsia" w:hAnsiTheme="minorEastAsia" w:eastAsiaTheme="minorEastAsia" w:cstheme="minorEastAsia"/>
          <w:b w:val="0"/>
          <w:bCs/>
          <w:color w:val="auto"/>
          <w:sz w:val="30"/>
          <w:szCs w:val="30"/>
          <w:lang w:eastAsia="zh-CN"/>
        </w:rPr>
      </w:pPr>
    </w:p>
    <w:tbl>
      <w:tblPr>
        <w:tblStyle w:val="40"/>
        <w:tblW w:w="992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3435"/>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3022"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采购人：</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pStyle w:val="32"/>
              <w:ind w:left="0" w:leftChars="0" w:firstLine="0" w:firstLineChars="0"/>
              <w:rPr>
                <w:rFonts w:hint="eastAsia" w:asciiTheme="minorEastAsia" w:hAnsiTheme="minorEastAsia" w:eastAsiaTheme="minorEastAsia" w:cstheme="minorEastAsia"/>
                <w:b/>
                <w:bCs/>
                <w:color w:val="auto"/>
                <w:sz w:val="28"/>
                <w:szCs w:val="28"/>
              </w:rPr>
            </w:pPr>
          </w:p>
          <w:p>
            <w:pPr>
              <w:pStyle w:val="32"/>
              <w:ind w:left="0" w:leftChars="0" w:firstLine="0" w:firstLineChars="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35"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集采机构：</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天水市公共资源交易中心</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71"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财政部门：</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r>
    </w:tbl>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val="0"/>
          <w:bCs w:val="0"/>
          <w:color w:val="auto"/>
          <w:sz w:val="44"/>
          <w:szCs w:val="44"/>
          <w:lang w:val="en-US" w:eastAsia="zh-CN"/>
        </w:rPr>
      </w:pPr>
      <w:r>
        <w:rPr>
          <w:rFonts w:hint="eastAsia" w:asciiTheme="minorEastAsia" w:hAnsiTheme="minorEastAsia" w:eastAsiaTheme="minorEastAsia" w:cstheme="minorEastAsia"/>
          <w:b/>
          <w:bCs w:val="0"/>
          <w:color w:val="auto"/>
          <w:kern w:val="0"/>
          <w:sz w:val="44"/>
          <w:szCs w:val="44"/>
        </w:rPr>
        <w:t>二O二</w:t>
      </w:r>
      <w:r>
        <w:rPr>
          <w:rFonts w:hint="eastAsia" w:asciiTheme="minorEastAsia" w:hAnsiTheme="minorEastAsia" w:eastAsiaTheme="minorEastAsia" w:cstheme="minorEastAsia"/>
          <w:b/>
          <w:bCs w:val="0"/>
          <w:color w:val="auto"/>
          <w:kern w:val="0"/>
          <w:sz w:val="44"/>
          <w:szCs w:val="44"/>
          <w:lang w:val="en-US" w:eastAsia="zh-CN"/>
        </w:rPr>
        <w:t>三</w:t>
      </w:r>
      <w:r>
        <w:rPr>
          <w:rFonts w:hint="eastAsia" w:asciiTheme="minorEastAsia" w:hAnsiTheme="minorEastAsia" w:eastAsiaTheme="minorEastAsia" w:cstheme="minorEastAsia"/>
          <w:b/>
          <w:bCs w:val="0"/>
          <w:color w:val="auto"/>
          <w:kern w:val="0"/>
          <w:sz w:val="44"/>
          <w:szCs w:val="44"/>
        </w:rPr>
        <w:t>年</w:t>
      </w:r>
      <w:r>
        <w:rPr>
          <w:rFonts w:hint="eastAsia" w:asciiTheme="minorEastAsia" w:hAnsiTheme="minorEastAsia" w:eastAsiaTheme="minorEastAsia" w:cstheme="minorEastAsia"/>
          <w:b/>
          <w:bCs w:val="0"/>
          <w:color w:val="auto"/>
          <w:kern w:val="0"/>
          <w:sz w:val="44"/>
          <w:szCs w:val="44"/>
          <w:lang w:val="en-US" w:eastAsia="zh-CN"/>
        </w:rPr>
        <w:t>十</w:t>
      </w:r>
      <w:r>
        <w:rPr>
          <w:rFonts w:hint="eastAsia" w:asciiTheme="minorEastAsia" w:hAnsiTheme="minorEastAsia" w:eastAsiaTheme="minorEastAsia" w:cstheme="minorEastAsia"/>
          <w:b/>
          <w:bCs w:val="0"/>
          <w:color w:val="auto"/>
          <w:kern w:val="0"/>
          <w:sz w:val="44"/>
          <w:szCs w:val="44"/>
        </w:rPr>
        <w:t>月</w:t>
      </w:r>
      <w:bookmarkStart w:id="0" w:name="_Toc13221"/>
      <w:bookmarkStart w:id="1" w:name="_Toc8274"/>
      <w:bookmarkStart w:id="2" w:name="_Toc15542"/>
      <w:bookmarkStart w:id="3" w:name="_Toc13852"/>
      <w:bookmarkStart w:id="4" w:name="_Toc17817"/>
      <w:bookmarkStart w:id="5" w:name="_Toc17161"/>
      <w:bookmarkStart w:id="6" w:name="_Toc21919"/>
      <w:bookmarkStart w:id="7" w:name="_Toc2415"/>
      <w:bookmarkStart w:id="8" w:name="_Toc11316"/>
      <w:bookmarkStart w:id="9" w:name="_Toc1172"/>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0" w:name="_Toc22246"/>
      <w:bookmarkStart w:id="11" w:name="_Toc9792"/>
      <w:r>
        <w:rPr>
          <w:rFonts w:hint="eastAsia" w:asciiTheme="minorEastAsia" w:hAnsiTheme="minorEastAsia" w:eastAsiaTheme="minorEastAsia" w:cstheme="minorEastAsia"/>
          <w:b/>
          <w:bCs/>
          <w:color w:val="auto"/>
          <w:sz w:val="44"/>
          <w:szCs w:val="44"/>
          <w:lang w:val="en-US" w:eastAsia="zh-CN"/>
        </w:rPr>
        <w:t>目  录</w:t>
      </w:r>
      <w:bookmarkEnd w:id="0"/>
      <w:bookmarkEnd w:id="1"/>
      <w:bookmarkEnd w:id="2"/>
      <w:bookmarkEnd w:id="3"/>
      <w:bookmarkEnd w:id="4"/>
      <w:bookmarkEnd w:id="5"/>
      <w:bookmarkEnd w:id="6"/>
      <w:bookmarkEnd w:id="7"/>
      <w:bookmarkEnd w:id="10"/>
      <w:bookmarkEnd w:id="11"/>
    </w:p>
    <w:p>
      <w:pPr>
        <w:pStyle w:val="2"/>
        <w:rPr>
          <w:rFonts w:hint="eastAsia"/>
          <w:sz w:val="30"/>
          <w:szCs w:val="30"/>
          <w:lang w:val="en-US" w:eastAsia="zh-CN"/>
        </w:rPr>
      </w:pPr>
    </w:p>
    <w:p>
      <w:pPr>
        <w:pStyle w:val="27"/>
        <w:tabs>
          <w:tab w:val="right" w:leader="dot" w:pos="8845"/>
        </w:tabs>
        <w:rPr>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TOC \o "1-3" \h \u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_Toc28801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rPr>
        <w:t>第一部分</w:t>
      </w:r>
      <w:r>
        <w:rPr>
          <w:rFonts w:hint="eastAsia" w:asciiTheme="minorEastAsia" w:hAnsiTheme="minorEastAsia" w:eastAsiaTheme="minorEastAsia" w:cstheme="minorEastAsia"/>
          <w:bCs/>
          <w:sz w:val="30"/>
          <w:szCs w:val="30"/>
          <w:lang w:val="en-US" w:eastAsia="zh-CN"/>
        </w:rPr>
        <w:t xml:space="preserve">  框架协议征集公告</w:t>
      </w:r>
      <w:r>
        <w:rPr>
          <w:sz w:val="30"/>
          <w:szCs w:val="30"/>
        </w:rPr>
        <w:tab/>
      </w:r>
      <w:r>
        <w:rPr>
          <w:sz w:val="30"/>
          <w:szCs w:val="30"/>
        </w:rPr>
        <w:fldChar w:fldCharType="begin"/>
      </w:r>
      <w:r>
        <w:rPr>
          <w:sz w:val="30"/>
          <w:szCs w:val="30"/>
        </w:rPr>
        <w:instrText xml:space="preserve"> PAGEREF _Toc28801 \h </w:instrText>
      </w:r>
      <w:r>
        <w:rPr>
          <w:sz w:val="30"/>
          <w:szCs w:val="30"/>
        </w:rPr>
        <w:fldChar w:fldCharType="separate"/>
      </w:r>
      <w:r>
        <w:rPr>
          <w:sz w:val="30"/>
          <w:szCs w:val="30"/>
        </w:rPr>
        <w:t>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_Toc15118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第二部分  </w:t>
      </w:r>
      <w:r>
        <w:rPr>
          <w:rFonts w:hint="eastAsia" w:asciiTheme="minorEastAsia" w:hAnsiTheme="minorEastAsia" w:eastAsiaTheme="minorEastAsia" w:cstheme="minorEastAsia"/>
          <w:bCs/>
          <w:sz w:val="30"/>
          <w:szCs w:val="30"/>
          <w:lang w:eastAsia="zh-CN"/>
        </w:rPr>
        <w:t>供应商</w:t>
      </w:r>
      <w:r>
        <w:rPr>
          <w:rFonts w:hint="eastAsia" w:asciiTheme="minorEastAsia" w:hAnsiTheme="minorEastAsia" w:eastAsiaTheme="minorEastAsia" w:cstheme="minorEastAsia"/>
          <w:bCs/>
          <w:sz w:val="30"/>
          <w:szCs w:val="30"/>
        </w:rPr>
        <w:t>须知</w:t>
      </w:r>
      <w:r>
        <w:rPr>
          <w:sz w:val="30"/>
          <w:szCs w:val="30"/>
        </w:rPr>
        <w:tab/>
      </w:r>
      <w:r>
        <w:rPr>
          <w:sz w:val="30"/>
          <w:szCs w:val="30"/>
        </w:rPr>
        <w:fldChar w:fldCharType="begin"/>
      </w:r>
      <w:r>
        <w:rPr>
          <w:sz w:val="30"/>
          <w:szCs w:val="30"/>
        </w:rPr>
        <w:instrText xml:space="preserve"> PAGEREF _Toc15118 \h </w:instrText>
      </w:r>
      <w:r>
        <w:rPr>
          <w:sz w:val="30"/>
          <w:szCs w:val="30"/>
        </w:rPr>
        <w:fldChar w:fldCharType="separate"/>
      </w:r>
      <w:r>
        <w:rPr>
          <w:sz w:val="30"/>
          <w:szCs w:val="30"/>
        </w:rPr>
        <w:t>6</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_Toc11373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第三部分  总  则</w:t>
      </w:r>
      <w:r>
        <w:rPr>
          <w:sz w:val="30"/>
          <w:szCs w:val="30"/>
        </w:rPr>
        <w:tab/>
      </w:r>
      <w:r>
        <w:rPr>
          <w:sz w:val="30"/>
          <w:szCs w:val="30"/>
        </w:rPr>
        <w:fldChar w:fldCharType="begin"/>
      </w:r>
      <w:r>
        <w:rPr>
          <w:sz w:val="30"/>
          <w:szCs w:val="30"/>
        </w:rPr>
        <w:instrText xml:space="preserve"> PAGEREF _Toc11373 \h </w:instrText>
      </w:r>
      <w:r>
        <w:rPr>
          <w:sz w:val="30"/>
          <w:szCs w:val="30"/>
        </w:rPr>
        <w:fldChar w:fldCharType="separate"/>
      </w:r>
      <w:r>
        <w:rPr>
          <w:sz w:val="30"/>
          <w:szCs w:val="30"/>
        </w:rPr>
        <w:t>10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_Toc31039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lang w:val="en-US" w:eastAsia="zh-CN"/>
        </w:rPr>
        <w:t>第四部分  采购需求</w:t>
      </w:r>
      <w:r>
        <w:rPr>
          <w:sz w:val="30"/>
          <w:szCs w:val="30"/>
        </w:rPr>
        <w:tab/>
      </w:r>
      <w:r>
        <w:rPr>
          <w:sz w:val="30"/>
          <w:szCs w:val="30"/>
        </w:rPr>
        <w:fldChar w:fldCharType="begin"/>
      </w:r>
      <w:r>
        <w:rPr>
          <w:sz w:val="30"/>
          <w:szCs w:val="30"/>
        </w:rPr>
        <w:instrText xml:space="preserve"> PAGEREF _Toc31039 \h </w:instrText>
      </w:r>
      <w:r>
        <w:rPr>
          <w:sz w:val="30"/>
          <w:szCs w:val="30"/>
        </w:rPr>
        <w:fldChar w:fldCharType="separate"/>
      </w:r>
      <w:r>
        <w:rPr>
          <w:sz w:val="30"/>
          <w:szCs w:val="30"/>
        </w:rPr>
        <w:t>25</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_Toc26055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五</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评标办法及废标条款</w:t>
      </w:r>
      <w:r>
        <w:rPr>
          <w:sz w:val="30"/>
          <w:szCs w:val="30"/>
        </w:rPr>
        <w:tab/>
      </w:r>
      <w:r>
        <w:rPr>
          <w:sz w:val="30"/>
          <w:szCs w:val="30"/>
        </w:rPr>
        <w:fldChar w:fldCharType="begin"/>
      </w:r>
      <w:r>
        <w:rPr>
          <w:sz w:val="30"/>
          <w:szCs w:val="30"/>
        </w:rPr>
        <w:instrText xml:space="preserve"> PAGEREF _Toc26055 \h </w:instrText>
      </w:r>
      <w:r>
        <w:rPr>
          <w:sz w:val="30"/>
          <w:szCs w:val="30"/>
        </w:rPr>
        <w:fldChar w:fldCharType="separate"/>
      </w:r>
      <w:r>
        <w:rPr>
          <w:sz w:val="30"/>
          <w:szCs w:val="30"/>
        </w:rPr>
        <w:t>29</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_Toc18064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六</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w:t>
      </w:r>
      <w:r>
        <w:rPr>
          <w:rFonts w:hint="eastAsia" w:asciiTheme="minorEastAsia" w:hAnsiTheme="minorEastAsia" w:eastAsiaTheme="minorEastAsia" w:cstheme="minorEastAsia"/>
          <w:bCs/>
          <w:sz w:val="30"/>
          <w:szCs w:val="30"/>
          <w:shd w:val="clear" w:color="auto" w:fill="auto"/>
        </w:rPr>
        <w:t>政府采购框架协议(范本)</w:t>
      </w:r>
      <w:r>
        <w:rPr>
          <w:sz w:val="30"/>
          <w:szCs w:val="30"/>
        </w:rPr>
        <w:tab/>
      </w:r>
      <w:r>
        <w:rPr>
          <w:sz w:val="30"/>
          <w:szCs w:val="30"/>
        </w:rPr>
        <w:fldChar w:fldCharType="begin"/>
      </w:r>
      <w:r>
        <w:rPr>
          <w:sz w:val="30"/>
          <w:szCs w:val="30"/>
        </w:rPr>
        <w:instrText xml:space="preserve"> PAGEREF _Toc18064 \h </w:instrText>
      </w:r>
      <w:r>
        <w:rPr>
          <w:sz w:val="30"/>
          <w:szCs w:val="30"/>
        </w:rPr>
        <w:fldChar w:fldCharType="separate"/>
      </w:r>
      <w:r>
        <w:rPr>
          <w:sz w:val="30"/>
          <w:szCs w:val="30"/>
        </w:rPr>
        <w:t>40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_Toc28488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第七部分  </w:t>
      </w:r>
      <w:r>
        <w:rPr>
          <w:rFonts w:hint="eastAsia" w:asciiTheme="minorEastAsia" w:hAnsiTheme="minorEastAsia" w:eastAsiaTheme="minorEastAsia" w:cstheme="minorEastAsia"/>
          <w:bCs/>
          <w:sz w:val="30"/>
          <w:szCs w:val="30"/>
          <w:lang w:eastAsia="zh-CN"/>
        </w:rPr>
        <w:t>征集响应文件</w:t>
      </w:r>
      <w:r>
        <w:rPr>
          <w:rFonts w:hint="eastAsia" w:asciiTheme="minorEastAsia" w:hAnsiTheme="minorEastAsia" w:eastAsiaTheme="minorEastAsia" w:cstheme="minorEastAsia"/>
          <w:bCs/>
          <w:sz w:val="30"/>
          <w:szCs w:val="30"/>
          <w:lang w:val="en-US" w:eastAsia="zh-CN"/>
        </w:rPr>
        <w:t>格式</w:t>
      </w:r>
      <w:r>
        <w:rPr>
          <w:sz w:val="30"/>
          <w:szCs w:val="30"/>
        </w:rPr>
        <w:tab/>
      </w:r>
      <w:r>
        <w:rPr>
          <w:sz w:val="30"/>
          <w:szCs w:val="30"/>
        </w:rPr>
        <w:fldChar w:fldCharType="begin"/>
      </w:r>
      <w:r>
        <w:rPr>
          <w:sz w:val="30"/>
          <w:szCs w:val="30"/>
        </w:rPr>
        <w:instrText xml:space="preserve"> PAGEREF _Toc28488 \h </w:instrText>
      </w:r>
      <w:r>
        <w:rPr>
          <w:sz w:val="30"/>
          <w:szCs w:val="30"/>
        </w:rPr>
        <w:fldChar w:fldCharType="separate"/>
      </w:r>
      <w:r>
        <w:rPr>
          <w:sz w:val="30"/>
          <w:szCs w:val="30"/>
        </w:rPr>
        <w:t>44</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_Toc30602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val="0"/>
          <w:sz w:val="30"/>
          <w:szCs w:val="30"/>
          <w:lang w:val="en-US" w:eastAsia="zh-CN"/>
        </w:rPr>
        <w:t>第八部分  不见面开标大厅</w:t>
      </w:r>
      <w:r>
        <w:rPr>
          <w:rFonts w:hint="eastAsia" w:asciiTheme="minorEastAsia" w:hAnsiTheme="minorEastAsia" w:eastAsiaTheme="minorEastAsia" w:cstheme="minorEastAsia"/>
          <w:bCs w:val="0"/>
          <w:spacing w:val="-3"/>
          <w:sz w:val="30"/>
          <w:szCs w:val="30"/>
        </w:rPr>
        <w:t>操作手册</w:t>
      </w:r>
      <w:r>
        <w:rPr>
          <w:sz w:val="30"/>
          <w:szCs w:val="30"/>
        </w:rPr>
        <w:tab/>
      </w:r>
      <w:r>
        <w:rPr>
          <w:sz w:val="30"/>
          <w:szCs w:val="30"/>
        </w:rPr>
        <w:fldChar w:fldCharType="begin"/>
      </w:r>
      <w:r>
        <w:rPr>
          <w:sz w:val="30"/>
          <w:szCs w:val="30"/>
        </w:rPr>
        <w:instrText xml:space="preserve"> PAGEREF _Toc30602 \h </w:instrText>
      </w:r>
      <w:r>
        <w:rPr>
          <w:sz w:val="30"/>
          <w:szCs w:val="30"/>
        </w:rPr>
        <w:fldChar w:fldCharType="separate"/>
      </w:r>
      <w:r>
        <w:rPr>
          <w:sz w:val="30"/>
          <w:szCs w:val="30"/>
        </w:rPr>
        <w:t>61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32"/>
        <w:tabs>
          <w:tab w:val="right" w:leader="dot" w:pos="8845"/>
        </w:tabs>
        <w:rPr>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1200" w:firstLineChars="400"/>
        <w:jc w:val="center"/>
        <w:textAlignment w:val="auto"/>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Cs w:val="0"/>
          <w:color w:val="auto"/>
          <w:kern w:val="2"/>
          <w:sz w:val="30"/>
          <w:szCs w:val="30"/>
          <w:lang w:val="en-US" w:eastAsia="zh-CN" w:bidi="ar-SA"/>
        </w:rPr>
        <w:fldChar w:fldCharType="end"/>
      </w:r>
    </w:p>
    <w:p>
      <w:pPr>
        <w:spacing w:line="480" w:lineRule="auto"/>
        <w:jc w:val="center"/>
        <w:outlineLvl w:val="0"/>
        <w:rPr>
          <w:rFonts w:hint="eastAsia" w:asciiTheme="minorEastAsia" w:hAnsiTheme="minorEastAsia" w:eastAsiaTheme="minorEastAsia" w:cstheme="minorEastAsia"/>
          <w:b/>
          <w:bCs/>
          <w:color w:val="auto"/>
          <w:sz w:val="44"/>
          <w:szCs w:val="44"/>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2" w:name="_Toc28801"/>
      <w:r>
        <w:rPr>
          <w:rFonts w:hint="eastAsia" w:asciiTheme="minorEastAsia" w:hAnsiTheme="minorEastAsia" w:eastAsiaTheme="minorEastAsia" w:cstheme="minorEastAsia"/>
          <w:b/>
          <w:bCs/>
          <w:color w:val="auto"/>
          <w:sz w:val="44"/>
          <w:szCs w:val="44"/>
        </w:rPr>
        <w:t>第一部分</w:t>
      </w:r>
      <w:r>
        <w:rPr>
          <w:rFonts w:hint="eastAsia" w:asciiTheme="minorEastAsia" w:hAnsiTheme="minorEastAsia" w:eastAsiaTheme="minorEastAsia" w:cstheme="minorEastAsia"/>
          <w:b/>
          <w:bCs/>
          <w:color w:val="auto"/>
          <w:sz w:val="44"/>
          <w:szCs w:val="44"/>
          <w:lang w:val="en-US" w:eastAsia="zh-CN"/>
        </w:rPr>
        <w:t xml:space="preserve"> </w:t>
      </w:r>
      <w:bookmarkEnd w:id="8"/>
      <w:bookmarkEnd w:id="9"/>
      <w:r>
        <w:rPr>
          <w:rFonts w:hint="eastAsia" w:asciiTheme="minorEastAsia" w:hAnsiTheme="minorEastAsia" w:eastAsiaTheme="minorEastAsia" w:cstheme="minorEastAsia"/>
          <w:b/>
          <w:bCs/>
          <w:color w:val="auto"/>
          <w:sz w:val="44"/>
          <w:szCs w:val="44"/>
          <w:lang w:val="en-US" w:eastAsia="zh-CN"/>
        </w:rPr>
        <w:t>框架协议征集公告</w:t>
      </w:r>
      <w:bookmarkEnd w:id="12"/>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天水市公共资源交易中心受</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的委托，对其委托的天水市行政事业单位2023-2024年度公务用车框架协议采购项目以</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的方式进行采购</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，欢</w:t>
      </w:r>
      <w:r>
        <w:rPr>
          <w:rFonts w:hint="eastAsia" w:asciiTheme="minorEastAsia" w:hAnsiTheme="minorEastAsia" w:eastAsiaTheme="minorEastAsia" w:cstheme="minorEastAsia"/>
          <w:bCs/>
          <w:color w:val="auto"/>
          <w:sz w:val="24"/>
          <w:szCs w:val="24"/>
        </w:rPr>
        <w:t>迎符合资格条件的供应商</w:t>
      </w:r>
      <w:r>
        <w:rPr>
          <w:rFonts w:hint="eastAsia" w:asciiTheme="minorEastAsia" w:hAnsiTheme="minorEastAsia" w:eastAsiaTheme="minorEastAsia" w:cstheme="minorEastAsia"/>
          <w:color w:val="auto"/>
          <w:sz w:val="24"/>
          <w:szCs w:val="24"/>
        </w:rPr>
        <w:t>登录天水市公共资源交易中心网站免费下载获取征集文件</w:t>
      </w:r>
      <w:r>
        <w:rPr>
          <w:rFonts w:hint="eastAsia" w:asciiTheme="minorEastAsia" w:hAnsiTheme="minorEastAsia" w:eastAsiaTheme="minorEastAsia" w:cstheme="minorEastAsia"/>
          <w:color w:val="auto"/>
          <w:sz w:val="24"/>
          <w:szCs w:val="24"/>
          <w:lang w:eastAsia="zh-CN"/>
        </w:rPr>
        <w:t>，并在规定的时间内递交响应文件</w:t>
      </w:r>
      <w:r>
        <w:rPr>
          <w:rFonts w:hint="eastAsia" w:asciiTheme="minorEastAsia" w:hAnsiTheme="minorEastAsia" w:eastAsiaTheme="minorEastAsia" w:cstheme="minorEastAsia"/>
          <w:color w:val="auto"/>
          <w:sz w:val="24"/>
          <w:szCs w:val="24"/>
        </w:rPr>
        <w:t>。</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val="en-US" w:eastAsia="zh-CN"/>
        </w:rPr>
        <w:t>框架协议</w:t>
      </w:r>
      <w:r>
        <w:rPr>
          <w:rFonts w:hint="eastAsia" w:asciiTheme="minorEastAsia" w:hAnsiTheme="minorEastAsia" w:eastAsiaTheme="minorEastAsia" w:cstheme="minorEastAsia"/>
          <w:b/>
          <w:bCs/>
          <w:color w:val="auto"/>
          <w:sz w:val="24"/>
          <w:szCs w:val="24"/>
        </w:rPr>
        <w:t>编号：</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TGKX2023-022</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二、项目需求：</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依据《政府采购框架协议采购方式管理暂行办法》（财政部110号令）、《政府采购品目分类目录》（2022年印发）及《甘肃省2023-2024年政府集中采购目录和采购限额标准》要求，征集具备相应资格条件的供应商，参与天水市行政事业单位2023-2024年度公务用车框架协议采购项目。本市各行政事业单位一次性采购同一车型5辆以下框架协议，5辆以上集中采购。</w:t>
      </w:r>
    </w:p>
    <w:p>
      <w:pPr>
        <w:pStyle w:val="31"/>
        <w:numPr>
          <w:ilvl w:val="0"/>
          <w:numId w:val="5"/>
        </w:numPr>
        <w:ind w:left="48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服务期限：</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框架协议期限</w:t>
      </w: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default" w:asciiTheme="minorEastAsia" w:hAnsiTheme="minorEastAsia" w:eastAsiaTheme="minorEastAsia" w:cstheme="minorEastAsia"/>
          <w:b w:val="0"/>
          <w:bCs w:val="0"/>
          <w:color w:val="auto"/>
          <w:kern w:val="2"/>
          <w:sz w:val="24"/>
          <w:szCs w:val="24"/>
          <w:highlight w:val="none"/>
          <w:lang w:val="en-US" w:eastAsia="zh-CN" w:bidi="ar-SA"/>
        </w:rPr>
        <w:t>年</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四</w:t>
      </w:r>
      <w:r>
        <w:rPr>
          <w:rFonts w:hint="eastAsia" w:asciiTheme="minorEastAsia" w:hAnsiTheme="minorEastAsia" w:eastAsiaTheme="minorEastAsia" w:cstheme="minorEastAsia"/>
          <w:b/>
          <w:bCs w:val="0"/>
          <w:color w:val="auto"/>
          <w:sz w:val="24"/>
          <w:szCs w:val="24"/>
          <w:highlight w:val="none"/>
        </w:rPr>
        <w:t>、采购内容:</w:t>
      </w:r>
    </w:p>
    <w:tbl>
      <w:tblPr>
        <w:tblStyle w:val="39"/>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115"/>
        <w:gridCol w:w="2820"/>
        <w:gridCol w:w="205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最高限价</w:t>
            </w:r>
          </w:p>
        </w:tc>
        <w:tc>
          <w:tcPr>
            <w:tcW w:w="171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240" w:firstLineChars="100"/>
              <w:jc w:val="both"/>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1710"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snapToGrid/>
                <w:sz w:val="24"/>
                <w:lang w:val="en-US" w:eastAsia="zh-CN"/>
              </w:rPr>
              <w:t>1</w:t>
            </w:r>
            <w:r>
              <w:rPr>
                <w:rFonts w:hint="default" w:ascii="宋体" w:hAnsi="宋体"/>
                <w:snapToGrid/>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采购预算：</w:t>
      </w:r>
      <w:r>
        <w:rPr>
          <w:rFonts w:hint="eastAsia" w:asciiTheme="minorEastAsia" w:hAnsiTheme="minorEastAsia" w:eastAsiaTheme="minorEastAsia" w:cstheme="minorEastAsia"/>
          <w:b/>
          <w:bCs w:val="0"/>
          <w:color w:val="auto"/>
          <w:sz w:val="24"/>
          <w:szCs w:val="24"/>
          <w:lang w:val="en-US" w:eastAsia="zh-CN"/>
        </w:rPr>
        <w:t>0万元</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最高限价：投标车辆不得高于征集文件第四部分设定的最高限额。</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、评标办法：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第一阶段为质量优先法，第二阶段为直接选定。</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、供应商资格要求</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b/>
          <w:bCs/>
          <w:color w:val="auto"/>
          <w:sz w:val="24"/>
          <w:szCs w:val="24"/>
        </w:rPr>
        <w:t>不接受联合体</w:t>
      </w:r>
      <w:r>
        <w:rPr>
          <w:rFonts w:hint="eastAsia" w:asciiTheme="minorEastAsia" w:hAnsiTheme="minorEastAsia" w:eastAsiaTheme="minorEastAsia" w:cstheme="minorEastAsia"/>
          <w:b/>
          <w:bCs/>
          <w:color w:val="auto"/>
          <w:sz w:val="24"/>
          <w:szCs w:val="24"/>
          <w:lang w:eastAsia="zh-CN"/>
        </w:rPr>
        <w:t>框架协议</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中国（甘肃天水）”网站（http://credit.tianshui.gov.cn/）记录失信被执行人或重大税收违法案件当事人名单或政府采购严重违法失信行为记录名单；未被列入“信用甘肃”网站（www.gscredit.gov.cn）记录失信被执行人或财政性资金管理使用领域相关失信责任主体、统计领域严重失信企业及其有关人员等的方可参加本项目的投标。（以投标截止日前在“信用中国”网站（www.creditchina.gov.cn）、“信用中国（甘肃天水）”网站（http://credit.tianshui.gov.cn/）、中国政府采购网（www.ccgp.gov.cn）及“信用甘肃”网站（www.gscredit.gov.cn）查询结果为准，如相关失信记录失效，供应商需提供相关证明资料）</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信息注册须知：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为了规范交易平台的业务流程以及给用户提供方便快捷的服务，进一步落实“放管服”改革要求，凡是拟参与天水市公共资源交易活动的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需先在天水市公共资源交易网上注册、投标，</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可自行选择以下任意一种方式进行注册、登录、投标：</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方式一：拟参与天水市公共资源交易活动的供应商在天水市公共资源交易网上注册填写相关内容，获取登录权限。登录权限获取成功后使用“用户名+密码+验证码”的方式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方式二：拟参与天水市公共资源交易活动的供应商在天水市公共资源交易网上注册，并办理获取 CA 数字证书。用已办理获取的 CA 数字证书登录，登记拟参与项目进行投标，投标成功后免费下载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“用户名+密码+验证码”的登录方式和 CA 数字证书登录方式并行，由供应商自行选择登录方式。CA 数字证书由符合有关规定的市场运营主体办理。已办理 CA 数字证书的供应商，仍可在天水市公共资源交易网上正常使用。注：填写信息必须真实有效。若有问题，咨询电话: 0931-2909277/377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、获取</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的时间、地点、方式：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时间：自</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00:00起至</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2</w:t>
      </w:r>
      <w:r>
        <w:rPr>
          <w:rFonts w:hint="eastAsia" w:asciiTheme="minorEastAsia" w:hAnsiTheme="minorEastAsia" w:eastAsiaTheme="minorEastAsia" w:cstheme="minorEastAsia"/>
          <w:color w:val="auto"/>
          <w:sz w:val="24"/>
          <w:szCs w:val="24"/>
        </w:rPr>
        <w:t>日23:59：59止均可免费获取。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方式：登录天水市公共资源交易中心网站免费下载。</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可访问“天水市公共资源交易中心”网站（</w:t>
      </w:r>
      <w:r>
        <w:rPr>
          <w:rFonts w:hint="eastAsia" w:asciiTheme="minorEastAsia" w:hAnsiTheme="minorEastAsia" w:eastAsiaTheme="minorEastAsia" w:cstheme="minorEastAsia"/>
          <w:color w:val="auto"/>
          <w:sz w:val="24"/>
          <w:szCs w:val="24"/>
          <w:u w:val="none"/>
        </w:rPr>
        <w:t>http://ggzyjy</w:t>
      </w:r>
      <w:r>
        <w:rPr>
          <w:rFonts w:hint="eastAsia" w:asciiTheme="minorEastAsia" w:hAnsiTheme="minorEastAsia" w:eastAsiaTheme="minorEastAsia" w:cstheme="minorEastAsia"/>
          <w:color w:val="auto"/>
          <w:sz w:val="24"/>
          <w:szCs w:val="24"/>
        </w:rPr>
        <w:t>.tianshui.gov.cn）点击对应的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项目公告，免费获取</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，也可通过登录天水公共资源交易电子服务系统，在“投标管理”栏目“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 xml:space="preserve">获取”子栏目下在线免费获取。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注：凡是拟参与天水市公共资源交易活动的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代理机构、投标单位需先在天水市公共资源交易网上免费注册或获取数字证书方可办理业务。</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w:t>
      </w:r>
      <w:r>
        <w:rPr>
          <w:rFonts w:hint="eastAsia" w:asciiTheme="minorEastAsia" w:hAnsiTheme="minorEastAsia" w:eastAsiaTheme="minorEastAsia" w:cstheme="minorEastAsia"/>
          <w:b/>
          <w:bCs w:val="0"/>
          <w:color w:val="auto"/>
          <w:sz w:val="24"/>
          <w:szCs w:val="24"/>
        </w:rPr>
        <w:t>投标截止时间、开标时间及地点：</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（一）投标截止时间：2023年11月17日9时00分前（北京时间，逾期不予受理）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（二）开标时间：</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（三）开标时间及地点：</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分在天水市公共资源交易中心（天水市秦州区建设路185号二楼第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递交截止时间前应主动登录甘肃政府采购网，以便及时了解相关</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信息和补充信息。如因未主动登录网站而未获取相关信息，对其产生的不利因素由供应商自行承担。</w:t>
      </w:r>
    </w:p>
    <w:p>
      <w:pPr>
        <w:widowControl/>
        <w:spacing w:line="410" w:lineRule="exact"/>
        <w:ind w:firstLine="480" w:firstLineChars="200"/>
        <w:jc w:val="left"/>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现因天水市公共资源交易系统优化升级，系统升级为：（http://47.96.171.185/UserLogin.aspx），受疫情影响，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widowControl/>
        <w:spacing w:line="410" w:lineRule="exact"/>
        <w:ind w:firstLine="480" w:firstLineChars="200"/>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p>
      <w:pPr>
        <w:keepNext w:val="0"/>
        <w:keepLines w:val="0"/>
        <w:pageBreakBefore w:val="0"/>
        <w:widowControl w:val="0"/>
        <w:shd w:val="clear" w:color="auto" w:fill="FFFFFF"/>
        <w:kinsoku/>
        <w:wordWrap w:val="0"/>
        <w:overflowPunct/>
        <w:topLinePunct w:val="0"/>
        <w:bidi w:val="0"/>
        <w:adjustRightInd/>
        <w:snapToGrid/>
        <w:spacing w:line="400" w:lineRule="exact"/>
        <w:ind w:left="0" w:leftChars="0" w:right="0" w:rightChars="0" w:firstLine="482" w:firstLineChars="200"/>
        <w:textAlignment w:val="baseline"/>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十一</w:t>
      </w:r>
      <w:r>
        <w:rPr>
          <w:rFonts w:hint="eastAsia" w:asciiTheme="minorEastAsia" w:hAnsiTheme="minorEastAsia" w:eastAsiaTheme="minorEastAsia" w:cstheme="minorEastAsia"/>
          <w:b/>
          <w:bCs w:val="0"/>
          <w:color w:val="auto"/>
          <w:sz w:val="24"/>
          <w:szCs w:val="24"/>
        </w:rPr>
        <w:t>、投标保证金:</w:t>
      </w:r>
    </w:p>
    <w:p>
      <w:pPr>
        <w:pStyle w:val="32"/>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本项目不收取</w:t>
      </w:r>
      <w:r>
        <w:rPr>
          <w:rFonts w:hint="eastAsia" w:asciiTheme="minorEastAsia" w:hAnsiTheme="minorEastAsia" w:eastAsia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保证金</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u w:val="none"/>
        </w:rPr>
      </w:pPr>
      <w:r>
        <w:rPr>
          <w:rFonts w:hint="eastAsia" w:asciiTheme="minorEastAsia" w:hAnsiTheme="minorEastAsia" w:eastAsiaTheme="minorEastAsia" w:cstheme="minorEastAsia"/>
          <w:b/>
          <w:bCs/>
          <w:color w:val="auto"/>
          <w:sz w:val="24"/>
          <w:szCs w:val="24"/>
          <w:u w:val="none"/>
        </w:rPr>
        <w:t>十</w:t>
      </w:r>
      <w:r>
        <w:rPr>
          <w:rFonts w:hint="eastAsia" w:asciiTheme="minorEastAsia" w:hAnsiTheme="minorEastAsia" w:eastAsiaTheme="minorEastAsia" w:cstheme="minorEastAsia"/>
          <w:b/>
          <w:bCs/>
          <w:color w:val="auto"/>
          <w:sz w:val="24"/>
          <w:szCs w:val="24"/>
          <w:u w:val="none"/>
          <w:lang w:val="en-US" w:eastAsia="zh-CN"/>
        </w:rPr>
        <w:t>二</w:t>
      </w:r>
      <w:r>
        <w:rPr>
          <w:rFonts w:hint="eastAsia" w:asciiTheme="minorEastAsia" w:hAnsiTheme="minorEastAsia" w:eastAsiaTheme="minorEastAsia" w:cstheme="minorEastAsia"/>
          <w:b/>
          <w:bCs/>
          <w:color w:val="auto"/>
          <w:sz w:val="24"/>
          <w:szCs w:val="24"/>
          <w:u w:val="none"/>
        </w:rPr>
        <w:t>、公告期限：</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本公告发布后5个工作日.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、采购项目需要落实的政府采购政策：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）根据财政部发布的《政府采购促进中小企业发展管理办法》</w:t>
      </w:r>
      <w:r>
        <w:rPr>
          <w:rFonts w:hint="eastAsia" w:asciiTheme="minorEastAsia" w:hAnsiTheme="minorEastAsia" w:eastAsiaTheme="minorEastAsia" w:cstheme="minorEastAsia"/>
          <w:b w:val="0"/>
          <w:bCs w:val="0"/>
          <w:color w:val="auto"/>
          <w:sz w:val="24"/>
          <w:szCs w:val="24"/>
          <w:lang w:eastAsia="zh-CN"/>
        </w:rPr>
        <w:t>（财库〔2020〕46</w:t>
      </w:r>
      <w:r>
        <w:rPr>
          <w:rFonts w:hint="eastAsia" w:asciiTheme="minorEastAsia" w:hAnsiTheme="minorEastAsia" w:eastAsiaTheme="minorEastAsia" w:cstheme="minorEastAsia"/>
          <w:b w:val="0"/>
          <w:bCs w:val="0"/>
          <w:color w:val="auto"/>
          <w:sz w:val="24"/>
          <w:szCs w:val="24"/>
          <w:lang w:val="en-US" w:eastAsia="zh-CN"/>
        </w:rPr>
        <w:t>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《关于进一步加大政府采购支持中小企业力度的通知》（财库[2022]19号）</w:t>
      </w:r>
      <w:r>
        <w:rPr>
          <w:rFonts w:hint="eastAsia" w:asciiTheme="minorEastAsia" w:hAnsiTheme="minorEastAsia" w:eastAsiaTheme="minorEastAsia" w:cstheme="minorEastAsia"/>
          <w:b w:val="0"/>
          <w:bCs w:val="0"/>
          <w:color w:val="auto"/>
          <w:sz w:val="24"/>
          <w:szCs w:val="24"/>
          <w:lang w:val="en-US" w:eastAsia="zh-CN"/>
        </w:rPr>
        <w:t>和</w:t>
      </w:r>
      <w:r>
        <w:rPr>
          <w:rFonts w:hint="eastAsia" w:asciiTheme="minorEastAsia" w:hAnsiTheme="minorEastAsia" w:eastAsiaTheme="minorEastAsia" w:cstheme="minorEastAsia"/>
          <w:b w:val="0"/>
          <w:bCs w:val="0"/>
          <w:color w:val="auto"/>
          <w:sz w:val="24"/>
          <w:szCs w:val="24"/>
        </w:rPr>
        <w:t>《甘肃省财政厅关于进一步加大政府采购支持中小企业力度的通知》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甘财采〔2022〕16 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规定，对</w:t>
      </w:r>
      <w:r>
        <w:rPr>
          <w:rFonts w:hint="eastAsia" w:asciiTheme="minorEastAsia" w:hAnsiTheme="minorEastAsia" w:eastAsiaTheme="minorEastAsia" w:cstheme="minorEastAsia"/>
          <w:b w:val="0"/>
          <w:bCs w:val="0"/>
          <w:color w:val="auto"/>
          <w:sz w:val="24"/>
          <w:szCs w:val="24"/>
          <w:lang w:val="en-US" w:eastAsia="zh-CN"/>
        </w:rPr>
        <w:t>货物和</w:t>
      </w:r>
      <w:r>
        <w:rPr>
          <w:rFonts w:hint="eastAsia" w:asciiTheme="minorEastAsia" w:hAnsiTheme="minorEastAsia" w:eastAsiaTheme="minorEastAsia" w:cstheme="minorEastAsia"/>
          <w:b w:val="0"/>
          <w:bCs w:val="0"/>
          <w:color w:val="auto"/>
          <w:sz w:val="24"/>
          <w:szCs w:val="24"/>
        </w:rPr>
        <w:t>服务采购项目小微企业的价格给予10%的扣除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根据财政部发布的《关于政府采购支持监狱企业发展有关问题的通知》规定，本项目对监狱企业产品的价格给予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根据财政部、民政部、中国残疾人联合会发布的《关于促进残疾人就业政府采购政策的通知》规定，本项目对残疾人福利性单位产品的价格给予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、采购项目联系人及联系方式：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征</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天水市财政局</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联系电话：</w:t>
      </w:r>
      <w:r>
        <w:rPr>
          <w:rFonts w:hint="eastAsia" w:asciiTheme="minorEastAsia" w:hAnsiTheme="minorEastAsia" w:eastAsiaTheme="minorEastAsia" w:cstheme="minorEastAsia"/>
          <w:color w:val="auto"/>
          <w:sz w:val="24"/>
          <w:szCs w:val="24"/>
          <w:lang w:val="en-US" w:eastAsia="zh-CN"/>
        </w:rPr>
        <w:t>0938-8214987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    址：</w:t>
      </w:r>
      <w:r>
        <w:rPr>
          <w:rFonts w:hint="eastAsia" w:asciiTheme="minorEastAsia" w:hAnsiTheme="minorEastAsia" w:eastAsiaTheme="minorEastAsia" w:cstheme="minorEastAsia"/>
          <w:color w:val="auto"/>
          <w:sz w:val="24"/>
          <w:lang w:eastAsia="zh-CN"/>
        </w:rPr>
        <w:t>天水市秦州区滨河东路桃李春风8号财经大厦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集采机构：天水市公共资源交易中心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 天水市秦州区建设路185号</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吴航  贾常惠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联系电话：0938-8330335</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jc w:val="righ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bookmarkStart w:id="13" w:name="_Toc31598"/>
      <w:bookmarkStart w:id="14" w:name="_Toc2194"/>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numPr>
          <w:ilvl w:val="0"/>
          <w:numId w:val="6"/>
        </w:numPr>
        <w:kinsoku/>
        <w:wordWrap/>
        <w:overflowPunct/>
        <w:topLinePunct w:val="0"/>
        <w:bidi w:val="0"/>
        <w:adjustRightInd/>
        <w:snapToGrid/>
        <w:spacing w:line="500" w:lineRule="exact"/>
        <w:ind w:left="0" w:leftChars="0" w:right="0" w:rightChars="0" w:firstLine="0" w:firstLineChars="0"/>
        <w:jc w:val="center"/>
        <w:outlineLvl w:val="0"/>
        <w:rPr>
          <w:rFonts w:hint="eastAsia" w:asciiTheme="minorEastAsia" w:hAnsiTheme="minorEastAsia" w:eastAsiaTheme="minorEastAsia" w:cstheme="minorEastAsia"/>
          <w:b/>
          <w:bCs/>
          <w:color w:val="auto"/>
          <w:sz w:val="44"/>
          <w:szCs w:val="44"/>
          <w:lang w:val="en-US" w:eastAsia="zh-CN"/>
        </w:rPr>
      </w:pPr>
      <w:bookmarkStart w:id="15" w:name="_Toc15118"/>
      <w:r>
        <w:rPr>
          <w:rFonts w:hint="eastAsia" w:asciiTheme="minorEastAsia" w:hAnsiTheme="minorEastAsia" w:eastAsiaTheme="minorEastAsia" w:cstheme="minorEastAsia"/>
          <w:b/>
          <w:bCs/>
          <w:color w:val="auto"/>
          <w:sz w:val="44"/>
          <w:szCs w:val="44"/>
          <w:lang w:eastAsia="zh-CN"/>
        </w:rPr>
        <w:t>供应商</w:t>
      </w:r>
      <w:r>
        <w:rPr>
          <w:rFonts w:hint="eastAsia" w:asciiTheme="minorEastAsia" w:hAnsiTheme="minorEastAsia" w:eastAsiaTheme="minorEastAsia" w:cstheme="minorEastAsia"/>
          <w:b/>
          <w:bCs/>
          <w:color w:val="auto"/>
          <w:sz w:val="44"/>
          <w:szCs w:val="44"/>
        </w:rPr>
        <w:t>须知</w:t>
      </w:r>
      <w:bookmarkEnd w:id="15"/>
    </w:p>
    <w:bookmarkEnd w:id="13"/>
    <w:bookmarkEnd w:id="14"/>
    <w:tbl>
      <w:tblPr>
        <w:tblStyle w:val="3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537"/>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restart"/>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天水市行政事业单位2023-2024年度公务用车框架协议采购项目（第七包）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采购方式</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封闭式框架协议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公告媒体</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甘肃省政府采购网、天水市公共资源交易中心</w:t>
            </w:r>
            <w:r>
              <w:rPr>
                <w:rFonts w:hint="eastAsia" w:asciiTheme="minorEastAsia" w:hAnsiTheme="minorEastAsia" w:eastAsiaTheme="minorEastAsia" w:cstheme="minorEastAsia"/>
                <w:color w:val="auto"/>
                <w:sz w:val="24"/>
                <w:szCs w:val="24"/>
                <w:lang w:val="en-US" w:eastAsia="zh-CN"/>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征集</w:t>
            </w:r>
            <w:r>
              <w:rPr>
                <w:rFonts w:hint="eastAsia" w:asciiTheme="minorEastAsia" w:hAnsiTheme="minorEastAsia" w:eastAsiaTheme="minorEastAsia" w:cstheme="minorEastAsia"/>
                <w:color w:val="auto"/>
                <w:kern w:val="0"/>
                <w:sz w:val="24"/>
                <w:szCs w:val="24"/>
              </w:rPr>
              <w:t>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征 集 人：天水市财政局</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联系电话：0938-8214987</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bidi="ar-SA"/>
              </w:rPr>
              <w:t>地    址：</w:t>
            </w:r>
            <w:r>
              <w:rPr>
                <w:rFonts w:hint="eastAsia" w:asciiTheme="minorEastAsia" w:hAnsiTheme="minorEastAsia" w:eastAsiaTheme="minorEastAsia" w:cstheme="minorEastAsia"/>
                <w:color w:val="auto"/>
                <w:sz w:val="24"/>
                <w:lang w:eastAsia="zh-CN"/>
              </w:rPr>
              <w:t>天水市秦州区滨河东路桃李春风8号财经大厦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集采机构</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单位名称：天水市公共资源交易中心</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地址：天水市秦州区建设路185号</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电话：0938-</w:t>
            </w:r>
            <w:r>
              <w:rPr>
                <w:rFonts w:hint="eastAsia" w:asciiTheme="minorEastAsia" w:hAnsiTheme="minorEastAsia" w:eastAsiaTheme="minorEastAsia" w:cstheme="minorEastAsia"/>
                <w:color w:val="auto"/>
                <w:kern w:val="0"/>
                <w:sz w:val="24"/>
                <w:szCs w:val="24"/>
                <w:lang w:val="en-US" w:eastAsia="zh-CN"/>
              </w:rPr>
              <w:t>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rPr>
              <w:t>联系人：</w:t>
            </w:r>
            <w:r>
              <w:rPr>
                <w:rFonts w:hint="eastAsia" w:asciiTheme="minorEastAsia" w:hAnsiTheme="minorEastAsia" w:eastAsiaTheme="minorEastAsia" w:cstheme="minorEastAsia"/>
                <w:color w:val="auto"/>
                <w:kern w:val="0"/>
                <w:sz w:val="24"/>
                <w:szCs w:val="24"/>
                <w:lang w:val="en-US" w:eastAsia="zh-CN"/>
              </w:rPr>
              <w:t>贾常惠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资格条件</w:t>
            </w:r>
          </w:p>
        </w:tc>
        <w:tc>
          <w:tcPr>
            <w:tcW w:w="7668" w:type="dxa"/>
            <w:tcBorders>
              <w:tl2br w:val="nil"/>
              <w:tr2bl w:val="nil"/>
            </w:tcBorders>
            <w:vAlign w:val="center"/>
          </w:tcPr>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小微企业（监狱企业视同小微企业）价格扣除和失信企业报价加成或者扣分</w:t>
            </w:r>
          </w:p>
        </w:tc>
        <w:tc>
          <w:tcPr>
            <w:tcW w:w="7668" w:type="dxa"/>
            <w:tcBorders>
              <w:tl2br w:val="nil"/>
              <w:tr2bl w:val="nil"/>
            </w:tcBorders>
            <w:vAlign w:val="center"/>
          </w:tcPr>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根据财政部发布的《政府采购促进中小企业发展管理办法》</w:t>
            </w:r>
            <w:r>
              <w:rPr>
                <w:rFonts w:hint="eastAsia" w:asciiTheme="minorEastAsia" w:hAnsiTheme="minorEastAsia" w:eastAsiaTheme="minorEastAsia" w:cstheme="minorEastAsia"/>
                <w:color w:val="auto"/>
                <w:kern w:val="0"/>
                <w:sz w:val="24"/>
                <w:szCs w:val="24"/>
                <w:lang w:eastAsia="zh-CN"/>
              </w:rPr>
              <w:t>（财库〔2020〕46</w:t>
            </w:r>
            <w:r>
              <w:rPr>
                <w:rFonts w:hint="eastAsia" w:asciiTheme="minorEastAsia" w:hAnsiTheme="minorEastAsia" w:eastAsiaTheme="minorEastAsia" w:cstheme="minorEastAsia"/>
                <w:color w:val="auto"/>
                <w:kern w:val="0"/>
                <w:sz w:val="24"/>
                <w:szCs w:val="24"/>
                <w:lang w:val="en-US" w:eastAsia="zh-CN"/>
              </w:rPr>
              <w:t>号</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、《关于进一步加大政府采购支持中小企业力度的通知》（财库[2022]19号）和《甘肃省财政厅关于进一步加大政府采购支持中小企业力度的通知》（甘财采〔2022〕16 号）规定，对货物和服务采购项目小微企业的价格给予10%的扣除；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根据财政部发布的《关于政府采购支持监狱企业发展有关问题的通知》规定，本项目对监狱企业产品的价格给予10%的扣除；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根据财政部、民政部、中国残疾人联合会发布的《关于促进残疾人就业政府采购政策的通知》规定，本项目对残疾人福利性单位产品的价格给予10%的扣除。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投标保证金</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是否专门面向中小企业采购</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分公司投标</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除银行、保险、电力、电信、移动、联通等特殊行业外，本项目不接受</w:t>
            </w:r>
            <w:r>
              <w:rPr>
                <w:rFonts w:hint="eastAsia" w:asciiTheme="minorEastAsia" w:hAnsiTheme="minorEastAsia" w:eastAsia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lang w:val="zh-CN"/>
              </w:rPr>
              <w:t>非独立法人单位分公司的投标。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确定入围供应商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淘汰率不低于20%。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服务期</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本框架协议签订期限为1年。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eastAsia="zh-CN" w:bidi="ar-SA"/>
              </w:rPr>
              <w:t>付款方式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由项目实际采购人根据第一阶段入围供应商及入围最高限价，结合采购需求、项目特征从第一阶段入围供应商中通过直接选定确定第二阶段成交供应商，签订第二阶段采购合同，</w:t>
            </w:r>
            <w:r>
              <w:rPr>
                <w:rFonts w:hint="eastAsia" w:asciiTheme="minorEastAsia" w:hAnsiTheme="minorEastAsia" w:eastAsiaTheme="minorEastAsia" w:cstheme="minorEastAsia"/>
                <w:color w:val="auto"/>
                <w:sz w:val="24"/>
                <w:szCs w:val="24"/>
                <w:lang w:val="zh-CN" w:eastAsia="zh-CN"/>
              </w:rPr>
              <w:t>并按第二阶段合同约定支付费用。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电子征集响应文件份数</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加密的电子征集响应文件1份。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签字盖章</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供应商必须按照征集文件的规定和要求签字、盖章或电子签章（法人代表的签字可用具有法定效力的签字章或电子章）。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电子征集响应文件提交方式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本项目采用网上电子投标方式，不接受投标供应商递交的纸质版标书。</w:t>
            </w:r>
          </w:p>
          <w:p>
            <w:pPr>
              <w:keepNext w:val="0"/>
              <w:keepLines w:val="0"/>
              <w:pageBreakBefore w:val="0"/>
              <w:widowControl w:val="0"/>
              <w:kinsoku/>
              <w:wordWrap w:val="0"/>
              <w:overflowPunct/>
              <w:topLinePunct w:val="0"/>
              <w:autoSpaceDE/>
              <w:autoSpaceDN/>
              <w:bidi w:val="0"/>
              <w:adjustRightInd/>
              <w:snapToGrid/>
              <w:spacing w:line="400" w:lineRule="exact"/>
              <w:ind w:right="0" w:righ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因天水市公共资源交易系统优化升级，系统升级为：（http://47.96.171.185/UserLogin.aspx），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采购文件咨询</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r>
              <w:rPr>
                <w:rFonts w:hint="eastAsia" w:asciiTheme="minorEastAsia" w:hAnsiTheme="minorEastAsia" w:eastAsiaTheme="minorEastAsia" w:cstheme="minorEastAsia"/>
                <w:color w:val="auto"/>
                <w:kern w:val="0"/>
                <w:sz w:val="24"/>
                <w:szCs w:val="24"/>
                <w:lang w:val="zh-CN"/>
              </w:rPr>
              <w:t xml:space="preserve">     联系电话：</w:t>
            </w:r>
            <w:r>
              <w:rPr>
                <w:rFonts w:hint="eastAsia" w:asciiTheme="minorEastAsia" w:hAnsiTheme="minorEastAsia" w:eastAsiaTheme="minorEastAsia" w:cstheme="minorEastAsia"/>
                <w:color w:val="auto"/>
                <w:sz w:val="24"/>
                <w:szCs w:val="24"/>
              </w:rPr>
              <w:t xml:space="preserve"> 0938-8330335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2023年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17</w:t>
            </w:r>
            <w:r>
              <w:rPr>
                <w:rFonts w:hint="eastAsia" w:asciiTheme="minorEastAsia" w:hAnsiTheme="minorEastAsia" w:eastAsiaTheme="minorEastAsia" w:cstheme="minorEastAsia"/>
                <w:color w:val="auto"/>
                <w:kern w:val="0"/>
                <w:sz w:val="24"/>
                <w:szCs w:val="24"/>
                <w:lang w:val="zh-CN"/>
              </w:rPr>
              <w:t>日</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lang w:val="zh-CN"/>
              </w:rPr>
              <w:t>时</w:t>
            </w:r>
            <w:r>
              <w:rPr>
                <w:rFonts w:hint="eastAsia" w:asciiTheme="minorEastAsia" w:hAnsiTheme="minorEastAsia" w:eastAsiaTheme="minorEastAsia" w:cstheme="minorEastAsia"/>
                <w:color w:val="auto"/>
                <w:kern w:val="0"/>
                <w:sz w:val="24"/>
                <w:szCs w:val="24"/>
                <w:lang w:val="en-US" w:eastAsia="zh-CN"/>
              </w:rPr>
              <w:t>00分</w:t>
            </w:r>
            <w:r>
              <w:rPr>
                <w:rFonts w:hint="eastAsia" w:asciiTheme="minorEastAsia" w:hAnsiTheme="minorEastAsia" w:eastAsiaTheme="minorEastAsia" w:cstheme="minorEastAsia"/>
                <w:color w:val="auto"/>
                <w:kern w:val="0"/>
                <w:sz w:val="24"/>
                <w:szCs w:val="24"/>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开标时间和地点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开标时间：同投标截止时间。</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开标地点：天水市公共资源交易中心第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评标情况公告</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评标结果将在甘肃省政府采购网上和天水市公共资源交易中心网上采购结果公告栏中予以公告。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中标通知书领取</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中标公告在甘肃省政府采购网和天水市公共资源中心网站公示后，请中标供应商</w:t>
            </w:r>
            <w:r>
              <w:rPr>
                <w:rFonts w:hint="eastAsia" w:asciiTheme="minorEastAsia" w:hAnsiTheme="minorEastAsia" w:eastAsiaTheme="minorEastAsia" w:cstheme="minorEastAsia"/>
                <w:color w:val="auto"/>
                <w:kern w:val="0"/>
                <w:sz w:val="24"/>
                <w:szCs w:val="24"/>
                <w:lang w:val="zh-CN"/>
              </w:rPr>
              <w:t>天水市公共资源中心</w:t>
            </w:r>
            <w:r>
              <w:rPr>
                <w:rFonts w:hint="eastAsia" w:asciiTheme="minorEastAsia" w:hAnsiTheme="minorEastAsia" w:eastAsiaTheme="minorEastAsia" w:cstheme="minorEastAsia"/>
                <w:color w:val="auto"/>
                <w:kern w:val="0"/>
                <w:sz w:val="24"/>
                <w:szCs w:val="24"/>
              </w:rPr>
              <w:t>领取中标通知书。</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联系电话：</w:t>
            </w:r>
            <w:r>
              <w:rPr>
                <w:rFonts w:hint="eastAsia" w:asciiTheme="minorEastAsia" w:hAnsiTheme="minorEastAsia" w:eastAsiaTheme="minorEastAsia" w:cstheme="minorEastAsia"/>
                <w:color w:val="auto"/>
                <w:kern w:val="0"/>
                <w:sz w:val="24"/>
                <w:szCs w:val="24"/>
              </w:rPr>
              <w:t>0938-8330335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val="zh-CN"/>
              </w:rPr>
              <w:t>地址： 天水市秦州区建设路185号。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供应商投诉</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投诉受理单位：即</w:t>
            </w:r>
            <w:r>
              <w:rPr>
                <w:rFonts w:hint="eastAsia" w:asciiTheme="minorEastAsia" w:hAnsiTheme="minorEastAsia" w:eastAsiaTheme="minorEastAsia" w:cstheme="minorEastAsia"/>
                <w:color w:val="auto"/>
                <w:kern w:val="0"/>
                <w:sz w:val="24"/>
                <w:szCs w:val="24"/>
                <w:lang w:eastAsia="zh-CN"/>
              </w:rPr>
              <w:t>天水市财政局</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采购人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全市政机关、事业单位、团体组织。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履行范围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天水市范围内。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入围产品升级换代规则</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供应商入围后，征集人不接受入围产品升级换代</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公告备案</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签订之日起2个工作日内，政府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将在甘肃省政府采购网公示；政府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个工作日内</w:t>
            </w:r>
            <w:r>
              <w:rPr>
                <w:rFonts w:hint="eastAsia" w:asciiTheme="minorEastAsia" w:hAnsiTheme="minorEastAsia" w:eastAsiaTheme="minorEastAsia" w:cstheme="minorEastAsia"/>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相同品牌的处理方式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采用最低评标价法的采购项目，提供相同品牌产品的不同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规定的方式确定一个参加评标的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未规定的采取随机抽取方式确定，其他投标无效。</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使用综合评分法的采购项目，提供相同品牌产品且通过资格审查、符合性审查的不同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不作为中标候选人。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提供的核心产品品牌相同的，按前两款规定处理。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投标供应商利害关系处理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两家以上的供应商不得在同一合同项下的采购项目中，同时委托同一个自然人、同一家庭的人员、同一单位的人员作为其代理人，否则，其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其他注意事项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red"/>
                <w:lang w:eastAsia="zh-CN"/>
              </w:rPr>
            </w:pPr>
            <w:r>
              <w:rPr>
                <w:rFonts w:hint="eastAsia" w:asciiTheme="minorEastAsia" w:hAnsiTheme="minorEastAsia" w:eastAsiaTheme="minorEastAsia" w:cstheme="minorEastAsia"/>
                <w:color w:val="auto"/>
                <w:sz w:val="24"/>
                <w:szCs w:val="24"/>
              </w:rPr>
              <w:t>按照《中华人民共和国政府采购法实施条例》第七十四条规定，有下列情形之一的，属于恶意串通，对供应商依照政府采购法第七十七条第一款的规定追究法律 责任，对采购人、</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及其工作人员依照政府采购法第七十二条的规定 追究法律责任：（一）供应商直接或者间接从采购人或者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处获得其他供应商的相关 情况并修改其投标文件或者响应文件；（二）供应商按照采购人或者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的授意撤换、修改投标文件或者响应 文件；（三）供应商之间协商报价、技术方案等投标文件或者响应文件的实质性内容；（四）属于同一集团、协会、商会等组织成员的供应商按照该组织要求协同参加 政府采购活动；（五）供应商之间事先约定由某一特定供应商中标、成交；（六）供应商之间商定部分供应商放弃参加政府采购活动或者放弃中标、成交； 供应商与采购人或者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之间、供应商相互之间，为谋求特定供应商中 标、成交或者排斥其他供应商的其他串通行为。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勘查</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本项目不组织勘查现场。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4"/>
                <w:szCs w:val="24"/>
                <w:lang w:val="en-US" w:eastAsia="zh-CN" w:bidi="ar-SA"/>
              </w:rPr>
            </w:pPr>
            <w:bookmarkStart w:id="16" w:name="_Toc30731"/>
            <w:bookmarkStart w:id="17" w:name="_Toc24859"/>
            <w:r>
              <w:rPr>
                <w:rFonts w:hint="eastAsia" w:asciiTheme="minorEastAsia" w:hAnsiTheme="minorEastAsia" w:eastAsiaTheme="minorEastAsia" w:cstheme="minorEastAsia"/>
                <w:color w:val="auto"/>
                <w:sz w:val="24"/>
                <w:szCs w:val="24"/>
                <w:lang w:val="en-US" w:eastAsia="zh-CN"/>
              </w:rPr>
              <w:t>29</w:t>
            </w:r>
          </w:p>
        </w:tc>
        <w:tc>
          <w:tcPr>
            <w:tcW w:w="1537"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线上数字证书办理</w:t>
            </w:r>
          </w:p>
        </w:tc>
        <w:tc>
          <w:tcPr>
            <w:tcW w:w="7668" w:type="dxa"/>
            <w:tcBorders>
              <w:tl2br w:val="nil"/>
              <w:tr2bl w:val="nil"/>
            </w:tcBorders>
            <w:vAlign w:val="center"/>
          </w:tcPr>
          <w:p>
            <w:pPr>
              <w:spacing w:line="40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投标单位</w:t>
            </w:r>
            <w:r>
              <w:rPr>
                <w:rFonts w:hint="eastAsia" w:asciiTheme="minorEastAsia" w:hAnsiTheme="minorEastAsia" w:eastAsiaTheme="minorEastAsia" w:cstheme="minorEastAsia"/>
                <w:color w:val="auto"/>
                <w:sz w:val="24"/>
              </w:rPr>
              <w:t>无法到达现场进行办理的，可以申请线上办理，具体联系如下：</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成兴CA证书：陆  超  18193893603   </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法正CA证书：李敏玲  18093862231</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中工CA证书：金  珠  18394248602</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文锐CA证书：武小兰  18993852885</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（四家运营单位的CA证书互联互通，办理其中一家即可。已拥有CA证书的投标企业，请留意CA证书的运行期限是否到期，若到期后请联系所办CA证书的运营单位。）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537"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rPr>
              <w:t>投标供应商电脑运营环境</w:t>
            </w:r>
          </w:p>
        </w:tc>
        <w:tc>
          <w:tcPr>
            <w:tcW w:w="7668" w:type="dxa"/>
            <w:tcBorders>
              <w:tl2br w:val="nil"/>
              <w:tr2bl w:val="nil"/>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请在电脑上安装windows10系统，并使用IE11浏览器。电脑要求内存4G及以上，且需配套麦克风、音箱等，并确保其均能正常运转。添加兼容性视图、可信任站点设置。</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rPr>
              <w:t>甘肃中工国际售后服务人员电话：18394218602</w:t>
            </w:r>
          </w:p>
        </w:tc>
      </w:tr>
    </w:tbl>
    <w:p>
      <w:pPr>
        <w:rPr>
          <w:rFonts w:hint="eastAsia" w:asciiTheme="minorEastAsia" w:hAnsiTheme="minorEastAsia" w:eastAsiaTheme="minorEastAsia" w:cstheme="minorEastAsia"/>
          <w:color w:val="auto"/>
        </w:rPr>
      </w:pPr>
    </w:p>
    <w:bookmarkEnd w:id="16"/>
    <w:bookmarkEnd w:id="17"/>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314" w:beforeLines="100" w:after="314" w:afterLines="100" w:line="700" w:lineRule="exact"/>
        <w:ind w:leftChars="0"/>
        <w:jc w:val="center"/>
        <w:textAlignment w:val="baseline"/>
        <w:outlineLvl w:val="0"/>
        <w:rPr>
          <w:rFonts w:hint="eastAsia" w:asciiTheme="minorEastAsia" w:hAnsiTheme="minorEastAsia" w:eastAsiaTheme="minorEastAsia" w:cstheme="minorEastAsia"/>
          <w:b/>
          <w:bCs/>
          <w:color w:val="auto"/>
          <w:sz w:val="44"/>
          <w:szCs w:val="44"/>
        </w:rPr>
      </w:pPr>
      <w:bookmarkStart w:id="18" w:name="_Toc11373"/>
      <w:bookmarkStart w:id="19" w:name="_Toc183682342"/>
      <w:bookmarkStart w:id="20" w:name="_Toc183582205"/>
      <w:bookmarkStart w:id="21" w:name="_Toc8667"/>
      <w:bookmarkStart w:id="22" w:name="_Toc217446034"/>
      <w:bookmarkStart w:id="23" w:name="_Toc11143"/>
      <w:r>
        <w:rPr>
          <w:rFonts w:hint="eastAsia" w:asciiTheme="minorEastAsia" w:hAnsiTheme="minorEastAsia" w:eastAsiaTheme="minorEastAsia" w:cstheme="minorEastAsia"/>
          <w:b/>
          <w:bCs/>
          <w:color w:val="auto"/>
          <w:sz w:val="44"/>
          <w:szCs w:val="44"/>
          <w:lang w:val="en-US" w:eastAsia="zh-CN"/>
        </w:rPr>
        <w:t>第三部分 总  则</w:t>
      </w:r>
      <w:bookmarkEnd w:id="18"/>
    </w:p>
    <w:bookmarkEnd w:id="19"/>
    <w:bookmarkEnd w:id="20"/>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4" w:name="_Toc32072"/>
      <w:bookmarkStart w:id="25" w:name="_Toc15986"/>
      <w:r>
        <w:rPr>
          <w:rFonts w:hint="eastAsia" w:asciiTheme="minorEastAsia" w:hAnsiTheme="minorEastAsia" w:eastAsiaTheme="minorEastAsia" w:cstheme="minorEastAsia"/>
          <w:b w:val="0"/>
          <w:bCs/>
          <w:color w:val="auto"/>
          <w:sz w:val="24"/>
          <w:szCs w:val="24"/>
          <w:lang w:val="en-US" w:eastAsia="zh-CN"/>
        </w:rPr>
        <w:t>一、</w:t>
      </w:r>
      <w:r>
        <w:rPr>
          <w:rFonts w:hint="eastAsia" w:asciiTheme="minorEastAsia" w:hAnsiTheme="minorEastAsia" w:eastAsiaTheme="minorEastAsia" w:cstheme="minorEastAsia"/>
          <w:b w:val="0"/>
          <w:bCs/>
          <w:color w:val="auto"/>
          <w:sz w:val="24"/>
          <w:szCs w:val="24"/>
        </w:rPr>
        <w:t>适用范围</w:t>
      </w:r>
      <w:bookmarkEnd w:id="21"/>
      <w:bookmarkEnd w:id="22"/>
      <w:bookmarkEnd w:id="23"/>
      <w:bookmarkEnd w:id="24"/>
      <w:bookmarkEnd w:id="25"/>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仅适用于天水市行政事业单位2023-2024年度公务用车框架协议采购项目。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6" w:name="_Toc8609"/>
      <w:bookmarkStart w:id="27" w:name="_Toc2850"/>
      <w:bookmarkStart w:id="28" w:name="_Toc14681"/>
      <w:bookmarkStart w:id="29" w:name="_Toc2667"/>
      <w:bookmarkStart w:id="30" w:name="_Toc217446035"/>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有关定义</w:t>
      </w:r>
      <w:bookmarkEnd w:id="26"/>
      <w:bookmarkEnd w:id="27"/>
      <w:bookmarkEnd w:id="28"/>
      <w:bookmarkEnd w:id="29"/>
      <w:bookmarkEnd w:id="30"/>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”指依法进行政府采购的国家机关、事业单位、团体组织。本次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人是</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“集采机构”指根据</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人的委托依法办理</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事宜的采购机构。本次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的集采机构是天水市公共资源交易中心。</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采购单位”指“</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人”和“集采机构”的统称。</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”是指下载了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拟参加</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，以</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为目的响应</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参与竞争的法人或其他组织,并向集采机构提交电子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的供应商。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“征集文件”是指由征集人发出的征集文本、文件，包括全部章节和附件及其他</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“征集响应文件”是指供应商根据本征集文件向征集人提交的全部文件。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“框架协议档案”是指包括采购活动记录、采购预算、征集文件、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、评标标准、评标报告、定标文件、合同文本、验收证明、质疑答复、投诉处理决定及其他有关文件、资料。</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货物</w:t>
      </w:r>
      <w:r>
        <w:rPr>
          <w:rFonts w:hint="eastAsia" w:asciiTheme="minorEastAsia" w:hAnsiTheme="minorEastAsia" w:eastAsiaTheme="minorEastAsia" w:cstheme="minorEastAsia"/>
          <w:color w:val="auto"/>
          <w:sz w:val="24"/>
          <w:szCs w:val="24"/>
        </w:rPr>
        <w:t>”是指供应商中标后根据征集文件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w:t>
      </w:r>
      <w:r>
        <w:rPr>
          <w:rFonts w:hint="eastAsia" w:asciiTheme="minorEastAsia" w:hAnsiTheme="minorEastAsia" w:eastAsiaTheme="minorEastAsia" w:cstheme="minorEastAsia"/>
          <w:color w:val="auto"/>
          <w:sz w:val="24"/>
          <w:szCs w:val="24"/>
          <w:lang w:val="en-US" w:eastAsia="zh-CN"/>
        </w:rPr>
        <w:t>提供的货物</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和合同的规定承担的服务，包括</w:t>
      </w:r>
      <w:r>
        <w:rPr>
          <w:rFonts w:hint="eastAsia" w:asciiTheme="minorEastAsia" w:hAnsiTheme="minorEastAsia" w:eastAsiaTheme="minorEastAsia" w:cstheme="minorEastAsia"/>
          <w:color w:val="auto"/>
          <w:sz w:val="24"/>
          <w:szCs w:val="24"/>
          <w:lang w:val="en-US" w:eastAsia="zh-CN"/>
        </w:rPr>
        <w:t>产品伴随</w:t>
      </w:r>
      <w:r>
        <w:rPr>
          <w:rFonts w:hint="eastAsia" w:asciiTheme="minorEastAsia" w:hAnsiTheme="minorEastAsia" w:eastAsiaTheme="minorEastAsia" w:cstheme="minorEastAsia"/>
          <w:color w:val="auto"/>
          <w:sz w:val="24"/>
          <w:szCs w:val="24"/>
        </w:rPr>
        <w:t>服务和其它应承担的义务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“书面形式”是指任何手写、打印或印刷的各种函件，不包括电传、电报、传真、电子邮件。相关补充材料和相关变更内容。</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31" w:name="_Toc17172"/>
      <w:bookmarkStart w:id="32" w:name="_Toc9772"/>
      <w:r>
        <w:rPr>
          <w:rFonts w:hint="eastAsia" w:asciiTheme="minorEastAsia" w:hAnsiTheme="minorEastAsia" w:eastAsiaTheme="minorEastAsia" w:cstheme="minorEastAsia"/>
          <w:b w:val="0"/>
          <w:bCs w:val="0"/>
          <w:color w:val="auto"/>
          <w:sz w:val="24"/>
          <w:szCs w:val="24"/>
          <w:lang w:val="en-US" w:eastAsia="zh-CN"/>
        </w:rPr>
        <w:t>三、征集文件</w:t>
      </w:r>
      <w:bookmarkEnd w:id="31"/>
      <w:bookmarkEnd w:id="32"/>
      <w:r>
        <w:rPr>
          <w:rFonts w:hint="eastAsia" w:asciiTheme="minorEastAsia" w:hAnsiTheme="minorEastAsia" w:eastAsiaTheme="minorEastAsia" w:cstheme="minorEastAsia"/>
          <w:b w:val="0"/>
          <w:bCs w:val="0"/>
          <w:color w:val="auto"/>
          <w:sz w:val="24"/>
          <w:szCs w:val="24"/>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综合说明</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rPr>
        <w:t>本项目按照《中华人民共和国政府采购法》、《政府采购框架协议采购方式管理暂行办法》及相关法规，已办理行业主管部门</w:t>
      </w:r>
      <w:r>
        <w:rPr>
          <w:rFonts w:hint="eastAsia" w:asciiTheme="minorEastAsia" w:hAnsiTheme="minorEastAsia" w:eastAsiaTheme="minorEastAsia" w:cstheme="minorEastAsia"/>
          <w:color w:val="auto"/>
          <w:sz w:val="24"/>
          <w:szCs w:val="24"/>
          <w:lang w:val="en-US" w:eastAsia="zh-CN"/>
        </w:rPr>
        <w:t>采购计划备案</w:t>
      </w:r>
      <w:r>
        <w:rPr>
          <w:rFonts w:hint="eastAsia" w:asciiTheme="minorEastAsia" w:hAnsiTheme="minorEastAsia" w:eastAsiaTheme="minorEastAsia" w:cstheme="minorEastAsia"/>
          <w:color w:val="auto"/>
          <w:sz w:val="24"/>
          <w:szCs w:val="24"/>
        </w:rPr>
        <w:t>，现通过</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来择优选定</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供货商。本征集文件包括本文所列内容及按本须知发出的全部和补充资料。</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应认真阅读和充分理解本征集文件中所有的事项、格式、条款、技术规范等实质性的条件和要求。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被视为充分熟悉本招标项目的全部内容及与履行合同有 关的全部内容，熟悉征集文件的格式、条件和范围。</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没有按照征集文件的要求提交相关资料，或者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没有对征集文件相关内容都做出实质性响应是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的风险，并可能导致其投标无效,其风险自行承担。</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征集公告时间</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按照《政府采购信息公告管理办法》中华人民共和国财政部令第19 号第三章第十八条在各政府采购信息指定发布媒体上公告同一政府采购信息的时间不一致的，以在财政部指定的政府采购信息发布媒体上最早公告信息的时间为公告时间和政府采购当事人对有关事项应当知道的时间</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构成</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征集文件用以阐明</w:t>
      </w:r>
      <w:r>
        <w:rPr>
          <w:rFonts w:hint="eastAsia" w:asciiTheme="minorEastAsia" w:hAnsiTheme="minorEastAsia" w:eastAsiaTheme="minorEastAsia" w:cstheme="minorEastAsia"/>
          <w:bCs/>
          <w:color w:val="auto"/>
          <w:sz w:val="24"/>
          <w:szCs w:val="24"/>
          <w:lang w:val="en-US" w:eastAsia="zh-CN"/>
        </w:rPr>
        <w:t>本</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lang w:val="en-US" w:eastAsia="zh-CN"/>
        </w:rPr>
        <w:t>采购</w:t>
      </w:r>
      <w:r>
        <w:rPr>
          <w:rFonts w:hint="eastAsia" w:asciiTheme="minorEastAsia" w:hAnsiTheme="minorEastAsia" w:eastAsiaTheme="minorEastAsia" w:cstheme="minorEastAsia"/>
          <w:bCs/>
          <w:color w:val="auto"/>
          <w:sz w:val="24"/>
          <w:szCs w:val="24"/>
        </w:rPr>
        <w:t>项目所需的资质、</w:t>
      </w:r>
      <w:r>
        <w:rPr>
          <w:rFonts w:hint="eastAsia" w:asciiTheme="minorEastAsia" w:hAnsiTheme="minorEastAsia" w:eastAsiaTheme="minorEastAsia" w:cstheme="minorEastAsia"/>
          <w:bCs/>
          <w:color w:val="auto"/>
          <w:sz w:val="24"/>
          <w:szCs w:val="24"/>
          <w:lang w:val="en-US" w:eastAsia="zh-CN"/>
        </w:rPr>
        <w:t>产品、</w:t>
      </w:r>
      <w:r>
        <w:rPr>
          <w:rFonts w:hint="eastAsia" w:asciiTheme="minorEastAsia" w:hAnsiTheme="minorEastAsia" w:eastAsiaTheme="minorEastAsia" w:cstheme="minorEastAsia"/>
          <w:bCs/>
          <w:color w:val="auto"/>
          <w:sz w:val="24"/>
          <w:szCs w:val="24"/>
        </w:rPr>
        <w:t>技术、服务及报价等要求、</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投标程序、有关规定和注意事项以及合同主要条款等。本征集文件包括以下内容：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（1）征集公告</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（2）供应商须知表</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（3）总则</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（4）征集内容</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（5）评标办法</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（6）框架协议合同范本</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（7）征集响应文件格式</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（8）需要落实的政府采购政策文件</w:t>
      </w:r>
      <w:r>
        <w:rPr>
          <w:rFonts w:hint="eastAsia" w:asciiTheme="minorEastAsia" w:hAnsiTheme="minorEastAsia" w:eastAsiaTheme="minorEastAsia" w:cstheme="minorEastAsia"/>
          <w:bCs/>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bookmarkStart w:id="33" w:name="_Toc11730"/>
      <w:bookmarkStart w:id="34" w:name="_Toc2928"/>
      <w:bookmarkStart w:id="35" w:name="_Toc1038"/>
      <w:r>
        <w:rPr>
          <w:rFonts w:hint="eastAsia" w:asciiTheme="minorEastAsia" w:hAnsiTheme="minorEastAsia" w:eastAsiaTheme="minorEastAsia" w:cstheme="minorEastAsia"/>
          <w:b/>
          <w:bCs/>
          <w:color w:val="auto"/>
          <w:sz w:val="24"/>
          <w:szCs w:val="24"/>
        </w:rPr>
        <w:t>项目概况及</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资格要求</w:t>
      </w:r>
      <w:bookmarkEnd w:id="33"/>
      <w:bookmarkEnd w:id="34"/>
      <w:bookmarkEnd w:id="35"/>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项目</w:t>
      </w:r>
      <w:r>
        <w:rPr>
          <w:rFonts w:hint="eastAsia" w:asciiTheme="minorEastAsia" w:hAnsiTheme="minorEastAsia" w:eastAsiaTheme="minorEastAsia" w:cstheme="minorEastAsia"/>
          <w:b w:val="0"/>
          <w:bCs/>
          <w:color w:val="auto"/>
          <w:sz w:val="24"/>
          <w:szCs w:val="24"/>
          <w:lang w:val="en-US" w:eastAsia="zh-CN"/>
        </w:rPr>
        <w:t>概况</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详见征集文件第四部分采购需求。</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征集文件的</w:t>
      </w:r>
      <w:r>
        <w:rPr>
          <w:rFonts w:hint="eastAsia" w:asciiTheme="minorEastAsia" w:hAnsiTheme="minorEastAsia" w:eastAsiaTheme="minorEastAsia" w:cstheme="minorEastAsia"/>
          <w:b/>
          <w:bCs/>
          <w:color w:val="auto"/>
          <w:sz w:val="24"/>
          <w:szCs w:val="24"/>
          <w:lang w:val="en-US" w:eastAsia="zh-CN"/>
        </w:rPr>
        <w:t>澄清</w:t>
      </w:r>
      <w:r>
        <w:rPr>
          <w:rFonts w:hint="eastAsia" w:asciiTheme="minorEastAsia" w:hAnsiTheme="minorEastAsia" w:eastAsiaTheme="minorEastAsia" w:cstheme="minorEastAsia"/>
          <w:b/>
          <w:bCs/>
          <w:color w:val="auto"/>
          <w:sz w:val="24"/>
          <w:szCs w:val="24"/>
        </w:rPr>
        <w:t>与修改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投标截止日期</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天前，无论出于何种原因，</w:t>
      </w: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可</w:t>
      </w:r>
      <w:r>
        <w:rPr>
          <w:rFonts w:hint="eastAsia" w:asciiTheme="minorEastAsia" w:hAnsiTheme="minorEastAsia" w:eastAsiaTheme="minorEastAsia" w:cstheme="minorEastAsia"/>
          <w:color w:val="auto"/>
          <w:sz w:val="24"/>
          <w:szCs w:val="24"/>
          <w:lang w:val="en-US" w:eastAsia="zh-CN"/>
        </w:rPr>
        <w:t>以</w:t>
      </w:r>
      <w:r>
        <w:rPr>
          <w:rFonts w:hint="eastAsia" w:asciiTheme="minorEastAsia" w:hAnsiTheme="minorEastAsia" w:eastAsiaTheme="minorEastAsia" w:cstheme="minorEastAsia"/>
          <w:color w:val="auto"/>
          <w:sz w:val="24"/>
          <w:szCs w:val="24"/>
        </w:rPr>
        <w:t>主动或在解答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提出的问题时对征集文件进行修改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Cs/>
          <w:color w:val="auto"/>
          <w:sz w:val="24"/>
          <w:szCs w:val="24"/>
        </w:rPr>
        <w:t>澄清或者修改的内容为</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的组成部分。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bCs/>
          <w:color w:val="auto"/>
          <w:sz w:val="24"/>
          <w:szCs w:val="24"/>
          <w:lang w:val="en-US" w:eastAsia="zh-CN"/>
        </w:rPr>
        <w:t>可以</w:t>
      </w:r>
      <w:r>
        <w:rPr>
          <w:rFonts w:hint="eastAsia" w:asciiTheme="minorEastAsia" w:hAnsiTheme="minorEastAsia" w:eastAsiaTheme="minorEastAsia" w:cstheme="minorEastAsia"/>
          <w:color w:val="auto"/>
          <w:sz w:val="24"/>
          <w:szCs w:val="24"/>
        </w:rPr>
        <w:t>对已发出的征集文件进行澄清或者修改，</w:t>
      </w:r>
      <w:r>
        <w:rPr>
          <w:rFonts w:hint="eastAsia" w:asciiTheme="minorEastAsia" w:hAnsiTheme="minorEastAsia" w:eastAsiaTheme="minorEastAsia" w:cstheme="minorEastAsia"/>
          <w:bCs/>
          <w:color w:val="auto"/>
          <w:sz w:val="24"/>
          <w:szCs w:val="24"/>
        </w:rPr>
        <w:t>澄清或者修改的内容可能影响</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编制的，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将在征集文件要求的提交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截止时间15</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日前进行，并以书面形式将澄清或者修改的内容通知所有购买了征集文件的供应商；不足15日的，</w:t>
      </w:r>
      <w:r>
        <w:rPr>
          <w:rFonts w:hint="eastAsia" w:asciiTheme="minorEastAsia" w:hAnsiTheme="minorEastAsia" w:eastAsiaTheme="minorEastAsia" w:cstheme="minorEastAsia"/>
          <w:color w:val="auto"/>
          <w:sz w:val="24"/>
          <w:szCs w:val="24"/>
          <w:lang w:eastAsia="zh-CN"/>
        </w:rPr>
        <w:t>框架协议采购单位</w:t>
      </w:r>
      <w:r>
        <w:rPr>
          <w:rFonts w:hint="eastAsia" w:asciiTheme="minorEastAsia" w:hAnsiTheme="minorEastAsia" w:eastAsiaTheme="minorEastAsia" w:cstheme="minorEastAsia"/>
          <w:color w:val="auto"/>
          <w:sz w:val="24"/>
          <w:szCs w:val="24"/>
        </w:rPr>
        <w:t>应当顺延提交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的截止时间，</w:t>
      </w:r>
      <w:r>
        <w:rPr>
          <w:rFonts w:hint="eastAsia" w:asciiTheme="minorEastAsia" w:hAnsiTheme="minorEastAsia" w:eastAsiaTheme="minorEastAsia" w:cstheme="minorEastAsia"/>
          <w:bCs/>
          <w:color w:val="auto"/>
          <w:sz w:val="24"/>
          <w:szCs w:val="24"/>
        </w:rPr>
        <w:t>同时</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在天水市公共资源交易中心网站和甘肃政府采购网发布更正公告。</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w:t>
      </w:r>
      <w:r>
        <w:rPr>
          <w:rFonts w:hint="eastAsia" w:asciiTheme="minorEastAsia" w:hAnsiTheme="minorEastAsia" w:eastAsiaTheme="minorEastAsia" w:cstheme="minorEastAsia"/>
          <w:bCs/>
          <w:color w:val="auto"/>
          <w:sz w:val="24"/>
          <w:szCs w:val="24"/>
        </w:rPr>
        <w:t>以信函、传真、电子邮件形式</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回函确认。未确认情况应当视为对征集文件修改的知晓，也将视为对修改内容接受的默认。对于未在</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z w:val="24"/>
          <w:szCs w:val="24"/>
        </w:rPr>
        <w:t xml:space="preserve">件中对修改内容做实质性响应的，对其产生的不利因素由未确认者自行承担。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任何要求对</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进行澄清的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，均应以书面形式通知集采机构，集采机构对按要求递交的任何澄清将以书面或网上公告的形式通知所有下载</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，并对其具有约束力。</w:t>
      </w:r>
      <w:r>
        <w:rPr>
          <w:rFonts w:hint="eastAsia" w:asciiTheme="minorEastAsia" w:hAnsiTheme="minorEastAsia" w:eastAsiaTheme="minorEastAsia" w:cstheme="minorEastAsia"/>
          <w:b w:val="0"/>
          <w:bCs/>
          <w:color w:val="auto"/>
          <w:sz w:val="24"/>
          <w:szCs w:val="24"/>
        </w:rPr>
        <w:t>如果</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lang w:val="en-US" w:eastAsia="zh-CN"/>
        </w:rPr>
        <w:t>或澄清、修改文件</w:t>
      </w:r>
      <w:r>
        <w:rPr>
          <w:rFonts w:hint="eastAsia" w:asciiTheme="minorEastAsia" w:hAnsiTheme="minorEastAsia" w:eastAsiaTheme="minorEastAsia" w:cstheme="minorEastAsia"/>
          <w:b w:val="0"/>
          <w:bCs/>
          <w:color w:val="auto"/>
          <w:sz w:val="24"/>
          <w:szCs w:val="24"/>
        </w:rPr>
        <w:t>要求提供全部资料或提交的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没有对</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做出实质性响应，那么</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将承担其风险，并导致投标资格将被取消。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color w:val="auto"/>
          <w:sz w:val="24"/>
          <w:szCs w:val="24"/>
          <w:lang w:val="en-US" w:eastAsia="zh-CN"/>
        </w:rPr>
      </w:pPr>
      <w:bookmarkStart w:id="36" w:name="_Toc23692"/>
      <w:r>
        <w:rPr>
          <w:rFonts w:hint="eastAsia" w:asciiTheme="minorEastAsia" w:hAnsiTheme="minorEastAsia" w:eastAsiaTheme="minorEastAsia" w:cstheme="minorEastAsia"/>
          <w:b/>
          <w:color w:val="auto"/>
          <w:sz w:val="24"/>
          <w:szCs w:val="24"/>
          <w:lang w:val="en-US" w:eastAsia="zh-CN"/>
        </w:rPr>
        <w:t>（七）现场勘查</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详见征集文件第二部分投标须知。</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1"/>
        <w:rPr>
          <w:rFonts w:hint="eastAsia" w:asciiTheme="minorEastAsia" w:hAnsiTheme="minorEastAsia" w:eastAsiaTheme="minorEastAsia" w:cstheme="minorEastAsia"/>
          <w:b/>
          <w:bCs/>
          <w:color w:val="auto"/>
          <w:sz w:val="24"/>
          <w:szCs w:val="24"/>
          <w:lang w:val="en-US"/>
        </w:rPr>
      </w:pPr>
      <w:bookmarkStart w:id="37" w:name="_Toc3125"/>
      <w:bookmarkStart w:id="38" w:name="_Toc6985"/>
      <w:r>
        <w:rPr>
          <w:rFonts w:hint="eastAsia" w:asciiTheme="minorEastAsia" w:hAnsiTheme="minorEastAsia" w:eastAsiaTheme="minorEastAsia" w:cstheme="minorEastAsia"/>
          <w:b/>
          <w:bCs/>
          <w:color w:val="auto"/>
          <w:sz w:val="24"/>
          <w:szCs w:val="24"/>
          <w:lang w:val="en-US" w:eastAsia="zh-CN"/>
        </w:rPr>
        <w:t>四、征集响应</w:t>
      </w:r>
      <w:bookmarkEnd w:id="36"/>
      <w:r>
        <w:rPr>
          <w:rFonts w:hint="eastAsia" w:asciiTheme="minorEastAsia" w:hAnsiTheme="minorEastAsia" w:eastAsiaTheme="minorEastAsia" w:cstheme="minorEastAsia"/>
          <w:b/>
          <w:bCs/>
          <w:color w:val="auto"/>
          <w:sz w:val="24"/>
          <w:szCs w:val="24"/>
          <w:lang w:val="en-US" w:eastAsia="zh-CN"/>
        </w:rPr>
        <w:t>文件</w:t>
      </w:r>
      <w:bookmarkEnd w:id="37"/>
      <w:bookmarkEnd w:id="38"/>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color w:val="auto"/>
          <w:sz w:val="24"/>
          <w:szCs w:val="24"/>
          <w:lang w:val="en-US" w:eastAsia="zh-CN"/>
        </w:rPr>
      </w:pPr>
      <w:bookmarkStart w:id="39" w:name="_Toc14733"/>
      <w:bookmarkStart w:id="40" w:name="_Toc12036"/>
      <w:bookmarkStart w:id="41" w:name="_Toc943"/>
      <w:bookmarkStart w:id="42" w:name="_Toc183582215"/>
      <w:bookmarkStart w:id="43" w:name="_Toc183682352"/>
      <w:bookmarkStart w:id="44" w:name="_Toc217446043"/>
      <w:bookmarkStart w:id="45" w:name="_Toc31087"/>
      <w:bookmarkStart w:id="46" w:name="_Toc26661"/>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综合</w:t>
      </w:r>
      <w:bookmarkEnd w:id="39"/>
      <w:bookmarkEnd w:id="40"/>
      <w:bookmarkEnd w:id="41"/>
      <w:r>
        <w:rPr>
          <w:rFonts w:hint="eastAsia" w:asciiTheme="minorEastAsia" w:hAnsiTheme="minorEastAsia" w:eastAsiaTheme="minorEastAsia" w:cstheme="minorEastAsia"/>
          <w:color w:val="auto"/>
          <w:sz w:val="24"/>
          <w:szCs w:val="24"/>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只能报一个方案进行</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highlight w:val="none"/>
          <w:lang w:val="en-US" w:eastAsia="zh-CN"/>
        </w:rPr>
        <w:t>所投产品</w:t>
      </w:r>
      <w:r>
        <w:rPr>
          <w:rFonts w:hint="eastAsia" w:asciiTheme="minorEastAsia" w:hAnsiTheme="minorEastAsia" w:eastAsiaTheme="minorEastAsia" w:cstheme="minorEastAsia"/>
          <w:color w:val="auto"/>
          <w:sz w:val="24"/>
          <w:szCs w:val="24"/>
          <w:highlight w:val="none"/>
        </w:rPr>
        <w:t>技</w:t>
      </w:r>
      <w:r>
        <w:rPr>
          <w:rFonts w:hint="eastAsia" w:asciiTheme="minorEastAsia" w:hAnsiTheme="minorEastAsia" w:eastAsiaTheme="minorEastAsia" w:cstheme="minorEastAsia"/>
          <w:color w:val="auto"/>
          <w:sz w:val="24"/>
          <w:szCs w:val="24"/>
        </w:rPr>
        <w:t>术性能</w:t>
      </w:r>
      <w:r>
        <w:rPr>
          <w:rFonts w:hint="eastAsia" w:asciiTheme="minorEastAsia" w:hAnsiTheme="minorEastAsia" w:eastAsiaTheme="minorEastAsia" w:cstheme="minorEastAsia"/>
          <w:color w:val="auto"/>
          <w:sz w:val="24"/>
          <w:szCs w:val="24"/>
          <w:lang w:val="en-US" w:eastAsia="zh-CN"/>
        </w:rPr>
        <w:t>或伴随服务</w:t>
      </w:r>
      <w:r>
        <w:rPr>
          <w:rFonts w:hint="eastAsia" w:asciiTheme="minorEastAsia" w:hAnsiTheme="minorEastAsia" w:eastAsiaTheme="minorEastAsia" w:cstheme="minorEastAsia"/>
          <w:color w:val="auto"/>
          <w:sz w:val="24"/>
          <w:szCs w:val="24"/>
        </w:rPr>
        <w:t>的描述因欠缺或漏报而影响对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响应文件的评比，不利后果由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自行承担；</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项目中所提供的</w:t>
      </w:r>
      <w:r>
        <w:rPr>
          <w:rFonts w:hint="eastAsia" w:asciiTheme="minorEastAsia" w:hAnsiTheme="minorEastAsia" w:eastAsiaTheme="minorEastAsia" w:cstheme="minorEastAsia"/>
          <w:color w:val="auto"/>
          <w:sz w:val="24"/>
          <w:szCs w:val="24"/>
          <w:lang w:val="en-US" w:eastAsia="zh-CN"/>
        </w:rPr>
        <w:t>产品及伴随服务</w:t>
      </w:r>
      <w:r>
        <w:rPr>
          <w:rFonts w:hint="eastAsia" w:asciiTheme="minorEastAsia" w:hAnsiTheme="minorEastAsia" w:eastAsiaTheme="minorEastAsia" w:cstheme="minorEastAsia"/>
          <w:color w:val="auto"/>
          <w:sz w:val="24"/>
          <w:szCs w:val="24"/>
        </w:rPr>
        <w:t>必须满足征集文件中的技术参数要求，否则视为无效投标；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采购单位发现具有《政府采购法》第七十七条中第一至五项情形之一规定的情形的，有权宣布投标程序和结果无效，在涉标的公证性与违法问题的调查或检查中，入</w:t>
      </w:r>
      <w:r>
        <w:rPr>
          <w:rFonts w:hint="eastAsia" w:asciiTheme="minorEastAsia" w:hAnsiTheme="minorEastAsia" w:eastAsiaTheme="minorEastAsia" w:cstheme="minorEastAsia"/>
          <w:color w:val="auto"/>
          <w:spacing w:val="-5"/>
          <w:sz w:val="24"/>
          <w:szCs w:val="24"/>
        </w:rPr>
        <w:t>围供应商如拒绝有关部门的监督检查，视其情节，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w:t>
      </w:r>
      <w:r>
        <w:rPr>
          <w:rFonts w:hint="eastAsia" w:asciiTheme="minorEastAsia" w:hAnsiTheme="minorEastAsia" w:eastAsiaTheme="minorEastAsia" w:cstheme="minorEastAsia"/>
          <w:color w:val="auto"/>
          <w:spacing w:val="-5"/>
          <w:sz w:val="24"/>
          <w:szCs w:val="24"/>
        </w:rPr>
        <w:t>也有权宣布中标结果视同无效</w:t>
      </w:r>
      <w:r>
        <w:rPr>
          <w:rFonts w:hint="eastAsia" w:asciiTheme="minorEastAsia" w:hAnsiTheme="minorEastAsia" w:eastAsiaTheme="minorEastAsia" w:cstheme="minorEastAsia"/>
          <w:color w:val="auto"/>
          <w:sz w:val="24"/>
          <w:szCs w:val="24"/>
        </w:rPr>
        <w:t>，并对投、入围供应商的损失不承担任何责任；</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应自行承担所有与准备和参加</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有关的费用。不论</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的结果如何，</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采购单位无义务和责任承担相关费用；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在制作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时须按照资料内容编制目录。</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lang w:eastAsia="zh-CN"/>
        </w:rPr>
        <w:t>）征集响应文件</w:t>
      </w:r>
      <w:r>
        <w:rPr>
          <w:rFonts w:hint="eastAsia" w:asciiTheme="minorEastAsia" w:hAnsiTheme="minorEastAsia" w:eastAsiaTheme="minorEastAsia" w:cstheme="minorEastAsia"/>
          <w:b/>
          <w:bCs w:val="0"/>
          <w:color w:val="auto"/>
          <w:sz w:val="24"/>
          <w:szCs w:val="24"/>
        </w:rPr>
        <w:t>的语言</w:t>
      </w:r>
      <w:bookmarkEnd w:id="42"/>
      <w:bookmarkEnd w:id="43"/>
      <w:bookmarkEnd w:id="44"/>
      <w:r>
        <w:rPr>
          <w:rFonts w:hint="eastAsia" w:asciiTheme="minorEastAsia" w:hAnsiTheme="minorEastAsia" w:eastAsiaTheme="minorEastAsia" w:cstheme="minorEastAsia"/>
          <w:b/>
          <w:bCs w:val="0"/>
          <w:color w:val="auto"/>
          <w:sz w:val="24"/>
          <w:szCs w:val="24"/>
        </w:rPr>
        <w:t>（实质性要求）</w:t>
      </w:r>
      <w:bookmarkEnd w:id="45"/>
      <w:bookmarkEnd w:id="46"/>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bookmarkStart w:id="47" w:name="_Toc183682353"/>
      <w:bookmarkStart w:id="48" w:name="_Toc217446044"/>
      <w:bookmarkStart w:id="49" w:name="_Toc183582216"/>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提交的</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以及</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与</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采购单位就有关投标的所有来往书面文件均须使用中文。</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中如附有外文资料，必须逐一对应翻译成中文并加盖</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翻译的中文资料与外文资料如果出现差异和矛盾时，以中文为准。涉嫌虚假响应的按照相关法律法规处理。</w:t>
      </w:r>
      <w:bookmarkStart w:id="50" w:name="_Toc32090"/>
      <w:bookmarkStart w:id="51" w:name="_Toc31489"/>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计量单位</w:t>
      </w:r>
      <w:bookmarkEnd w:id="47"/>
      <w:bookmarkEnd w:id="48"/>
      <w:bookmarkEnd w:id="49"/>
      <w:r>
        <w:rPr>
          <w:rFonts w:hint="eastAsia" w:asciiTheme="minorEastAsia" w:hAnsiTheme="minorEastAsia" w:eastAsiaTheme="minorEastAsia" w:cstheme="minorEastAsia"/>
          <w:b/>
          <w:bCs/>
          <w:color w:val="auto"/>
          <w:sz w:val="24"/>
          <w:szCs w:val="24"/>
        </w:rPr>
        <w:t>（实质性要求）</w:t>
      </w:r>
      <w:bookmarkEnd w:id="50"/>
      <w:bookmarkEnd w:id="51"/>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中另有规定外，本次</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采购项目所有合同项下均采用国家法定的计量单位。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2" w:name="_Toc217446045"/>
      <w:bookmarkStart w:id="53" w:name="_Toc15577"/>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投标货币</w:t>
      </w:r>
      <w:bookmarkEnd w:id="52"/>
      <w:r>
        <w:rPr>
          <w:rFonts w:hint="eastAsia" w:asciiTheme="minorEastAsia" w:hAnsiTheme="minorEastAsia" w:eastAsiaTheme="minorEastAsia" w:cstheme="minorEastAsia"/>
          <w:b/>
          <w:bCs/>
          <w:color w:val="auto"/>
          <w:sz w:val="24"/>
          <w:szCs w:val="24"/>
        </w:rPr>
        <w:t>（实质性要求）</w:t>
      </w:r>
      <w:bookmarkEnd w:id="53"/>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项目的投标均以人民币报价。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4" w:name="_Toc31452"/>
      <w:bookmarkStart w:id="55" w:name="_Toc217446046"/>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联合体投标</w:t>
      </w:r>
      <w:bookmarkEnd w:id="54"/>
      <w:bookmarkEnd w:id="55"/>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highlight w:val="none"/>
        </w:rPr>
      </w:pPr>
      <w:bookmarkStart w:id="56" w:name="_Toc217446047"/>
      <w:r>
        <w:rPr>
          <w:rFonts w:hint="eastAsia" w:asciiTheme="minorEastAsia" w:hAnsiTheme="minorEastAsia" w:eastAsiaTheme="minorEastAsia" w:cstheme="minorEastAsia"/>
          <w:b w:val="0"/>
          <w:bCs/>
          <w:color w:val="auto"/>
          <w:sz w:val="24"/>
          <w:szCs w:val="24"/>
          <w:highlight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7" w:name="_Toc308164797"/>
      <w:bookmarkStart w:id="58" w:name="_Toc28832"/>
      <w:bookmarkStart w:id="59" w:name="_Toc16240"/>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知识产权</w:t>
      </w:r>
      <w:bookmarkEnd w:id="56"/>
      <w:bookmarkEnd w:id="57"/>
      <w:r>
        <w:rPr>
          <w:rFonts w:hint="eastAsia" w:asciiTheme="minorEastAsia" w:hAnsiTheme="minorEastAsia" w:eastAsiaTheme="minorEastAsia" w:cstheme="minorEastAsia"/>
          <w:b/>
          <w:bCs/>
          <w:color w:val="auto"/>
          <w:sz w:val="24"/>
          <w:szCs w:val="24"/>
        </w:rPr>
        <w:t>（实质性要求）</w:t>
      </w:r>
      <w:bookmarkEnd w:id="58"/>
      <w:bookmarkEnd w:id="59"/>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承担所有相关责任。</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如欲在项目实施过程中采用自有知识成果，需在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中声明，并提供相关知识产权证明文件。使用该知识成果后，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需提供</w:t>
      </w:r>
      <w:r>
        <w:rPr>
          <w:rFonts w:hint="eastAsia" w:asciiTheme="minorEastAsia" w:hAnsiTheme="minorEastAsia" w:eastAsia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手册等文档，并承诺提供无限期技术支持，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享有永久使用权（含</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所属预算单位后期</w:t>
      </w:r>
      <w:r>
        <w:rPr>
          <w:rFonts w:hint="eastAsia" w:asciiTheme="minorEastAsia" w:hAnsiTheme="minorEastAsia" w:eastAsiaTheme="minorEastAsia" w:cstheme="minorEastAsia"/>
          <w:color w:val="auto"/>
          <w:sz w:val="24"/>
          <w:szCs w:val="24"/>
        </w:rPr>
        <w:t>的使用权）。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如采用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所不拥有的知识产权，则在</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报价中必须包括合法获取该知识产权的相关费用。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0" w:name="_Toc308164798"/>
      <w:bookmarkStart w:id="61" w:name="_Toc183682354"/>
      <w:bookmarkStart w:id="62" w:name="_Toc217446048"/>
      <w:bookmarkStart w:id="63" w:name="_Toc14081"/>
      <w:bookmarkStart w:id="64" w:name="_Toc4255"/>
      <w:bookmarkStart w:id="65" w:name="_Toc183582217"/>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的组成</w:t>
      </w:r>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的规定和要求编制</w:t>
      </w:r>
      <w:r>
        <w:rPr>
          <w:rFonts w:hint="eastAsia" w:asciiTheme="minorEastAsia" w:hAnsiTheme="minorEastAsia" w:eastAsiaTheme="minorEastAsia" w:cstheme="minorEastAsia"/>
          <w:color w:val="auto"/>
          <w:sz w:val="24"/>
          <w:szCs w:val="24"/>
          <w:lang w:eastAsia="zh-CN"/>
        </w:rPr>
        <w:t>征集响应文件，供应商</w:t>
      </w:r>
      <w:r>
        <w:rPr>
          <w:rFonts w:hint="eastAsia" w:asciiTheme="minorEastAsia" w:hAnsiTheme="minorEastAsia" w:eastAsiaTheme="minorEastAsia" w:cstheme="minorEastAsia"/>
          <w:color w:val="auto"/>
          <w:sz w:val="24"/>
          <w:szCs w:val="24"/>
        </w:rPr>
        <w:t>编写的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应包括下列部分：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报价部分。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lang w:val="en-US" w:eastAsia="zh-CN"/>
        </w:rPr>
        <w:t>应</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要求填写的“开标一览表”及“报价明细表”。本次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报价要求：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项目要求的全部工作内容的价格体现，包括</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完成本项目所需的一切费用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每种货物</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只允许有一个报价，并且在合同履行过程中是固定不变的，任何有选择或可调整的报价将不予接受，并按无效投标处理（实质性要求）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（3）在本次投标之前一周年内，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本次投标中对同一品牌同一型号相同配置的产品报价与其在中国境内其他地方的最低报价比例不得高于</w:t>
      </w:r>
      <w:r>
        <w:rPr>
          <w:rFonts w:hint="eastAsia" w:asciiTheme="minorEastAsia" w:hAnsiTheme="minorEastAsia" w:eastAsiaTheme="minorEastAsia" w:cstheme="minorEastAsia"/>
          <w:color w:val="auto"/>
          <w:sz w:val="24"/>
          <w:szCs w:val="24"/>
          <w:lang w:val="zh-CN"/>
        </w:rPr>
        <w:t>10</w:t>
      </w:r>
      <w:r>
        <w:rPr>
          <w:rFonts w:hint="eastAsia" w:asciiTheme="minorEastAsia" w:hAnsiTheme="minorEastAsia" w:eastAsiaTheme="minorEastAsia" w:cstheme="minorEastAsia"/>
          <w:color w:val="auto"/>
          <w:sz w:val="24"/>
          <w:szCs w:val="24"/>
        </w:rPr>
        <w:t>%（实质性要求）。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2.</w:t>
      </w:r>
      <w:r>
        <w:rPr>
          <w:rFonts w:hint="eastAsia" w:asciiTheme="minorEastAsia" w:hAnsiTheme="minorEastAsia" w:eastAsiaTheme="minorEastAsia" w:cstheme="minorEastAsia"/>
          <w:b/>
          <w:bCs w:val="0"/>
          <w:color w:val="auto"/>
          <w:sz w:val="24"/>
          <w:szCs w:val="24"/>
        </w:rPr>
        <w:t>技术</w:t>
      </w:r>
      <w:r>
        <w:rPr>
          <w:rFonts w:hint="eastAsia" w:asciiTheme="minorEastAsia" w:hAnsiTheme="minorEastAsia" w:eastAsiaTheme="minorEastAsia" w:cstheme="minorEastAsia"/>
          <w:b/>
          <w:bCs w:val="0"/>
          <w:color w:val="auto"/>
          <w:sz w:val="24"/>
          <w:szCs w:val="24"/>
          <w:lang w:eastAsia="zh-CN"/>
        </w:rPr>
        <w:t>（服务）</w:t>
      </w:r>
      <w:r>
        <w:rPr>
          <w:rFonts w:hint="eastAsia" w:asciiTheme="minorEastAsia" w:hAnsiTheme="minorEastAsia" w:eastAsiaTheme="minorEastAsia" w:cstheme="minorEastAsia"/>
          <w:b/>
          <w:bCs w:val="0"/>
          <w:color w:val="auto"/>
          <w:sz w:val="24"/>
          <w:szCs w:val="24"/>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按照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要求做出的技术应答，主要是针对</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项目的</w:t>
      </w:r>
      <w:r>
        <w:rPr>
          <w:rFonts w:hint="eastAsia" w:asciiTheme="minorEastAsia" w:hAnsiTheme="minorEastAsia" w:eastAsiaTheme="minorEastAsia" w:cstheme="minorEastAsia"/>
          <w:b w:val="0"/>
          <w:bCs/>
          <w:color w:val="auto"/>
          <w:sz w:val="24"/>
          <w:szCs w:val="24"/>
          <w:lang w:val="en-US" w:eastAsia="zh-CN"/>
        </w:rPr>
        <w:t>产品质量、</w:t>
      </w:r>
      <w:r>
        <w:rPr>
          <w:rFonts w:hint="eastAsia" w:asciiTheme="minorEastAsia" w:hAnsiTheme="minorEastAsia" w:eastAsiaTheme="minorEastAsia" w:cstheme="minorEastAsia"/>
          <w:b w:val="0"/>
          <w:bCs/>
          <w:color w:val="auto"/>
          <w:sz w:val="24"/>
          <w:szCs w:val="24"/>
        </w:rPr>
        <w:t>技术指标、参数和技术要求做出的实质性响应和满足。</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的技术应答包括下列内容：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）保修场地</w:t>
      </w:r>
      <w:r>
        <w:rPr>
          <w:rFonts w:hint="eastAsia" w:asciiTheme="minorEastAsia" w:hAnsiTheme="minorEastAsia" w:eastAsiaTheme="minorEastAsia" w:cstheme="minorEastAsia"/>
          <w:b w:val="0"/>
          <w:bCs/>
          <w:color w:val="auto"/>
          <w:sz w:val="24"/>
          <w:szCs w:val="24"/>
          <w:lang w:val="en-US" w:eastAsia="zh-CN"/>
        </w:rPr>
        <w:t>的文件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项目实施方案；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经营场所证明材料</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产品验收标准和验收方法；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3.商务部分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按照</w:t>
      </w:r>
      <w:r>
        <w:rPr>
          <w:rFonts w:hint="eastAsia" w:asciiTheme="minorEastAsia" w:hAnsiTheme="minorEastAsia" w:eastAsiaTheme="minorEastAsia" w:cstheme="minorEastAsia"/>
          <w:b w:val="0"/>
          <w:bCs/>
          <w:color w:val="auto"/>
          <w:sz w:val="24"/>
          <w:szCs w:val="24"/>
          <w:highlight w:val="none"/>
          <w:lang w:eastAsia="zh-CN"/>
        </w:rPr>
        <w:t>征集文件</w:t>
      </w:r>
      <w:r>
        <w:rPr>
          <w:rFonts w:hint="eastAsia" w:asciiTheme="minorEastAsia" w:hAnsiTheme="minorEastAsia" w:eastAsiaTheme="minorEastAsia" w:cstheme="minorEastAsia"/>
          <w:b w:val="0"/>
          <w:bCs/>
          <w:color w:val="auto"/>
          <w:sz w:val="24"/>
          <w:szCs w:val="24"/>
          <w:highlight w:val="none"/>
        </w:rPr>
        <w:t>要求提供的有关文件及优惠承诺。包括以下内容：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投标报价一览表</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lang w:eastAsia="zh-CN"/>
        </w:rPr>
        <w:t>明细表</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售后服务承诺</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具备法律、行政法规规定的其他条件的证明材</w:t>
      </w:r>
      <w:r>
        <w:rPr>
          <w:rFonts w:hint="eastAsia" w:asciiTheme="minorEastAsia" w:hAnsiTheme="minorEastAsia" w:eastAsiaTheme="minorEastAsia" w:cstheme="min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认为需要提供的文件和资料</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4.资格证明文件</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pStyle w:val="9"/>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eastAsia="zh-CN"/>
        </w:rPr>
        <w:t>投标人是否为被列入中国政府采购网、“信用甘肃”、信用中国（甘肃天水）记录失信被执行人等</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val="0"/>
          <w:color w:val="auto"/>
          <w:kern w:val="2"/>
          <w:sz w:val="24"/>
          <w:szCs w:val="24"/>
          <w:highlight w:val="none"/>
        </w:rPr>
        <w:t>售后要求</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按照招标文件中售后服务要求作出的积极响应和承诺。包括以下内容：</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rPr>
        <w:t>主要防止因</w:t>
      </w:r>
      <w:r>
        <w:rPr>
          <w:rFonts w:hint="eastAsia" w:asciiTheme="minorEastAsia" w:hAnsiTheme="minorEastAsia" w:eastAsiaTheme="minorEastAsia" w:cstheme="minorEastAsia"/>
          <w:b w:val="0"/>
          <w:bCs w:val="0"/>
          <w:color w:val="auto"/>
          <w:sz w:val="24"/>
          <w:szCs w:val="24"/>
          <w:highlight w:val="none"/>
          <w:lang w:val="en-US" w:eastAsia="zh-CN"/>
        </w:rPr>
        <w:t>质量问题</w:t>
      </w:r>
      <w:r>
        <w:rPr>
          <w:rFonts w:hint="eastAsia" w:asciiTheme="minorEastAsia" w:hAnsiTheme="minorEastAsia" w:eastAsiaTheme="minorEastAsia" w:cstheme="minorEastAsia"/>
          <w:b w:val="0"/>
          <w:bCs w:val="0"/>
          <w:color w:val="auto"/>
          <w:sz w:val="24"/>
          <w:szCs w:val="24"/>
          <w:highlight w:val="none"/>
          <w:lang w:val="en-US"/>
        </w:rPr>
        <w:t>或</w:t>
      </w:r>
      <w:r>
        <w:rPr>
          <w:rFonts w:hint="eastAsia" w:asciiTheme="minorEastAsia" w:hAnsiTheme="minorEastAsia" w:eastAsiaTheme="minorEastAsia" w:cstheme="minorEastAsia"/>
          <w:b w:val="0"/>
          <w:bCs w:val="0"/>
          <w:color w:val="auto"/>
          <w:sz w:val="24"/>
          <w:szCs w:val="24"/>
          <w:highlight w:val="none"/>
          <w:lang w:val="en-US" w:eastAsia="zh-CN"/>
        </w:rPr>
        <w:t>其他</w:t>
      </w:r>
      <w:r>
        <w:rPr>
          <w:rFonts w:hint="eastAsia" w:asciiTheme="minorEastAsia" w:hAnsiTheme="minorEastAsia" w:eastAsiaTheme="minorEastAsia" w:cstheme="minorEastAsia"/>
          <w:b w:val="0"/>
          <w:bCs w:val="0"/>
          <w:color w:val="auto"/>
          <w:sz w:val="24"/>
          <w:szCs w:val="24"/>
          <w:highlight w:val="none"/>
          <w:lang w:val="en-US"/>
        </w:rPr>
        <w:t>影响</w:t>
      </w:r>
      <w:r>
        <w:rPr>
          <w:rFonts w:hint="eastAsia" w:asciiTheme="minorEastAsia" w:hAnsiTheme="minorEastAsia" w:eastAsiaTheme="minorEastAsia" w:cstheme="minorEastAsia"/>
          <w:b w:val="0"/>
          <w:bCs w:val="0"/>
          <w:color w:val="auto"/>
          <w:sz w:val="24"/>
          <w:szCs w:val="24"/>
          <w:highlight w:val="none"/>
          <w:lang w:val="en-US" w:eastAsia="zh-CN"/>
        </w:rPr>
        <w:t>采购单位</w:t>
      </w:r>
      <w:r>
        <w:rPr>
          <w:rFonts w:hint="eastAsia" w:asciiTheme="minorEastAsia" w:hAnsiTheme="minorEastAsia" w:eastAsiaTheme="minorEastAsia" w:cstheme="minorEastAsia"/>
          <w:b w:val="0"/>
          <w:bCs w:val="0"/>
          <w:color w:val="auto"/>
          <w:sz w:val="24"/>
          <w:szCs w:val="24"/>
          <w:highlight w:val="none"/>
          <w:lang w:val="en-US"/>
        </w:rPr>
        <w:t>正常使用</w:t>
      </w:r>
      <w:r>
        <w:rPr>
          <w:rFonts w:hint="eastAsia" w:asciiTheme="minorEastAsia" w:hAnsiTheme="minorEastAsia" w:eastAsiaTheme="minorEastAsia" w:cstheme="minorEastAsia"/>
          <w:b w:val="0"/>
          <w:bCs w:val="0"/>
          <w:color w:val="auto"/>
          <w:sz w:val="24"/>
          <w:szCs w:val="24"/>
          <w:highlight w:val="none"/>
          <w:lang w:val="en-US" w:eastAsia="zh-CN"/>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（2）保证产品的质量符合国家标准及质量保证期；</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en-US"/>
        </w:rPr>
        <w:t>免费维护期</w:t>
      </w:r>
      <w:r>
        <w:rPr>
          <w:rFonts w:hint="eastAsia" w:asciiTheme="minorEastAsia" w:hAnsiTheme="minorEastAsia" w:eastAsiaTheme="minorEastAsia" w:cstheme="minorEastAsia"/>
          <w:b w:val="0"/>
          <w:bCs w:val="0"/>
          <w:color w:val="auto"/>
          <w:sz w:val="24"/>
          <w:szCs w:val="24"/>
          <w:highlight w:val="none"/>
          <w:lang w:val="en-US" w:eastAsia="zh-CN"/>
        </w:rPr>
        <w:t>限</w:t>
      </w:r>
      <w:r>
        <w:rPr>
          <w:rFonts w:hint="eastAsia" w:asciiTheme="minorEastAsia" w:hAnsiTheme="minorEastAsia" w:eastAsiaTheme="minorEastAsia" w:cstheme="minorEastAsia"/>
          <w:b w:val="0"/>
          <w:bCs w:val="0"/>
          <w:color w:val="auto"/>
          <w:sz w:val="24"/>
          <w:szCs w:val="24"/>
          <w:highlight w:val="none"/>
          <w:lang w:val="en-US"/>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6.</w:t>
      </w:r>
      <w:r>
        <w:rPr>
          <w:rFonts w:hint="eastAsia" w:asciiTheme="minorEastAsia" w:hAnsiTheme="minorEastAsia" w:eastAsiaTheme="minorEastAsia" w:cstheme="minorEastAsia"/>
          <w:b/>
          <w:bCs/>
          <w:color w:val="auto"/>
          <w:kern w:val="2"/>
          <w:sz w:val="24"/>
          <w:szCs w:val="24"/>
          <w:highlight w:val="none"/>
        </w:rPr>
        <w:t>工期</w:t>
      </w:r>
      <w:r>
        <w:rPr>
          <w:rFonts w:hint="eastAsia" w:asciiTheme="minorEastAsia" w:hAnsiTheme="minorEastAsia" w:eastAsiaTheme="minorEastAsia" w:cstheme="minorEastAsia"/>
          <w:b/>
          <w:bCs/>
          <w:color w:val="auto"/>
          <w:kern w:val="2"/>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供应商需</w:t>
      </w:r>
      <w:r>
        <w:rPr>
          <w:rFonts w:hint="eastAsia" w:asciiTheme="minorEastAsia" w:hAnsiTheme="minorEastAsia" w:eastAsiaTheme="minorEastAsia" w:cstheme="minorEastAsia"/>
          <w:color w:val="auto"/>
          <w:sz w:val="24"/>
          <w:szCs w:val="24"/>
          <w:highlight w:val="none"/>
          <w:lang w:val="en-US" w:eastAsia="zh-CN"/>
        </w:rPr>
        <w:t>按照采购单位的需求情况，</w:t>
      </w:r>
      <w:r>
        <w:rPr>
          <w:rFonts w:hint="eastAsia" w:asciiTheme="minorEastAsia" w:hAnsiTheme="minorEastAsia" w:eastAsiaTheme="minorEastAsia" w:cstheme="minorEastAsia"/>
          <w:color w:val="auto"/>
          <w:sz w:val="24"/>
          <w:szCs w:val="24"/>
          <w:highlight w:val="none"/>
          <w:lang w:val="zh-CN"/>
        </w:rPr>
        <w:t>在</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lang w:val="zh-CN"/>
        </w:rPr>
        <w:t>签订</w:t>
      </w:r>
      <w:r>
        <w:rPr>
          <w:rFonts w:hint="eastAsia" w:asciiTheme="minorEastAsia" w:hAnsiTheme="minorEastAsia" w:eastAsiaTheme="minorEastAsia" w:cstheme="minorEastAsia"/>
          <w:color w:val="auto"/>
          <w:sz w:val="24"/>
          <w:szCs w:val="24"/>
          <w:highlight w:val="none"/>
          <w:lang w:val="en-US" w:eastAsia="zh-CN"/>
        </w:rPr>
        <w:t>合同后按规定时限完成供货，并提供响应的伴随服务</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7.</w:t>
      </w:r>
      <w:r>
        <w:rPr>
          <w:rFonts w:hint="eastAsia" w:asciiTheme="minorEastAsia" w:hAnsiTheme="minorEastAsia" w:eastAsiaTheme="minorEastAsia" w:cstheme="minorEastAsia"/>
          <w:b/>
          <w:bCs/>
          <w:color w:val="auto"/>
          <w:kern w:val="2"/>
          <w:sz w:val="24"/>
          <w:szCs w:val="24"/>
          <w:highlight w:val="none"/>
        </w:rPr>
        <w:t>质保期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供应商必须承诺</w:t>
      </w:r>
      <w:r>
        <w:rPr>
          <w:rFonts w:hint="eastAsia" w:asciiTheme="minorEastAsia" w:hAnsiTheme="minorEastAsia" w:eastAsiaTheme="minorEastAsia" w:cstheme="minorEastAsia"/>
          <w:color w:val="auto"/>
          <w:sz w:val="24"/>
          <w:szCs w:val="24"/>
          <w:highlight w:val="none"/>
          <w:lang w:val="en-US" w:eastAsia="zh-CN"/>
        </w:rPr>
        <w:t>质量保证期及</w:t>
      </w:r>
      <w:r>
        <w:rPr>
          <w:rFonts w:hint="eastAsia" w:asciiTheme="minorEastAsia" w:hAnsiTheme="minorEastAsia" w:eastAsiaTheme="minorEastAsia" w:cstheme="minorEastAsia"/>
          <w:color w:val="auto"/>
          <w:sz w:val="24"/>
          <w:szCs w:val="24"/>
          <w:highlight w:val="none"/>
          <w:lang w:val="zh-CN"/>
        </w:rPr>
        <w:t>技术</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支持，为</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zh-CN"/>
        </w:rPr>
        <w:t>在验收完毕后使用过程中提供免费技术支持。</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8.</w:t>
      </w:r>
      <w:r>
        <w:rPr>
          <w:rFonts w:hint="eastAsia" w:asciiTheme="minorEastAsia" w:hAnsiTheme="minorEastAsia" w:eastAsiaTheme="minorEastAsia" w:cstheme="minorEastAsia"/>
          <w:b/>
          <w:bCs/>
          <w:color w:val="auto"/>
          <w:kern w:val="2"/>
          <w:sz w:val="24"/>
          <w:szCs w:val="24"/>
          <w:highlight w:val="none"/>
        </w:rPr>
        <w:t>验收要求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验收的主要依据包括本</w:t>
      </w:r>
      <w:r>
        <w:rPr>
          <w:rFonts w:hint="eastAsia" w:asciiTheme="minorEastAsia" w:hAnsiTheme="minorEastAsia" w:eastAsiaTheme="minorEastAsia" w:cstheme="minorEastAsia"/>
          <w:color w:val="auto"/>
          <w:sz w:val="24"/>
          <w:szCs w:val="24"/>
          <w:highlight w:val="none"/>
          <w:lang w:val="en-US" w:eastAsia="zh-CN"/>
        </w:rPr>
        <w:t>项目征集文件、征集响应文件</w:t>
      </w:r>
      <w:r>
        <w:rPr>
          <w:rFonts w:hint="eastAsia" w:asciiTheme="minorEastAsia" w:hAnsiTheme="minorEastAsia" w:eastAsiaTheme="minorEastAsia" w:cstheme="minorEastAsia"/>
          <w:color w:val="auto"/>
          <w:sz w:val="24"/>
          <w:szCs w:val="24"/>
          <w:highlight w:val="none"/>
          <w:lang w:val="zh-CN"/>
        </w:rPr>
        <w:t>、合同文件，以及用户需求说明书，将</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lang w:val="zh-CN"/>
        </w:rPr>
        <w:t>安装并调试至最佳状态。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所有工作内容完成以后，由供应商提交验收申请，由采购人组织验收小组，负责对项目进行全面验收，项目验收依次序对照执行标准为：①符合中华人民共和国相关质量标准、行业技术规范标准；②符合采购文件和响应承诺中各方共同认可的各项要求；③双方约定的其他验收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其他部分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eastAsia="zh-CN"/>
        </w:rPr>
        <w:t>征集文件</w:t>
      </w:r>
      <w:r>
        <w:rPr>
          <w:rFonts w:hint="eastAsia" w:asciiTheme="minorEastAsia" w:hAnsiTheme="minorEastAsia" w:eastAsiaTheme="minorEastAsia" w:cstheme="minorEastAsia"/>
          <w:bCs/>
          <w:color w:val="auto"/>
          <w:sz w:val="24"/>
          <w:szCs w:val="24"/>
          <w:highlight w:val="none"/>
        </w:rPr>
        <w:t>要求作出的其他应答和承诺。</w:t>
      </w:r>
    </w:p>
    <w:p>
      <w:pPr>
        <w:keepNext w:val="0"/>
        <w:keepLines w:val="0"/>
        <w:pageBreakBefore w:val="0"/>
        <w:widowControl w:val="0"/>
        <w:tabs>
          <w:tab w:val="left" w:pos="3480"/>
        </w:tabs>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6" w:name="_Toc25088"/>
      <w:bookmarkStart w:id="67" w:name="_Toc183682355"/>
      <w:bookmarkStart w:id="68" w:name="_Toc308164799"/>
      <w:bookmarkStart w:id="69" w:name="_Toc3586"/>
      <w:bookmarkStart w:id="70" w:name="_Toc217446049"/>
      <w:bookmarkStart w:id="71" w:name="_Toc18358221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格式</w:t>
      </w:r>
      <w:bookmarkEnd w:id="66"/>
      <w:bookmarkEnd w:id="67"/>
      <w:bookmarkEnd w:id="68"/>
      <w:bookmarkEnd w:id="69"/>
      <w:bookmarkEnd w:id="70"/>
      <w:bookmarkEnd w:id="7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应执行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lang w:val="en-US" w:eastAsia="zh-CN"/>
        </w:rPr>
        <w:t>第七章</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sz w:val="24"/>
          <w:szCs w:val="24"/>
          <w:lang w:val="en-US" w:eastAsia="zh-CN"/>
        </w:rPr>
        <w:t>的格式填写相关内容</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对于没有格式要求的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自行编写。</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bookmarkStart w:id="72" w:name="_Toc183582224"/>
      <w:bookmarkStart w:id="73" w:name="_Toc217446051"/>
      <w:bookmarkStart w:id="74" w:name="_Toc308164801"/>
      <w:bookmarkStart w:id="75" w:name="_Toc183682361"/>
      <w:bookmarkStart w:id="76" w:name="_Toc10834"/>
      <w:bookmarkStart w:id="77" w:name="_Toc22156"/>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九</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投标有效期</w:t>
      </w:r>
      <w:bookmarkEnd w:id="72"/>
      <w:bookmarkEnd w:id="73"/>
      <w:bookmarkEnd w:id="74"/>
      <w:bookmarkEnd w:id="75"/>
      <w:r>
        <w:rPr>
          <w:rFonts w:hint="eastAsia" w:asciiTheme="minorEastAsia" w:hAnsiTheme="minorEastAsia" w:eastAsiaTheme="minorEastAsia" w:cstheme="minorEastAsia"/>
          <w:b/>
          <w:bCs w:val="0"/>
          <w:color w:val="auto"/>
          <w:sz w:val="24"/>
          <w:szCs w:val="24"/>
        </w:rPr>
        <w:t>（实质性要求）</w:t>
      </w:r>
      <w:bookmarkEnd w:id="76"/>
      <w:bookmarkEnd w:id="77"/>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本项目投标有效期为投标截止时间届满后60天。</w:t>
      </w:r>
      <w:r>
        <w:rPr>
          <w:rFonts w:hint="eastAsia" w:asciiTheme="minorEastAsia" w:hAnsiTheme="minorEastAsia" w:eastAsiaTheme="minorEastAsia" w:cstheme="minorEastAsia"/>
          <w:b/>
          <w:bCs w:val="0"/>
          <w:color w:val="auto"/>
          <w:sz w:val="24"/>
          <w:szCs w:val="24"/>
          <w:highlight w:val="none"/>
          <w:lang w:eastAsia="zh-CN"/>
        </w:rPr>
        <w:t>供应商征集响应文件</w:t>
      </w:r>
      <w:r>
        <w:rPr>
          <w:rFonts w:hint="eastAsia" w:asciiTheme="minorEastAsia" w:hAnsiTheme="minorEastAsia" w:eastAsiaTheme="minorEastAsia" w:cstheme="minorEastAsia"/>
          <w:b/>
          <w:bCs w:val="0"/>
          <w:color w:val="auto"/>
          <w:sz w:val="24"/>
          <w:szCs w:val="24"/>
          <w:highlight w:val="none"/>
        </w:rPr>
        <w:t>中必须载明投标有效期，</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中载明的投标有效期可以长于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规定的期限，但不得短于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规定的期限。否则，其</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将作为无效投标处理。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因不可抗力事件，</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可于投标有效期届满之前与</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协商延长投标有效期。</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拒绝延长投标有效期的，不得再参与该项目后续采购活动，但由此给</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造成的损失，</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可以自主决定是否可以给予适当补偿。</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同意延长投标有效期的，不能修改</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lang w:val="en-US" w:eastAsia="zh-CN"/>
        </w:rPr>
      </w:pPr>
      <w:bookmarkStart w:id="78" w:name="_Toc8726"/>
      <w:r>
        <w:rPr>
          <w:rFonts w:hint="eastAsia" w:asciiTheme="minorEastAsia" w:hAnsiTheme="minorEastAsia" w:eastAsiaTheme="minorEastAsia" w:cstheme="minorEastAsia"/>
          <w:b/>
          <w:bCs/>
          <w:color w:val="auto"/>
          <w:sz w:val="24"/>
          <w:szCs w:val="24"/>
          <w:lang w:val="en-US" w:eastAsia="zh-CN"/>
        </w:rPr>
        <w:t>（十）投标保证金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本项目不收取投标保证金。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十一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的密封和递交</w:t>
      </w:r>
      <w:bookmarkEnd w:id="7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应按“</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须知前附表”要求提供加密的电子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1份。</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应保证能正常读取，否则造成的一切后果由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自行承担。</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的书写应清楚工整，任何行间插字、涂改或增删，必须由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的法定代表人或其委托代理人签字或</w:t>
      </w:r>
      <w:r>
        <w:rPr>
          <w:rFonts w:hint="eastAsia" w:asciiTheme="minorEastAsia" w:hAnsiTheme="minorEastAsia" w:eastAsiaTheme="minorEastAsia" w:cstheme="minorEastAsia"/>
          <w:b w:val="0"/>
          <w:bCs/>
          <w:color w:val="auto"/>
          <w:sz w:val="24"/>
          <w:szCs w:val="24"/>
          <w:lang w:val="en-US" w:eastAsia="zh-CN"/>
        </w:rPr>
        <w:t>加盖个人印章</w:t>
      </w:r>
      <w:r>
        <w:rPr>
          <w:rFonts w:hint="eastAsia" w:asciiTheme="minorEastAsia" w:hAnsiTheme="minorEastAsia" w:eastAsiaTheme="minorEastAsia" w:cstheme="minorEastAsia"/>
          <w:b w:val="0"/>
          <w:bCs/>
          <w:color w:val="auto"/>
          <w:sz w:val="24"/>
          <w:szCs w:val="24"/>
        </w:rPr>
        <w:t>。字迹潦草、表达不清或可能导致非唯一理解的电子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lang w:val="en-US" w:eastAsia="zh-CN"/>
        </w:rPr>
        <w:t>则被</w:t>
      </w:r>
      <w:r>
        <w:rPr>
          <w:rFonts w:hint="eastAsia" w:asciiTheme="minorEastAsia" w:hAnsiTheme="minorEastAsia" w:eastAsiaTheme="minorEastAsia" w:cstheme="minorEastAsia"/>
          <w:b w:val="0"/>
          <w:bCs/>
          <w:color w:val="auto"/>
          <w:sz w:val="24"/>
          <w:szCs w:val="24"/>
        </w:rPr>
        <w:t>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应根据</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的要求制作，签署、盖章和内容应完整，</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由法定代表人或经其正式授权的代表签字。授权代表须将以书面形式出具的《法定代表人授权书》附在</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的每一页都应由法定代表人或其授权代表签字并加盖供应商公章，如有遗漏，将被视为无效投标。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统一用A4幅面编制。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必须提供法定代表人和其委托代理人的身份证复印件，其委托代理人如在评标过程中进行必要的澄清或答疑时还必须出示身份证原件以确认其有效身份，否则将视为无效投标。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的递交</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本项目采用“甘肃中工国际不见面开标大厅”网上电子投标方式，投标供应商将加密加密的电子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要求成功上传提交到“甘肃中工国际不见面开标大厅”。对于在开标截止时间前没有进行网上签到则视为放弃投标。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本次</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不接受邮寄的电子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9</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的修改和撤回</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在投标截止时间前，可以对所递交的电子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进行补充、修改或者撤回，但集采机构必须在规定的投标截止时间之前收到该修改或撤回的书面通知。补充、修改的内容应当按照投标须知第21条规定要求签署、盖章、密封后，作为电子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的组成部分。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在投标截止时间之后，</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不得对其提交的电子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做任何修改或撤回投标。</w:t>
      </w:r>
    </w:p>
    <w:p>
      <w:pPr>
        <w:keepNext w:val="0"/>
        <w:keepLines w:val="0"/>
        <w:pageBreakBefore w:val="0"/>
        <w:widowControl w:val="0"/>
        <w:tabs>
          <w:tab w:val="center" w:pos="4231"/>
          <w:tab w:val="left" w:pos="6000"/>
        </w:tabs>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79" w:name="_Toc26062"/>
      <w:bookmarkStart w:id="80" w:name="_Toc17483"/>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开标</w:t>
      </w:r>
      <w:r>
        <w:rPr>
          <w:rFonts w:hint="eastAsia" w:asciiTheme="minorEastAsia" w:hAnsiTheme="minorEastAsia" w:eastAsiaTheme="minorEastAsia" w:cstheme="minorEastAsia"/>
          <w:b w:val="0"/>
          <w:bCs/>
          <w:color w:val="auto"/>
          <w:sz w:val="24"/>
          <w:szCs w:val="24"/>
          <w:lang w:val="en-US" w:eastAsia="zh-CN"/>
        </w:rPr>
        <w:t>与</w:t>
      </w:r>
      <w:r>
        <w:rPr>
          <w:rFonts w:hint="eastAsia" w:asciiTheme="minorEastAsia" w:hAnsiTheme="minorEastAsia" w:eastAsiaTheme="minorEastAsia" w:cstheme="minorEastAsia"/>
          <w:b w:val="0"/>
          <w:bCs/>
          <w:color w:val="auto"/>
          <w:sz w:val="24"/>
          <w:szCs w:val="24"/>
        </w:rPr>
        <w:t>评标</w:t>
      </w:r>
      <w:bookmarkEnd w:id="79"/>
      <w:bookmarkEnd w:id="80"/>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开标</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1.集采机构在招标文件规定的时间和地点组织公开开标，征集人、集采机构、供应商代表须通过“甘肃中工国际不见面开标大厅”参加开标会议，开标和评标全过程电子监控。</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开标会议由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组织并主持，</w:t>
      </w:r>
      <w:r>
        <w:rPr>
          <w:rFonts w:hint="eastAsia" w:asciiTheme="minorEastAsia" w:hAnsiTheme="minorEastAsia" w:eastAsiaTheme="minorEastAsia" w:cstheme="minorEastAsia"/>
          <w:color w:val="auto"/>
          <w:sz w:val="24"/>
          <w:szCs w:val="24"/>
          <w:highlight w:val="none"/>
          <w:lang w:val="en-US" w:eastAsia="zh-CN"/>
        </w:rPr>
        <w:t>采用“甘肃中工国际不见面开标大厅”电子语音方式进行唱标，包括供应商名称、投标价格和招标文件规定的需要公开的其他内容。供应商不足 3 家的，不得开标。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开标后，将由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按照递交</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的逆顺序，公开宣读有效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的开标一览表所有内容，以及</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 xml:space="preserve">认为必要的其它内容。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在开标现场，</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必须对唱标的内容在网上进行确认。</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有权就</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中含混之处向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提出询问或澄清要求。</w:t>
      </w:r>
      <w:r>
        <w:rPr>
          <w:rFonts w:hint="eastAsia" w:asciiTheme="minorEastAsia" w:hAnsiTheme="minorEastAsia" w:eastAsiaTheme="minorEastAsia" w:cstheme="minorEastAsia"/>
          <w:bCs/>
          <w:color w:val="auto"/>
          <w:sz w:val="24"/>
          <w:szCs w:val="24"/>
          <w:highlight w:val="none"/>
        </w:rPr>
        <w:t>对不同文字文本电子</w:t>
      </w:r>
      <w:r>
        <w:rPr>
          <w:rFonts w:hint="eastAsia" w:asciiTheme="minorEastAsia" w:hAnsiTheme="minorEastAsia" w:eastAsiaTheme="minorEastAsia" w:cstheme="minorEastAsia"/>
          <w:bCs/>
          <w:color w:val="auto"/>
          <w:sz w:val="24"/>
          <w:szCs w:val="24"/>
          <w:highlight w:val="none"/>
          <w:lang w:eastAsia="zh-CN"/>
        </w:rPr>
        <w:t>征集响应文件</w:t>
      </w:r>
      <w:r>
        <w:rPr>
          <w:rFonts w:hint="eastAsia" w:asciiTheme="minorEastAsia" w:hAnsiTheme="minorEastAsia" w:eastAsiaTheme="minorEastAsia" w:cstheme="minorEastAsia"/>
          <w:bCs/>
          <w:color w:val="auto"/>
          <w:sz w:val="24"/>
          <w:szCs w:val="24"/>
          <w:highlight w:val="none"/>
        </w:rPr>
        <w:t>的解释发生异议的，以中文文本为准。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公开开标后，直到向中标的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授予合同时止，凡与审查、澄清、评价和比较投标的有关资料以及授标意见等均不得向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及与投标无关的其他人透露。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代表对开标过程和开标记录有疑义，以及认为</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采购单位相关工作人员有需要回避的情形的，应当场提出询问或者回避申请。</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采购单位对</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代表提出的询问或者回避申请应当及时处理。</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未参加开标的，视同认可开标结果。</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（二）评标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本项目评标工作由评标委员会按照框架协议征集文件第五章评标办法进行，并出具评标报告。</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81" w:name="_Toc16860"/>
      <w:bookmarkStart w:id="82" w:name="_Toc19415"/>
      <w:r>
        <w:rPr>
          <w:rFonts w:hint="eastAsia" w:asciiTheme="minorEastAsia" w:hAnsiTheme="minorEastAsia" w:eastAsiaTheme="minorEastAsia" w:cstheme="minorEastAsia"/>
          <w:b w:val="0"/>
          <w:bCs/>
          <w:color w:val="auto"/>
          <w:sz w:val="24"/>
          <w:szCs w:val="24"/>
          <w:lang w:val="en-US" w:eastAsia="zh-CN"/>
        </w:rPr>
        <w:t>六、定标</w:t>
      </w:r>
      <w:bookmarkEnd w:id="81"/>
      <w:bookmarkEnd w:id="82"/>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按照</w:t>
      </w:r>
      <w:r>
        <w:rPr>
          <w:rFonts w:hint="eastAsia" w:asciiTheme="minorEastAsia" w:hAnsiTheme="minorEastAsia" w:eastAsiaTheme="minorEastAsia" w:cstheme="minorEastAsia"/>
          <w:bCs/>
          <w:color w:val="auto"/>
          <w:sz w:val="24"/>
          <w:szCs w:val="24"/>
        </w:rPr>
        <w:t>评标委员会</w:t>
      </w:r>
      <w:r>
        <w:rPr>
          <w:rFonts w:hint="eastAsia" w:asciiTheme="minorEastAsia" w:hAnsiTheme="minorEastAsia" w:eastAsiaTheme="minorEastAsia" w:cstheme="minorEastAsia"/>
          <w:bCs/>
          <w:color w:val="auto"/>
          <w:sz w:val="24"/>
          <w:szCs w:val="24"/>
          <w:lang w:val="en-US" w:eastAsia="zh-CN"/>
        </w:rPr>
        <w:t>出具的</w:t>
      </w:r>
      <w:r>
        <w:rPr>
          <w:rFonts w:hint="eastAsia" w:asciiTheme="minorEastAsia" w:hAnsiTheme="minorEastAsia" w:eastAsiaTheme="minorEastAsia" w:cstheme="minorEastAsia"/>
          <w:bCs/>
          <w:color w:val="auto"/>
          <w:sz w:val="24"/>
          <w:szCs w:val="24"/>
        </w:rPr>
        <w:t>评标报告</w:t>
      </w:r>
      <w:r>
        <w:rPr>
          <w:rFonts w:hint="eastAsia" w:asciiTheme="minorEastAsia" w:hAnsiTheme="minorEastAsia" w:eastAsiaTheme="minorEastAsia" w:cstheme="minorEastAsia"/>
          <w:bCs/>
          <w:color w:val="auto"/>
          <w:sz w:val="24"/>
          <w:szCs w:val="24"/>
          <w:lang w:val="en-US" w:eastAsia="zh-CN"/>
        </w:rPr>
        <w:t>及推荐入围供应商名单，集采机构于评标结束后两个工作日内送征集人，征集人于收到评标结果5个工作日内确定第一阶段入围供应商</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自入围供应商确定之日起</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个工作日内，在省级以上</w:t>
      </w:r>
      <w:r>
        <w:rPr>
          <w:rFonts w:hint="eastAsia" w:asciiTheme="minorEastAsia" w:hAnsiTheme="minorEastAsia" w:eastAsiaTheme="minorEastAsia" w:cstheme="minorEastAsia"/>
          <w:color w:val="auto"/>
          <w:sz w:val="24"/>
          <w:szCs w:val="24"/>
        </w:rPr>
        <w:t xml:space="preserve">财政部门指定的媒体上公告入围结果，征集文件应当随入围结果公告同时公告。入围结果公告应当包括以下主要内容：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采购项目名称、编号；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征集人的名称、地址、联系人和联系方式；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入围供应商名称、地址及排序；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最高入围价格或者最低入围分值；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入围产品名称、规格型号或者主要服务内容及服务标准，入围单价；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评审小组成员名单；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 xml:space="preserve">采购代理服务收费标准及金额；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lang w:val="en-US" w:eastAsia="zh-CN"/>
        </w:rPr>
        <w:t>为1个工作日</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省级以上财政部门规定的其他事项。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83" w:name="_Toc10027"/>
      <w:bookmarkStart w:id="84" w:name="_Toc3925"/>
      <w:r>
        <w:rPr>
          <w:rFonts w:hint="eastAsia" w:asciiTheme="minorEastAsia" w:hAnsiTheme="minorEastAsia" w:eastAsiaTheme="minorEastAsia" w:cstheme="minorEastAsia"/>
          <w:b w:val="0"/>
          <w:bCs w:val="0"/>
          <w:color w:val="auto"/>
          <w:sz w:val="24"/>
          <w:szCs w:val="24"/>
          <w:lang w:val="en-US" w:eastAsia="zh-CN"/>
        </w:rPr>
        <w:t>七、</w:t>
      </w:r>
      <w:r>
        <w:rPr>
          <w:rFonts w:hint="eastAsia" w:asciiTheme="minorEastAsia" w:hAnsiTheme="minorEastAsia" w:eastAsiaTheme="minorEastAsia" w:cstheme="minorEastAsia"/>
          <w:b w:val="0"/>
          <w:bCs w:val="0"/>
          <w:color w:val="auto"/>
          <w:sz w:val="24"/>
          <w:szCs w:val="24"/>
        </w:rPr>
        <w:t>中标通知书</w:t>
      </w:r>
      <w:bookmarkEnd w:id="83"/>
      <w:bookmarkEnd w:id="84"/>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中标通知书为签订政府</w:t>
      </w:r>
      <w:r>
        <w:rPr>
          <w:rFonts w:hint="eastAsia" w:asciiTheme="minorEastAsia" w:hAnsiTheme="minorEastAsia" w:eastAsiaTheme="minorEastAsia" w:cstheme="minorEastAsia"/>
          <w:bCs/>
          <w:color w:val="auto"/>
          <w:sz w:val="24"/>
          <w:szCs w:val="24"/>
          <w:lang w:eastAsia="zh-CN"/>
        </w:rPr>
        <w:t>框架协议合同</w:t>
      </w:r>
      <w:r>
        <w:rPr>
          <w:rFonts w:hint="eastAsia" w:asciiTheme="minorEastAsia" w:hAnsiTheme="minorEastAsia" w:eastAsiaTheme="minorEastAsia" w:cstheme="minorEastAsia"/>
          <w:bCs/>
          <w:color w:val="auto"/>
          <w:sz w:val="24"/>
          <w:szCs w:val="24"/>
        </w:rPr>
        <w:t>的依据之一，是合同的有效组成部分。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中标通知书对</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和</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均具有法律效力。中标通知书发出后，</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改变中标结果，或者</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无正当理由放弃中标的，应当承担相应的法律责任。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本应作为无效投标处理或者有政府采购法律法规规章制度规定的中标无效情形的，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采购单位在取得有权主体的认定以后，将宣布发出的中标通知书无效，并收回发出的中标通知书（</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也应当缴回），依法重新确定</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或者重新开展采购活动。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red"/>
        </w:rPr>
      </w:pP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rPr>
        <w:t>中标公告发出后，中标供应商自行领取中标通知书的，可凭有效身份证明证件到天水市公共资源交易中心领取中标通知书。</w:t>
      </w: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孙丽文</w:t>
      </w:r>
      <w:r>
        <w:rPr>
          <w:rFonts w:hint="eastAsia" w:asciiTheme="minorEastAsia" w:hAnsiTheme="minorEastAsia" w:eastAsiaTheme="minorEastAsia" w:cstheme="minorEastAsia"/>
          <w:bCs/>
          <w:color w:val="auto"/>
          <w:sz w:val="24"/>
          <w:szCs w:val="24"/>
          <w:highlight w:val="none"/>
        </w:rPr>
        <w:t>，联系电话：0938-8330335</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85" w:name="_Toc4661"/>
      <w:bookmarkStart w:id="86" w:name="_Toc16292"/>
      <w:bookmarkStart w:id="87" w:name="_Toc28015"/>
      <w:bookmarkStart w:id="88" w:name="_Toc308164810"/>
      <w:bookmarkStart w:id="89" w:name="_Toc217446064"/>
      <w:bookmarkStart w:id="90" w:name="_Toc183682377"/>
      <w:bookmarkStart w:id="91" w:name="_Toc183582240"/>
      <w:r>
        <w:rPr>
          <w:rFonts w:hint="eastAsia" w:asciiTheme="minorEastAsia" w:hAnsiTheme="minorEastAsia" w:eastAsiaTheme="minorEastAsia" w:cstheme="minorEastAsia"/>
          <w:b w:val="0"/>
          <w:bCs/>
          <w:color w:val="auto"/>
          <w:sz w:val="24"/>
          <w:szCs w:val="24"/>
          <w:lang w:val="en-US" w:eastAsia="zh-CN"/>
        </w:rPr>
        <w:t>八、框架协议</w:t>
      </w:r>
      <w:r>
        <w:rPr>
          <w:rFonts w:hint="eastAsia" w:asciiTheme="minorEastAsia" w:hAnsiTheme="minorEastAsia" w:eastAsiaTheme="minorEastAsia" w:cstheme="minorEastAsia"/>
          <w:b w:val="0"/>
          <w:bCs/>
          <w:color w:val="auto"/>
          <w:sz w:val="24"/>
          <w:szCs w:val="24"/>
        </w:rPr>
        <w:t>合同</w:t>
      </w:r>
      <w:r>
        <w:rPr>
          <w:rFonts w:hint="eastAsia" w:asciiTheme="minorEastAsia" w:hAnsiTheme="minorEastAsia" w:eastAsiaTheme="minorEastAsia" w:cstheme="minorEastAsia"/>
          <w:b w:val="0"/>
          <w:bCs/>
          <w:color w:val="auto"/>
          <w:sz w:val="24"/>
          <w:szCs w:val="24"/>
          <w:lang w:val="en-US" w:eastAsia="zh-CN"/>
        </w:rPr>
        <w:t>及</w:t>
      </w:r>
      <w:r>
        <w:rPr>
          <w:rFonts w:hint="eastAsia" w:asciiTheme="minorEastAsia" w:hAnsiTheme="minorEastAsia" w:eastAsiaTheme="minorEastAsia" w:cstheme="minorEastAsia"/>
          <w:b w:val="0"/>
          <w:bCs/>
          <w:color w:val="auto"/>
          <w:sz w:val="24"/>
          <w:szCs w:val="24"/>
        </w:rPr>
        <w:t>验收</w:t>
      </w:r>
      <w:bookmarkEnd w:id="85"/>
      <w:bookmarkEnd w:id="86"/>
      <w:bookmarkEnd w:id="87"/>
      <w:bookmarkEnd w:id="88"/>
      <w:bookmarkEnd w:id="89"/>
      <w:bookmarkStart w:id="92" w:name="_Toc308164811"/>
      <w:bookmarkStart w:id="93" w:name="_Toc217446065"/>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val="0"/>
          <w:color w:val="auto"/>
          <w:sz w:val="24"/>
          <w:szCs w:val="24"/>
          <w:lang w:val="en-US" w:eastAsia="zh-CN"/>
        </w:rPr>
        <w:t>（一）签</w:t>
      </w:r>
      <w:r>
        <w:rPr>
          <w:rFonts w:hint="eastAsia" w:asciiTheme="minorEastAsia" w:hAnsiTheme="minorEastAsia" w:eastAsiaTheme="minorEastAsia" w:cstheme="minorEastAsia"/>
          <w:b/>
          <w:color w:val="auto"/>
          <w:sz w:val="24"/>
          <w:szCs w:val="24"/>
        </w:rPr>
        <w:t>订合同</w:t>
      </w:r>
      <w:bookmarkEnd w:id="92"/>
      <w:bookmarkEnd w:id="93"/>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应在中标通知书发出之日起</w:t>
      </w:r>
      <w:r>
        <w:rPr>
          <w:rFonts w:hint="eastAsia" w:asciiTheme="minorEastAsia" w:hAnsiTheme="minorEastAsia" w:eastAsiaTheme="minorEastAsia" w:cstheme="minorEastAsia"/>
          <w:color w:val="auto"/>
          <w:sz w:val="24"/>
          <w:szCs w:val="24"/>
          <w:lang w:val="en-US" w:eastAsia="zh-CN"/>
        </w:rPr>
        <w:t>三十日内</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。由于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的原因逾期未与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的，将视为放弃中标，取消其中标资格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并按照财政部令[2017]第87号第七十一条、第七十二条、第 七十三条规定进行处理。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不得向</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提出任何不合理的要求，作为签订合同的条件，不得与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私下订立背离合同实质性内容的任何协议，所签订的合同不得对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入围供应商征集响应文件</w:t>
      </w:r>
      <w:r>
        <w:rPr>
          <w:rFonts w:hint="eastAsia" w:asciiTheme="minorEastAsia" w:hAnsiTheme="minorEastAsia" w:eastAsiaTheme="minorEastAsia" w:cstheme="minorEastAsia"/>
          <w:color w:val="auto"/>
          <w:sz w:val="24"/>
          <w:szCs w:val="24"/>
        </w:rPr>
        <w:t>确定的事项进行修改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框架协议合同范本详见征集文件第六部分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（二）合</w:t>
      </w:r>
      <w:r>
        <w:rPr>
          <w:rFonts w:hint="eastAsia" w:asciiTheme="minorEastAsia" w:hAnsiTheme="minorEastAsia" w:eastAsiaTheme="minorEastAsia" w:cstheme="minorEastAsia"/>
          <w:b/>
          <w:color w:val="auto"/>
          <w:sz w:val="24"/>
          <w:szCs w:val="24"/>
        </w:rPr>
        <w:t>同分包</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未经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同意，</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不得采取分包方式履行合同</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（三）合同</w:t>
      </w:r>
      <w:r>
        <w:rPr>
          <w:rFonts w:hint="eastAsia" w:asciiTheme="minorEastAsia" w:hAnsiTheme="minorEastAsia" w:eastAsiaTheme="minorEastAsia" w:cstheme="minorEastAsia"/>
          <w:b/>
          <w:color w:val="auto"/>
          <w:sz w:val="24"/>
          <w:szCs w:val="24"/>
        </w:rPr>
        <w:t>转包（实质性要求）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本采购项目严禁</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将任何政府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义务转包。本项目所称转包，是指</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义务转让给第三人，并退出现有政府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当事人双方的权利义务关系，受让人（即第三人）成为政府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的另一方当事人的行为。</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转包的，视同拒绝履行政府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义务，将依法追究法律责任。</w:t>
      </w:r>
      <w:bookmarkStart w:id="94" w:name="_Toc217446066"/>
    </w:p>
    <w:bookmarkEnd w:id="94"/>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（四）补充合</w:t>
      </w:r>
      <w:r>
        <w:rPr>
          <w:rFonts w:hint="eastAsia" w:asciiTheme="minorEastAsia" w:hAnsiTheme="minorEastAsia" w:eastAsiaTheme="minorEastAsia" w:cstheme="minorEastAsia"/>
          <w:b/>
          <w:color w:val="auto"/>
          <w:sz w:val="24"/>
          <w:szCs w:val="24"/>
        </w:rPr>
        <w:t>同</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不在补充</w:t>
      </w:r>
      <w:r>
        <w:rPr>
          <w:rFonts w:hint="eastAsia" w:asciiTheme="minorEastAsia" w:hAnsiTheme="minorEastAsia" w:eastAsiaTheme="minorEastAsia" w:cstheme="minorEastAsia"/>
          <w:color w:val="auto"/>
          <w:sz w:val="24"/>
          <w:szCs w:val="24"/>
        </w:rPr>
        <w:t>签订合同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第二阶段采购人可以与第二阶段成交供应商签订补充合同，</w:t>
      </w:r>
      <w:r>
        <w:rPr>
          <w:rFonts w:hint="eastAsia" w:asciiTheme="minorEastAsia" w:hAnsiTheme="minorEastAsia" w:eastAsiaTheme="minorEastAsia" w:cstheme="minorEastAsia"/>
          <w:color w:val="auto"/>
          <w:sz w:val="24"/>
          <w:szCs w:val="24"/>
        </w:rPr>
        <w:t>但所有补充合同的采购金额不得超过</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原合同采购金额的百分之十，该补充合同应当在原政府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履行过程中，不得在原政府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履行结束后，且采购货物、工程和服务的名称、价格、履约方式、验收标准等必须与</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一致。</w:t>
      </w:r>
      <w:bookmarkStart w:id="95" w:name="_Toc217446069"/>
      <w:bookmarkStart w:id="96" w:name="_Toc308164813"/>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（五）合同公告</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签订（双方当事人均已签字盖章）之日起2个工作日内，将政府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在省级以上人民政府财政部门指定的媒体上公告（甘肃省政府采购网），但</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中涉及国家秘密、商业秘密的内容除外。</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（六）</w:t>
      </w:r>
      <w:r>
        <w:rPr>
          <w:rFonts w:hint="eastAsia" w:asciiTheme="minorEastAsia" w:hAnsiTheme="minorEastAsia" w:eastAsiaTheme="minorEastAsia" w:cstheme="minorEastAsia"/>
          <w:b/>
          <w:bCs w:val="0"/>
          <w:color w:val="auto"/>
          <w:sz w:val="24"/>
          <w:szCs w:val="24"/>
        </w:rPr>
        <w:t>合同备案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副本自签订之日起</w:t>
      </w:r>
      <w:r>
        <w:rPr>
          <w:rFonts w:hint="eastAsia" w:asciiTheme="minorEastAsia" w:hAnsiTheme="minorEastAsia" w:eastAsiaTheme="minorEastAsia" w:cstheme="minorEastAsia"/>
          <w:color w:val="auto"/>
          <w:sz w:val="24"/>
          <w:szCs w:val="24"/>
          <w:lang w:val="en-US" w:eastAsia="zh-CN"/>
        </w:rPr>
        <w:t>7个工作日内在天水市政府采购交易管理系统</w:t>
      </w:r>
      <w:r>
        <w:rPr>
          <w:rFonts w:hint="eastAsia" w:asciiTheme="minorEastAsia" w:hAnsiTheme="minorEastAsia" w:eastAsiaTheme="minorEastAsia" w:cstheme="minorEastAsia"/>
          <w:color w:val="auto"/>
          <w:sz w:val="24"/>
          <w:szCs w:val="24"/>
        </w:rPr>
        <w:t>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（七）</w:t>
      </w:r>
      <w:r>
        <w:rPr>
          <w:rFonts w:hint="eastAsia" w:asciiTheme="minorEastAsia" w:hAnsiTheme="minorEastAsia" w:eastAsiaTheme="minorEastAsia" w:cstheme="minorEastAsia"/>
          <w:b/>
          <w:bCs w:val="0"/>
          <w:color w:val="auto"/>
          <w:sz w:val="24"/>
          <w:szCs w:val="24"/>
        </w:rPr>
        <w:t>履行合同</w:t>
      </w:r>
      <w:bookmarkEnd w:id="95"/>
      <w:bookmarkEnd w:id="96"/>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签订合同后，合同双方应严格执行合同条款，履行合同规定的义务，保证合同的顺利完成。</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在合同履行过程中，如发生合同纠纷，合同双方应按照《合同法》的有关规定进行处理。</w:t>
      </w:r>
      <w:bookmarkEnd w:id="90"/>
      <w:bookmarkEnd w:id="9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（八）履约验收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本项目由实际采购人（天水市市级行政事业单位）</w:t>
      </w:r>
      <w:r>
        <w:rPr>
          <w:rFonts w:hint="eastAsia" w:asciiTheme="minorEastAsia" w:hAnsiTheme="minorEastAsia" w:eastAsiaTheme="minorEastAsia" w:cstheme="minorEastAsia"/>
          <w:color w:val="auto"/>
          <w:spacing w:val="4"/>
          <w:sz w:val="24"/>
          <w:szCs w:val="24"/>
        </w:rPr>
        <w:t>严格按照征集文件要求、入围供应商响应文件</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第一、二阶段狂阶协议合同要求</w:t>
      </w:r>
      <w:r>
        <w:rPr>
          <w:rFonts w:hint="eastAsia" w:asciiTheme="minorEastAsia" w:hAnsiTheme="minorEastAsia" w:eastAsiaTheme="minorEastAsia" w:cstheme="minorEastAsia"/>
          <w:color w:val="auto"/>
          <w:spacing w:val="4"/>
          <w:sz w:val="24"/>
          <w:szCs w:val="24"/>
        </w:rPr>
        <w:t>进行履约验</w:t>
      </w:r>
      <w:r>
        <w:rPr>
          <w:rFonts w:hint="eastAsia" w:asciiTheme="minorEastAsia" w:hAnsiTheme="minorEastAsia" w:eastAsiaTheme="minorEastAsia" w:cstheme="minorEastAsia"/>
          <w:color w:val="auto"/>
          <w:sz w:val="24"/>
          <w:szCs w:val="24"/>
        </w:rPr>
        <w:t>收，对于不按</w:t>
      </w:r>
      <w:r>
        <w:rPr>
          <w:rFonts w:hint="eastAsia" w:asciiTheme="minorEastAsia" w:hAnsiTheme="minorEastAsia" w:eastAsiaTheme="minorEastAsia" w:cstheme="minorEastAsia"/>
          <w:color w:val="auto"/>
          <w:sz w:val="24"/>
          <w:szCs w:val="24"/>
          <w:lang w:val="en-US" w:eastAsia="zh-CN"/>
        </w:rPr>
        <w:t>规定</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货物及伴随</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征集人</w:t>
      </w:r>
      <w:r>
        <w:rPr>
          <w:rFonts w:hint="eastAsia" w:asciiTheme="minorEastAsia" w:hAnsiTheme="minorEastAsia" w:eastAsiaTheme="minorEastAsia" w:cstheme="minorEastAsia"/>
          <w:color w:val="auto"/>
          <w:sz w:val="24"/>
          <w:szCs w:val="24"/>
          <w:lang w:val="en-US" w:eastAsia="zh-CN"/>
        </w:rPr>
        <w:t>将</w:t>
      </w:r>
      <w:r>
        <w:rPr>
          <w:rFonts w:hint="eastAsia" w:asciiTheme="minorEastAsia" w:hAnsiTheme="minorEastAsia" w:eastAsiaTheme="minorEastAsia" w:cstheme="minorEastAsia"/>
          <w:color w:val="auto"/>
          <w:sz w:val="24"/>
          <w:szCs w:val="24"/>
        </w:rPr>
        <w:t xml:space="preserve">不予接受，并解除合同，同时上报同级政府采购监督管理部门，按照政府采购法等相关法律法规的规定进行处罚。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color w:val="auto"/>
          <w:sz w:val="24"/>
          <w:szCs w:val="24"/>
        </w:rPr>
      </w:pPr>
      <w:bookmarkStart w:id="97" w:name="_Toc32070"/>
      <w:bookmarkStart w:id="98" w:name="_Toc29370"/>
      <w:bookmarkStart w:id="99" w:name="_Toc11757"/>
      <w:bookmarkStart w:id="100" w:name="_Toc8495"/>
      <w:bookmarkStart w:id="101" w:name="_Toc29897"/>
      <w:r>
        <w:rPr>
          <w:rFonts w:hint="eastAsia" w:asciiTheme="minorEastAsia" w:hAnsiTheme="minorEastAsia" w:eastAsiaTheme="minorEastAsia" w:cstheme="minorEastAsia"/>
          <w:b w:val="0"/>
          <w:bCs w:val="0"/>
          <w:color w:val="auto"/>
          <w:sz w:val="24"/>
          <w:szCs w:val="24"/>
          <w:lang w:val="en-US" w:eastAsia="zh-CN"/>
        </w:rPr>
        <w:t>九、</w:t>
      </w:r>
      <w:r>
        <w:rPr>
          <w:rFonts w:hint="eastAsia" w:asciiTheme="minorEastAsia" w:hAnsiTheme="minorEastAsia" w:eastAsiaTheme="minorEastAsia" w:cstheme="minorEastAsia"/>
          <w:b w:val="0"/>
          <w:bCs w:val="0"/>
          <w:color w:val="auto"/>
          <w:sz w:val="24"/>
          <w:szCs w:val="24"/>
        </w:rPr>
        <w:t>质疑与答复</w:t>
      </w:r>
      <w:bookmarkEnd w:id="97"/>
      <w:bookmarkEnd w:id="98"/>
      <w:bookmarkEnd w:id="99"/>
      <w:bookmarkEnd w:id="100"/>
      <w:bookmarkEnd w:id="101"/>
      <w:r>
        <w:rPr>
          <w:rFonts w:hint="eastAsia" w:asciiTheme="minorEastAsia" w:hAnsiTheme="minorEastAsia" w:eastAsiaTheme="minorEastAsia" w:cstheme="minorEastAsia"/>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综合说明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对政府采购活动事项有疑问的，可以向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应当及时予以答复，但答复的内容不得涉及商业秘密；</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认为征集文件、招标过程或中标结果使自己的权益受到损害的，可以在规定期限内，以书面形式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质疑函模板祥见中国政府采购网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提出质疑。</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质疑实行实名制，质疑应当有事实根据，不得进行虚假、恶意质疑，干扰政府采购正常的工作秩序。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应当在收到</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的书面质疑后</w:t>
      </w:r>
      <w:r>
        <w:rPr>
          <w:rFonts w:hint="eastAsia" w:asciiTheme="minorEastAsia" w:hAnsiTheme="minorEastAsia" w:eastAsiaTheme="minorEastAsia" w:cstheme="minorEastAsia"/>
          <w:color w:val="auto"/>
          <w:sz w:val="24"/>
          <w:szCs w:val="24"/>
          <w:lang w:val="en-US" w:eastAsia="zh-CN"/>
        </w:rPr>
        <w:t>7个工作日内</w:t>
      </w:r>
      <w:r>
        <w:rPr>
          <w:rFonts w:hint="eastAsia" w:asciiTheme="minorEastAsia" w:hAnsiTheme="minorEastAsia" w:eastAsiaTheme="minorEastAsia" w:cstheme="minorEastAsia"/>
          <w:color w:val="auto"/>
          <w:sz w:val="24"/>
          <w:szCs w:val="24"/>
        </w:rPr>
        <w:t xml:space="preserve">作出答复，但答复的内容不得涉及商业秘密。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val="0"/>
          <w:color w:val="auto"/>
          <w:sz w:val="24"/>
          <w:szCs w:val="24"/>
        </w:rPr>
      </w:pPr>
      <w:bookmarkStart w:id="102" w:name="_Toc11787"/>
      <w:bookmarkStart w:id="103" w:name="_Toc8492"/>
      <w:bookmarkStart w:id="104" w:name="_Toc19156"/>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质疑和答复的时限</w:t>
      </w:r>
      <w:bookmarkEnd w:id="102"/>
      <w:bookmarkEnd w:id="103"/>
      <w:bookmarkEnd w:id="104"/>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投标商对政府采购活动事项有疑问的，可以向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将在</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个工作日内作出答复。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若认为采购过程和中标结果使自己的权益受到损害，应当在下列时间内以书面形式向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提出：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关于征集文件的质疑，应在收到征集文件之日或者征集文件公告期限届满之日起</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关于采购过程的质疑，应在采购程序环节结束之日起</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关于中标结果的质疑，应在中标结果信息发布后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应当在收到供应商的书面质疑后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个工作日内作出答复</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提起质疑应当符合下列条件：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必须是参与被质疑项目的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必须在规定的质疑有效期内提起质疑；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政府采购监督管理部门规定的其他条件。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val="0"/>
          <w:color w:val="auto"/>
          <w:sz w:val="24"/>
          <w:szCs w:val="24"/>
        </w:rPr>
      </w:pPr>
      <w:bookmarkStart w:id="105" w:name="_Toc1000"/>
      <w:bookmarkStart w:id="106" w:name="_Toc27299"/>
      <w:bookmarkStart w:id="107" w:name="_Toc15444"/>
      <w:r>
        <w:rPr>
          <w:rFonts w:hint="eastAsia" w:asciiTheme="minorEastAsia" w:hAnsiTheme="minorEastAsia" w:eastAsiaTheme="minorEastAsia" w:cstheme="minorEastAsia"/>
          <w:b/>
          <w:bCs w:val="0"/>
          <w:color w:val="auto"/>
          <w:sz w:val="24"/>
          <w:szCs w:val="24"/>
          <w:lang w:val="en-US" w:eastAsia="zh-CN"/>
        </w:rPr>
        <w:t>（四）</w:t>
      </w:r>
      <w:r>
        <w:rPr>
          <w:rFonts w:hint="eastAsia" w:asciiTheme="minorEastAsia" w:hAnsiTheme="minorEastAsia" w:eastAsiaTheme="minorEastAsia" w:cstheme="minorEastAsia"/>
          <w:b/>
          <w:bCs/>
          <w:color w:val="auto"/>
          <w:sz w:val="24"/>
          <w:szCs w:val="24"/>
        </w:rPr>
        <w:t>质疑函的递交及地点</w:t>
      </w:r>
      <w:bookmarkEnd w:id="105"/>
      <w:bookmarkEnd w:id="106"/>
      <w:bookmarkEnd w:id="107"/>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质疑函应当包括下列主要内容：</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提起质疑的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名称、地址、邮编、联系人及联系电话；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质疑事项名称、编号；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具体、明确的质疑事项和与质疑事项相关的请求；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事实依据；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必要的法律依据；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提出质疑的日期。质疑函应当由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法定代表人或其授权的代理人签字并加盖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单位公章，质疑函由授权的代理人签字的应附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法定代表人委托授权书。质疑地点：（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质疑函的递交应当采取当面递交的形式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由法定代表人递交质疑函时，提供法定代表人身份证复印件；由授权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递交质疑函时，还须提供法人投标授权函和质疑授权函（均为原件）及被授权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的身份证复印件。身份证复印件须正反面清晰、有效，并要求由该身份证持有人在复印件正反面</w:t>
      </w:r>
      <w:r>
        <w:rPr>
          <w:rFonts w:hint="eastAsia" w:asciiTheme="minorEastAsia" w:hAnsiTheme="minorEastAsia" w:eastAsiaTheme="minorEastAsia" w:cstheme="minorEastAsia"/>
          <w:color w:val="auto"/>
          <w:spacing w:val="-4"/>
          <w:sz w:val="24"/>
          <w:szCs w:val="24"/>
        </w:rPr>
        <w:t>非空白位置注明“该复印件用于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XXX</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项目质疑使用”字样，并由身份证持有人签字确认。</w:t>
      </w:r>
      <w:r>
        <w:rPr>
          <w:rFonts w:hint="eastAsia" w:asciiTheme="minorEastAsia" w:hAnsiTheme="minorEastAsia" w:eastAsiaTheme="minorEastAsia" w:cstheme="minorEastAsia"/>
          <w:color w:val="auto"/>
          <w:sz w:val="24"/>
          <w:szCs w:val="24"/>
        </w:rPr>
        <w:t xml:space="preserve"> 上述资料均须加盖公章。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bookmarkStart w:id="108" w:name="_Toc14898"/>
      <w:bookmarkStart w:id="109" w:name="_Toc18113"/>
      <w:bookmarkStart w:id="110" w:name="_Toc11793"/>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或</w:t>
      </w:r>
      <w:r>
        <w:rPr>
          <w:rFonts w:hint="eastAsia" w:asciiTheme="minorEastAsia" w:hAnsiTheme="minorEastAsia" w:eastAsiaTheme="minorEastAsia" w:cstheme="minorEastAsia"/>
          <w:b w:val="0"/>
          <w:bCs/>
          <w:color w:val="auto"/>
          <w:sz w:val="24"/>
          <w:szCs w:val="24"/>
          <w:lang w:eastAsia="zh-CN"/>
        </w:rPr>
        <w:t>集采机构</w:t>
      </w:r>
      <w:r>
        <w:rPr>
          <w:rFonts w:hint="eastAsia" w:asciiTheme="minorEastAsia" w:hAnsiTheme="minorEastAsia" w:eastAsiaTheme="minorEastAsia" w:cstheme="minorEastAsia"/>
          <w:b w:val="0"/>
          <w:bCs/>
          <w:color w:val="auto"/>
          <w:sz w:val="24"/>
          <w:szCs w:val="24"/>
        </w:rPr>
        <w:t>收到质疑函后，应当向质疑供应商签收回执。</w:t>
      </w:r>
      <w:bookmarkEnd w:id="108"/>
      <w:bookmarkEnd w:id="109"/>
      <w:bookmarkEnd w:id="110"/>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pacing w:val="4"/>
          <w:sz w:val="24"/>
          <w:szCs w:val="24"/>
          <w:lang w:val="en-US" w:eastAsia="zh-CN"/>
        </w:rPr>
        <w:t>4.</w:t>
      </w:r>
      <w:r>
        <w:rPr>
          <w:rFonts w:hint="eastAsia" w:asciiTheme="minorEastAsia" w:hAnsiTheme="minorEastAsia" w:eastAsiaTheme="minorEastAsia" w:cstheme="minorEastAsia"/>
          <w:b w:val="0"/>
          <w:bCs/>
          <w:color w:val="auto"/>
          <w:spacing w:val="4"/>
          <w:sz w:val="24"/>
          <w:szCs w:val="24"/>
        </w:rPr>
        <w:t>质疑函格式按照</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中国政府采购网</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发布的</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政府采购</w:t>
      </w:r>
      <w:r>
        <w:rPr>
          <w:rFonts w:hint="eastAsia" w:asciiTheme="minorEastAsia" w:hAnsiTheme="minorEastAsia" w:eastAsiaTheme="minorEastAsia" w:cstheme="minorEastAsia"/>
          <w:b w:val="0"/>
          <w:bCs/>
          <w:color w:val="auto"/>
          <w:spacing w:val="4"/>
          <w:sz w:val="24"/>
          <w:szCs w:val="24"/>
          <w:lang w:eastAsia="zh-CN"/>
        </w:rPr>
        <w:t>供应商</w:t>
      </w:r>
      <w:r>
        <w:rPr>
          <w:rFonts w:hint="eastAsia" w:asciiTheme="minorEastAsia" w:hAnsiTheme="minorEastAsia" w:eastAsiaTheme="minorEastAsia" w:cstheme="minorEastAsia"/>
          <w:b w:val="0"/>
          <w:bCs/>
          <w:color w:val="auto"/>
          <w:spacing w:val="4"/>
          <w:sz w:val="24"/>
          <w:szCs w:val="24"/>
        </w:rPr>
        <w:t>质疑函范本</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z w:val="24"/>
          <w:szCs w:val="24"/>
        </w:rPr>
        <w:t>制作，请</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自行在</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中国政府采购网敁下载专区</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下载。</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color w:val="auto"/>
          <w:sz w:val="24"/>
          <w:szCs w:val="24"/>
        </w:rPr>
        <w:t>对供应商质疑的答复</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征集人或集采机构</w:t>
      </w:r>
      <w:r>
        <w:rPr>
          <w:rFonts w:hint="eastAsia" w:asciiTheme="minorEastAsia" w:hAnsiTheme="minorEastAsia" w:eastAsiaTheme="minorEastAsia" w:cstheme="minorEastAsia"/>
          <w:color w:val="auto"/>
          <w:sz w:val="24"/>
          <w:szCs w:val="24"/>
        </w:rPr>
        <w:t>应在收到质疑函</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个工作日内根据澄清或质疑函的具体内容相应作出答复或不予答复，答复内容不得涉及商业秘密。作出答复的将以书面形式通知提出澄清或质疑的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，或在指定媒体上予以公布。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递交质疑的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回函确认。未确认情况应当视为对质疑答复的知晓，也将视为对质疑答复内容接受的默认。对于未在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中对修改内容做实质性响应的，对其产生的不利因素由未确认者自行承担。同时</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可以酌情延长投标截止时间。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bCs/>
          <w:color w:val="auto"/>
          <w:sz w:val="24"/>
          <w:szCs w:val="24"/>
        </w:rPr>
      </w:pPr>
      <w:bookmarkStart w:id="111" w:name="_Toc16425"/>
      <w:bookmarkStart w:id="112" w:name="_Toc7076"/>
      <w:bookmarkStart w:id="113" w:name="_Toc1104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质疑不予受理的情况</w:t>
      </w:r>
      <w:bookmarkEnd w:id="111"/>
      <w:bookmarkEnd w:id="112"/>
      <w:bookmarkEnd w:id="11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有下列情形之一的，属于无效质疑，被质疑人不予受理，由此产生的影响由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自行承担：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不是参与该政府采购项目活动供应商的；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被质疑人为</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或政府</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之外的；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所有质疑事项超过质疑有效期的；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以具有法律效力的文书送达之外方式提出的；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未按上述规定递交澄清或质疑函的；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其它不符合受理条件的情形。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14" w:name="_Toc28266"/>
      <w:bookmarkStart w:id="115" w:name="_Toc10539"/>
      <w:bookmarkStart w:id="116" w:name="_Toc5697"/>
      <w:bookmarkStart w:id="117" w:name="_Toc586"/>
      <w:bookmarkStart w:id="118" w:name="_Toc19877"/>
      <w:r>
        <w:rPr>
          <w:rFonts w:hint="eastAsia" w:asciiTheme="minorEastAsia" w:hAnsiTheme="minorEastAsia" w:eastAsiaTheme="minorEastAsia" w:cstheme="minorEastAsia"/>
          <w:b w:val="0"/>
          <w:bCs/>
          <w:color w:val="auto"/>
          <w:sz w:val="24"/>
          <w:szCs w:val="24"/>
          <w:lang w:val="en-US" w:eastAsia="zh-CN"/>
        </w:rPr>
        <w:t>十、</w:t>
      </w:r>
      <w:r>
        <w:rPr>
          <w:rFonts w:hint="eastAsia" w:asciiTheme="minorEastAsia" w:hAnsiTheme="minorEastAsia" w:eastAsiaTheme="minorEastAsia" w:cstheme="minorEastAsia"/>
          <w:b w:val="0"/>
          <w:bCs/>
          <w:color w:val="auto"/>
          <w:sz w:val="24"/>
          <w:szCs w:val="24"/>
        </w:rPr>
        <w:t>投诉</w:t>
      </w:r>
      <w:bookmarkEnd w:id="114"/>
      <w:bookmarkEnd w:id="115"/>
      <w:bookmarkEnd w:id="116"/>
      <w:bookmarkEnd w:id="117"/>
      <w:bookmarkEnd w:id="118"/>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的答复不满意，或</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未在规定的期限作出答复的，可在答复期满后15</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z w:val="24"/>
          <w:szCs w:val="24"/>
        </w:rPr>
        <w:t>个工作日内，按政府采购相关法律法规规章的规定及程序，向财政部门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提出投诉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个工作日过后视为放弃投诉。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4"/>
          <w:sz w:val="24"/>
          <w:szCs w:val="24"/>
        </w:rPr>
        <w:t>投诉书递交地址及联系电话为征集文件中规定的政府采购监督管理部门单位地址</w:t>
      </w:r>
      <w:r>
        <w:rPr>
          <w:rFonts w:hint="eastAsia" w:asciiTheme="minorEastAsia" w:hAnsiTheme="minorEastAsia" w:eastAsiaTheme="minorEastAsia" w:cstheme="minorEastAsia"/>
          <w:b w:val="0"/>
          <w:bCs w:val="0"/>
          <w:color w:val="auto"/>
          <w:sz w:val="24"/>
          <w:szCs w:val="24"/>
        </w:rPr>
        <w:t xml:space="preserve">及联系电话。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rPr>
      </w:pPr>
      <w:bookmarkStart w:id="119" w:name="_Toc19130"/>
      <w:bookmarkStart w:id="120" w:name="_Toc19162"/>
      <w:bookmarkStart w:id="121" w:name="_Toc27146"/>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投诉书格式按照“中国政府采购网”发布的“政府采购</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投诉书范”制作，请</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自行在“中国政府采购网”</w:t>
      </w:r>
      <w:r>
        <w:rPr>
          <w:rFonts w:hint="eastAsia" w:asciiTheme="minorEastAsia" w:hAnsiTheme="minorEastAsia" w:eastAsiaTheme="minorEastAsia" w:cstheme="minorEastAsia"/>
          <w:b w:val="0"/>
          <w:bCs/>
          <w:color w:val="auto"/>
          <w:sz w:val="24"/>
          <w:szCs w:val="24"/>
        </w:rPr>
        <w:t>“下载专区”下载。</w:t>
      </w:r>
      <w:bookmarkEnd w:id="119"/>
      <w:bookmarkEnd w:id="120"/>
      <w:bookmarkEnd w:id="121"/>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22" w:name="_Toc23804"/>
      <w:bookmarkStart w:id="123" w:name="_Toc6383"/>
      <w:r>
        <w:rPr>
          <w:rFonts w:hint="eastAsia" w:asciiTheme="minorEastAsia" w:hAnsiTheme="minorEastAsia" w:eastAsiaTheme="minorEastAsia" w:cstheme="minorEastAsia"/>
          <w:b w:val="0"/>
          <w:bCs/>
          <w:color w:val="auto"/>
          <w:sz w:val="24"/>
          <w:szCs w:val="24"/>
          <w:lang w:val="en-US" w:eastAsia="zh-CN"/>
        </w:rPr>
        <w:t>十一、</w:t>
      </w:r>
      <w:r>
        <w:rPr>
          <w:rFonts w:hint="eastAsia" w:asciiTheme="minorEastAsia" w:hAnsiTheme="minorEastAsia" w:eastAsiaTheme="minorEastAsia" w:cstheme="minorEastAsia"/>
          <w:b w:val="0"/>
          <w:bCs/>
          <w:color w:val="auto"/>
          <w:sz w:val="24"/>
          <w:szCs w:val="24"/>
        </w:rPr>
        <w:t>入围供应商的清退和补充规则</w:t>
      </w:r>
      <w:bookmarkEnd w:id="122"/>
      <w:bookmarkEnd w:id="12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清退规则</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在下列情形下</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 xml:space="preserve">有权清退入围供应商，而不需要承担任何责任：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入围供应商实质性违反合同约定的；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入围供应商有违反合同约定或其职责、义务的行为，在</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指定期限内未予以纠正或补救的；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入围供应商资质吊销或注销的；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入围供应商泄漏委托方的秘密或与第三方串通损害</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利益的；由此造成的经济损失，咨询方应予赔偿；存在违法违规行为的，由相关部门进行处理；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针对项目审核时限、质量有权提出要求，由于入围供应商原因，项目审核时限超出委托时限或质量不合格的；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入围供应商与项目施工单位私下交易，接受财物、吃请等违纪行为经查实的；存在违法违规行为的，由相关部门进行处理；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入围供应商在审核过程中遇到争议问题时，不接受省、市、区级行业主管部门</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z w:val="24"/>
          <w:szCs w:val="24"/>
        </w:rPr>
        <w:t xml:space="preserve">调解意见的；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入围供应商在审核过程中将审核资料丢失的；由此造成的经济损失，入围供应商应予赔偿；存在违法违规行为的，由相关部门进行处理；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在入围供应商违约情形下，</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有权对本项目合同进行必要的变更。因入围供应商违约导致合同解除的，入围供应商应按本项目正常计算酬金的</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20%支付违约金。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入围供应商提供服务时，需按委托人要求时限完成，无正当理由，未按时完成的将解除合同。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单位存在串通、欺骗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行为的；由此造成的经济损失，入围供应商应予赔偿；存在违法违规行为的，由相关部门进行处理；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pacing w:val="-5"/>
          <w:sz w:val="24"/>
          <w:szCs w:val="24"/>
        </w:rPr>
        <w:t>故意刁难</w:t>
      </w:r>
      <w:r>
        <w:rPr>
          <w:rFonts w:hint="eastAsia" w:asciiTheme="minorEastAsia" w:hAnsiTheme="minorEastAsia" w:eastAsiaTheme="minorEastAsia" w:cstheme="minorEastAsia"/>
          <w:color w:val="auto"/>
          <w:spacing w:val="-5"/>
          <w:sz w:val="24"/>
          <w:szCs w:val="24"/>
          <w:lang w:val="en-US" w:eastAsia="zh-CN"/>
        </w:rPr>
        <w:t>项目</w:t>
      </w:r>
      <w:r>
        <w:rPr>
          <w:rFonts w:hint="eastAsia" w:asciiTheme="minorEastAsia" w:hAnsiTheme="minorEastAsia" w:eastAsiaTheme="minorEastAsia" w:cstheme="minorEastAsia"/>
          <w:color w:val="auto"/>
          <w:spacing w:val="-5"/>
          <w:sz w:val="24"/>
          <w:szCs w:val="24"/>
        </w:rPr>
        <w:t>单位，故意拖延咨询时间，或者进行其它违规行为谋取非法利益，</w:t>
      </w:r>
      <w:r>
        <w:rPr>
          <w:rFonts w:hint="eastAsia" w:asciiTheme="minorEastAsia" w:hAnsiTheme="minorEastAsia" w:eastAsiaTheme="minorEastAsia" w:cstheme="minorEastAsia"/>
          <w:color w:val="auto"/>
          <w:sz w:val="24"/>
          <w:szCs w:val="24"/>
        </w:rPr>
        <w:t>经查实的，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将有权终止合同，追缴非法所得；存在违法违规行为的，由相关部门进行处理；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执行纠错机制，即因咨询项目结果存在较大争议，相关单位提出投诉，并确认入围供应商为责任方的，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有权终止合同。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确定入围供应商后，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对入围供应商提供的人员名单、注册证明、执业资格、人事关系、业绩材料等相关资料到相关部门进行核实，如投标文件存在虚假情况，则取消中标候选人的中标资格，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 xml:space="preserve">如遇到政策变化或者其他不可抗力因素，本协议自动解除。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pacing w:val="-5"/>
          <w:sz w:val="24"/>
          <w:szCs w:val="24"/>
        </w:rPr>
        <w:t>补充规则</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1.除剩余入围供应商不足入围供应商总数70%且影响框架协议执行的情形外，框架协议有效期内，征集人不再补充征集供应商。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征集人补充征集供应商的，补充征集规则应当在框架协议中约定，补充征集的条件、程序、评审方法和淘汰比例应当与本次征集相同。补充征集应当遵守原框架协议的有效期。补充征集期间，原框架协议继续履行。</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124" w:name="_Toc8364"/>
      <w:bookmarkStart w:id="125" w:name="_Toc27135"/>
      <w:bookmarkStart w:id="126" w:name="_Toc21045"/>
      <w:bookmarkStart w:id="127" w:name="_Toc27093"/>
      <w:bookmarkStart w:id="128" w:name="_Toc24821"/>
      <w:r>
        <w:rPr>
          <w:rFonts w:hint="eastAsia" w:asciiTheme="minorEastAsia" w:hAnsiTheme="minorEastAsia" w:eastAsiaTheme="minorEastAsia" w:cstheme="minorEastAsia"/>
          <w:b w:val="0"/>
          <w:bCs w:val="0"/>
          <w:color w:val="auto"/>
          <w:sz w:val="24"/>
          <w:szCs w:val="24"/>
          <w:lang w:val="en-US" w:eastAsia="zh-CN"/>
        </w:rPr>
        <w:t>十二、</w:t>
      </w:r>
      <w:r>
        <w:rPr>
          <w:rFonts w:hint="eastAsia" w:asciiTheme="minorEastAsia" w:hAnsiTheme="minorEastAsia" w:eastAsiaTheme="minorEastAsia" w:cstheme="minorEastAsia"/>
          <w:b w:val="0"/>
          <w:bCs w:val="0"/>
          <w:color w:val="auto"/>
          <w:sz w:val="24"/>
          <w:szCs w:val="24"/>
        </w:rPr>
        <w:t>招标代理费</w:t>
      </w:r>
      <w:bookmarkEnd w:id="124"/>
      <w:bookmarkEnd w:id="125"/>
      <w:bookmarkEnd w:id="126"/>
      <w:bookmarkEnd w:id="127"/>
      <w:bookmarkEnd w:id="12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本征集项目不收取招标代理费用。</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129" w:name="_Toc31170"/>
      <w:bookmarkStart w:id="130" w:name="_Toc23292"/>
      <w:bookmarkStart w:id="131" w:name="_Toc1269"/>
      <w:bookmarkStart w:id="132" w:name="_Toc675"/>
      <w:r>
        <w:rPr>
          <w:rFonts w:hint="eastAsia" w:asciiTheme="minorEastAsia" w:hAnsiTheme="minorEastAsia" w:eastAsiaTheme="minorEastAsia" w:cstheme="minorEastAsia"/>
          <w:b w:val="0"/>
          <w:bCs/>
          <w:color w:val="auto"/>
          <w:sz w:val="24"/>
          <w:szCs w:val="24"/>
          <w:lang w:val="en-US" w:eastAsia="zh-CN"/>
        </w:rPr>
        <w:t>入围产品升级换代规则</w:t>
      </w:r>
      <w:bookmarkEnd w:id="129"/>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供应商第一阶段入围后，在质量不降低、价格不提高的前提下，入围供应商可以因部分维修产品升级换代等原因用新产品替代原入围产品，但所升级换代产品应当报财政部门备案。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33" w:name="_Toc21446"/>
      <w:bookmarkStart w:id="134" w:name="_Toc31037"/>
      <w:bookmarkStart w:id="135" w:name="_Toc19212"/>
      <w:r>
        <w:rPr>
          <w:rFonts w:hint="eastAsia" w:asciiTheme="minorEastAsia" w:hAnsiTheme="minorEastAsia" w:eastAsiaTheme="minorEastAsia" w:cstheme="minorEastAsia"/>
          <w:b w:val="0"/>
          <w:bCs/>
          <w:color w:val="auto"/>
          <w:sz w:val="24"/>
          <w:szCs w:val="24"/>
          <w:lang w:val="en-US" w:eastAsia="zh-CN"/>
        </w:rPr>
        <w:t>十四、</w:t>
      </w:r>
      <w:r>
        <w:rPr>
          <w:rFonts w:hint="eastAsia" w:asciiTheme="minorEastAsia" w:hAnsiTheme="minorEastAsia" w:eastAsiaTheme="minorEastAsia" w:cstheme="minorEastAsia"/>
          <w:b w:val="0"/>
          <w:bCs/>
          <w:color w:val="auto"/>
          <w:sz w:val="24"/>
          <w:szCs w:val="24"/>
        </w:rPr>
        <w:t>特殊情形的规定</w:t>
      </w:r>
      <w:bookmarkEnd w:id="133"/>
      <w:bookmarkEnd w:id="134"/>
      <w:bookmarkEnd w:id="135"/>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特殊情形是指：在规定的投标截止时间递交</w:t>
      </w:r>
      <w:r>
        <w:rPr>
          <w:rFonts w:hint="eastAsia" w:asciiTheme="minorEastAsia" w:hAnsiTheme="minorEastAsia" w:eastAsiaTheme="minorEastAsia" w:cstheme="minorEastAsia"/>
          <w:color w:val="auto"/>
          <w:spacing w:val="-3"/>
          <w:sz w:val="24"/>
          <w:szCs w:val="24"/>
          <w:lang w:eastAsia="zh-CN"/>
        </w:rPr>
        <w:t>征集响应文件</w:t>
      </w:r>
      <w:r>
        <w:rPr>
          <w:rFonts w:hint="eastAsia" w:asciiTheme="minorEastAsia" w:hAnsiTheme="minorEastAsia" w:eastAsiaTheme="minorEastAsia" w:cstheme="minorEastAsia"/>
          <w:color w:val="auto"/>
          <w:spacing w:val="-3"/>
          <w:sz w:val="24"/>
          <w:szCs w:val="24"/>
        </w:rPr>
        <w:t>或者经评审实质性响应征</w:t>
      </w:r>
      <w:r>
        <w:rPr>
          <w:rFonts w:hint="eastAsia" w:asciiTheme="minorEastAsia" w:hAnsiTheme="minorEastAsia" w:eastAsiaTheme="minorEastAsia" w:cstheme="minorEastAsia"/>
          <w:color w:val="auto"/>
          <w:sz w:val="24"/>
          <w:szCs w:val="24"/>
        </w:rPr>
        <w:t xml:space="preserve">集文件要求的供应商不足入围供应商数量上限的情形。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根据中华人民共和国财政部令第</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110</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号《政府采购框架协议采购方式管理暂</w:t>
      </w:r>
      <w:r>
        <w:rPr>
          <w:rFonts w:hint="eastAsia" w:asciiTheme="minorEastAsia" w:hAnsiTheme="minorEastAsia" w:eastAsiaTheme="minorEastAsia" w:cstheme="minorEastAsia"/>
          <w:color w:val="auto"/>
          <w:spacing w:val="-3"/>
          <w:sz w:val="24"/>
          <w:szCs w:val="24"/>
        </w:rPr>
        <w:t>行办法》第二十七条的规定，确定第一阶段入围供应商时，提交响应文件</w:t>
      </w:r>
      <w:r>
        <w:rPr>
          <w:rFonts w:hint="eastAsia" w:asciiTheme="minorEastAsia" w:hAnsiTheme="minorEastAsia" w:eastAsiaTheme="minorEastAsia" w:cstheme="minorEastAsia"/>
          <w:color w:val="auto"/>
          <w:spacing w:val="-3"/>
          <w:sz w:val="24"/>
          <w:szCs w:val="24"/>
          <w:lang w:val="en-US" w:eastAsia="zh-CN"/>
        </w:rPr>
        <w:t>且</w:t>
      </w:r>
      <w:r>
        <w:rPr>
          <w:rFonts w:hint="eastAsia" w:asciiTheme="minorEastAsia" w:hAnsiTheme="minorEastAsia" w:eastAsiaTheme="minorEastAsia" w:cstheme="minorEastAsia"/>
          <w:color w:val="auto"/>
          <w:spacing w:val="-3"/>
          <w:sz w:val="24"/>
          <w:szCs w:val="24"/>
        </w:rPr>
        <w:t>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z w:val="24"/>
          <w:szCs w:val="24"/>
        </w:rPr>
        <w:t>应不少于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家，淘汰比例不低于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20%，且至少淘汰一家供应商。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公开招标数额标准以上的采购项目，投标截止后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不足入围供应商数量</w:t>
      </w:r>
      <w:r>
        <w:rPr>
          <w:rFonts w:hint="eastAsia" w:asciiTheme="minorEastAsia" w:hAnsiTheme="minorEastAsia" w:eastAsiaTheme="minorEastAsia" w:cstheme="minorEastAsia"/>
          <w:color w:val="auto"/>
          <w:spacing w:val="-3"/>
          <w:sz w:val="24"/>
          <w:szCs w:val="24"/>
        </w:rPr>
        <w:t>上限或者通过资格审查或符合性审查的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不足入围供应商数量上限的，除采购任务</w:t>
      </w:r>
      <w:r>
        <w:rPr>
          <w:rFonts w:hint="eastAsia" w:asciiTheme="minorEastAsia" w:hAnsiTheme="minorEastAsia" w:eastAsiaTheme="minorEastAsia" w:cstheme="minorEastAsia"/>
          <w:color w:val="auto"/>
          <w:sz w:val="24"/>
          <w:szCs w:val="24"/>
        </w:rPr>
        <w:t xml:space="preserve">取消情形外，按照以下方式处理：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征集文件存在不合理条款或者招标程序不符合规定的，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改正后依法重新</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4"/>
          <w:szCs w:val="24"/>
          <w:lang w:val="en-US" w:eastAsia="zh-CN"/>
        </w:rPr>
        <w:t>2.</w:t>
      </w:r>
      <w:r>
        <w:rPr>
          <w:rFonts w:hint="eastAsia" w:asciiTheme="minorEastAsia" w:hAnsiTheme="minorEastAsia" w:eastAsiaTheme="minorEastAsia" w:cstheme="minorEastAsia"/>
          <w:color w:val="auto"/>
          <w:spacing w:val="-3"/>
          <w:sz w:val="24"/>
          <w:szCs w:val="24"/>
        </w:rPr>
        <w:t>征集文件没有不合理条款、招标程序符合规定，需要采用其他采购方式采购的，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应当依法报财政部门批准。</w:t>
      </w:r>
      <w:r>
        <w:rPr>
          <w:rFonts w:hint="eastAsia" w:asciiTheme="minorEastAsia" w:hAnsiTheme="minorEastAsia" w:eastAsiaTheme="minorEastAsia" w:cstheme="minorEastAsia"/>
          <w:b/>
          <w:color w:val="auto"/>
          <w:w w:val="99"/>
          <w:sz w:val="24"/>
          <w:szCs w:val="24"/>
        </w:rPr>
        <w:t xml:space="preserve"> </w:t>
      </w:r>
      <w:bookmarkEnd w:id="132"/>
      <w:bookmarkStart w:id="136" w:name="_Toc3053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十五、其他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天水市财政局和天水市公共资源交易中心将建立用户反馈和评价机制，接受采购人对入围供应商履约框架协议和采购合同情况的反馈与评价，并将用户反馈和评价情况在天水市政府采购交易管理系统向采购人公开，作为第二阶段直接选定成交供应商的参考。</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37" w:name="_Toc31039"/>
      <w:r>
        <w:rPr>
          <w:rFonts w:hint="eastAsia" w:asciiTheme="minorEastAsia" w:hAnsiTheme="minorEastAsia" w:eastAsiaTheme="minorEastAsia" w:cstheme="minorEastAsia"/>
          <w:b/>
          <w:bCs/>
          <w:color w:val="auto"/>
          <w:sz w:val="44"/>
          <w:szCs w:val="44"/>
          <w:shd w:val="clear" w:color="auto" w:fill="auto"/>
          <w:lang w:val="en-US" w:eastAsia="zh-CN"/>
        </w:rPr>
        <w:t>第四部分 采购需求</w:t>
      </w:r>
      <w:bookmarkEnd w:id="137"/>
    </w:p>
    <w:p>
      <w:pPr>
        <w:keepNext w:val="0"/>
        <w:keepLines w:val="0"/>
        <w:pageBreakBefore w:val="0"/>
        <w:widowControl w:val="0"/>
        <w:kinsoku/>
        <w:overflowPunct/>
        <w:topLinePunct w:val="0"/>
        <w:bidi w:val="0"/>
        <w:spacing w:before="0" w:beforeLines="0" w:after="0" w:afterLines="0" w:line="420" w:lineRule="exact"/>
        <w:ind w:firstLine="480" w:firstLineChars="200"/>
        <w:jc w:val="both"/>
        <w:textAlignment w:val="auto"/>
        <w:rPr>
          <w:rFonts w:hint="eastAsia" w:ascii="宋体" w:hAnsi="宋体"/>
          <w:color w:val="auto"/>
          <w:sz w:val="24"/>
        </w:rPr>
      </w:pPr>
      <w:bookmarkStart w:id="138" w:name="_Toc369249053"/>
      <w:bookmarkStart w:id="139" w:name="_Toc20261"/>
      <w:r>
        <w:rPr>
          <w:rFonts w:hint="eastAsia" w:ascii="宋体" w:hAnsi="宋体"/>
          <w:color w:val="auto"/>
          <w:sz w:val="24"/>
        </w:rPr>
        <w:t xml:space="preserve">一、 </w:t>
      </w:r>
      <w:bookmarkEnd w:id="138"/>
      <w:r>
        <w:rPr>
          <w:rFonts w:hint="default" w:ascii="宋体" w:hAnsi="宋体"/>
          <w:snapToGrid/>
          <w:sz w:val="24"/>
        </w:rPr>
        <w:t>总体要求</w:t>
      </w:r>
    </w:p>
    <w:p>
      <w:pPr>
        <w:keepNext w:val="0"/>
        <w:keepLines w:val="0"/>
        <w:pageBreakBefore w:val="0"/>
        <w:widowControl w:val="0"/>
        <w:numPr>
          <w:ilvl w:val="0"/>
          <w:numId w:val="0"/>
        </w:numPr>
        <w:kinsoku/>
        <w:overflowPunct/>
        <w:topLinePunct w:val="0"/>
        <w:bidi w:val="0"/>
        <w:spacing w:line="420" w:lineRule="exact"/>
        <w:ind w:firstLine="480" w:firstLineChars="200"/>
        <w:textAlignment w:val="auto"/>
        <w:rPr>
          <w:rFonts w:hint="eastAsia" w:ascii="宋体" w:hAnsi="宋体"/>
          <w:color w:val="auto"/>
        </w:rPr>
      </w:pPr>
      <w:r>
        <w:rPr>
          <w:rFonts w:hint="default" w:ascii="宋体" w:hAnsi="宋体"/>
          <w:snapToGrid/>
          <w:sz w:val="24"/>
        </w:rPr>
        <w:t>通过本次车辆定点协议供货政府采购项目，根据</w:t>
      </w:r>
      <w:r>
        <w:rPr>
          <w:rFonts w:hint="eastAsia" w:ascii="宋体" w:hAnsi="宋体"/>
          <w:snapToGrid/>
          <w:sz w:val="24"/>
          <w:lang w:eastAsia="zh-CN"/>
        </w:rPr>
        <w:t>天水市</w:t>
      </w:r>
      <w:r>
        <w:rPr>
          <w:rFonts w:hint="default" w:ascii="宋体" w:hAnsi="宋体"/>
          <w:snapToGrid/>
          <w:sz w:val="24"/>
        </w:rPr>
        <w:t>公务用车需求，按照公务用车配备标准，确定中标品牌型号等内容，实现资源共享，促进公平竞争，发挥规模效益，降低采购成本，提高采购效率，最大程度满足采购单位需求</w:t>
      </w:r>
      <w:r>
        <w:rPr>
          <w:rFonts w:hint="eastAsia" w:ascii="宋体" w:hAnsi="宋体"/>
          <w:snapToGrid/>
          <w:sz w:val="24"/>
          <w:lang w:eastAsia="zh-CN"/>
        </w:rPr>
        <w:t>。</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0" w:name="_Toc28154"/>
      <w:bookmarkStart w:id="141" w:name="_Toc8544"/>
      <w:r>
        <w:rPr>
          <w:rFonts w:hint="default" w:ascii="宋体" w:hAnsi="宋体"/>
          <w:snapToGrid/>
          <w:sz w:val="24"/>
        </w:rPr>
        <w:t>★2、适用范围</w:t>
      </w:r>
      <w:bookmarkEnd w:id="140"/>
      <w:bookmarkEnd w:id="141"/>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2" w:name="_Toc15407"/>
      <w:bookmarkStart w:id="143" w:name="_Toc1531"/>
      <w:r>
        <w:rPr>
          <w:rFonts w:hint="default" w:ascii="宋体" w:hAnsi="宋体"/>
          <w:snapToGrid/>
          <w:sz w:val="24"/>
        </w:rPr>
        <w:t>1、采购单位：</w:t>
      </w:r>
      <w:r>
        <w:rPr>
          <w:rFonts w:hint="eastAsia" w:ascii="宋体" w:hAnsi="宋体"/>
          <w:snapToGrid/>
          <w:sz w:val="24"/>
          <w:lang w:eastAsia="zh-CN"/>
        </w:rPr>
        <w:t>天水市</w:t>
      </w:r>
      <w:r>
        <w:rPr>
          <w:rFonts w:hint="default" w:ascii="宋体" w:hAnsi="宋体"/>
          <w:snapToGrid/>
          <w:sz w:val="24"/>
        </w:rPr>
        <w:t>党政机关、事业单位。</w:t>
      </w:r>
      <w:bookmarkEnd w:id="142"/>
      <w:bookmarkEnd w:id="143"/>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4" w:name="_Toc27749"/>
      <w:bookmarkStart w:id="145" w:name="_Toc8612"/>
      <w:r>
        <w:rPr>
          <w:rFonts w:hint="default" w:ascii="宋体" w:hAnsi="宋体"/>
          <w:snapToGrid/>
          <w:sz w:val="24"/>
        </w:rPr>
        <w:t>2、所投产品应为列入国家相关部门车辆生产企业及产品公告的，并满足国家及 甘肃省行政区域现行有效的汽车排放标准要求的且适用于政府采购的车辆。</w:t>
      </w:r>
      <w:bookmarkEnd w:id="144"/>
      <w:bookmarkEnd w:id="145"/>
      <w:r>
        <w:rPr>
          <w:rFonts w:hint="default" w:ascii="宋体" w:hAnsi="宋体"/>
          <w:snapToGrid/>
          <w:sz w:val="24"/>
        </w:rPr>
        <w:t xml:space="preserve"> </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6" w:name="_Toc4337"/>
      <w:bookmarkStart w:id="147" w:name="_Toc9332"/>
      <w:r>
        <w:rPr>
          <w:rFonts w:hint="default" w:ascii="宋体" w:hAnsi="宋体"/>
          <w:snapToGrid/>
          <w:sz w:val="24"/>
        </w:rPr>
        <w:t>★3、服务期限 服务期限：</w:t>
      </w:r>
      <w:r>
        <w:rPr>
          <w:rFonts w:hint="eastAsia" w:ascii="宋体" w:hAnsi="宋体"/>
          <w:snapToGrid/>
          <w:sz w:val="24"/>
          <w:lang w:val="en-US" w:eastAsia="zh-CN"/>
        </w:rPr>
        <w:t>1</w:t>
      </w:r>
      <w:r>
        <w:rPr>
          <w:rFonts w:hint="default" w:ascii="宋体" w:hAnsi="宋体"/>
          <w:snapToGrid/>
          <w:sz w:val="24"/>
        </w:rPr>
        <w:t xml:space="preserve"> 年。</w:t>
      </w:r>
      <w:bookmarkEnd w:id="146"/>
      <w:bookmarkEnd w:id="147"/>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8" w:name="_Toc5792"/>
      <w:bookmarkStart w:id="149" w:name="_Toc24609"/>
      <w:r>
        <w:rPr>
          <w:rFonts w:hint="default" w:ascii="宋体" w:hAnsi="宋体"/>
          <w:snapToGrid/>
          <w:sz w:val="24"/>
        </w:rPr>
        <w:t>★4、报价要求</w:t>
      </w:r>
      <w:bookmarkEnd w:id="148"/>
      <w:bookmarkEnd w:id="149"/>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0" w:name="_Toc12154"/>
      <w:bookmarkStart w:id="151" w:name="_Toc21442"/>
      <w:r>
        <w:rPr>
          <w:rFonts w:hint="default" w:ascii="宋体" w:hAnsi="宋体"/>
          <w:snapToGrid/>
          <w:sz w:val="24"/>
        </w:rPr>
        <w:t>（1）协议供货价格和实际采购价格，均应包括销售价格及运输至采购单位指定 地点的装运费等费用，并实行零公里提车（送货距离除外）。</w:t>
      </w:r>
      <w:bookmarkEnd w:id="150"/>
      <w:bookmarkEnd w:id="151"/>
      <w:r>
        <w:rPr>
          <w:rFonts w:hint="default" w:ascii="宋体" w:hAnsi="宋体"/>
          <w:snapToGrid/>
          <w:sz w:val="24"/>
        </w:rPr>
        <w:t xml:space="preserve"> </w:t>
      </w:r>
    </w:p>
    <w:p>
      <w:pPr>
        <w:keepNext w:val="0"/>
        <w:keepLines w:val="0"/>
        <w:pageBreakBefore w:val="0"/>
        <w:widowControl w:val="0"/>
        <w:numPr>
          <w:ilvl w:val="0"/>
          <w:numId w:val="9"/>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2" w:name="_Toc3618"/>
      <w:bookmarkStart w:id="153" w:name="_Toc31069"/>
      <w:r>
        <w:rPr>
          <w:rFonts w:hint="default" w:ascii="宋体" w:hAnsi="宋体"/>
          <w:snapToGrid/>
          <w:sz w:val="24"/>
        </w:rPr>
        <w:t>投标人承诺投标车型协议供货报价不得高于该车型在甘肃市场同期的任何 非政府采购价格及市场零售价。</w:t>
      </w:r>
      <w:bookmarkEnd w:id="152"/>
      <w:bookmarkEnd w:id="15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4" w:name="_Toc27067"/>
      <w:bookmarkStart w:id="155" w:name="_Toc16835"/>
      <w:r>
        <w:rPr>
          <w:rFonts w:hint="default" w:ascii="宋体" w:hAnsi="宋体"/>
          <w:snapToGrid/>
          <w:sz w:val="24"/>
        </w:rPr>
        <w:t>（3）协议供货价格为采购单位执行协议供货采购时的最高限价。</w:t>
      </w:r>
      <w:bookmarkEnd w:id="154"/>
      <w:bookmarkEnd w:id="15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6" w:name="_Toc19587"/>
      <w:bookmarkStart w:id="157" w:name="_Toc22272"/>
      <w:r>
        <w:rPr>
          <w:rFonts w:hint="default" w:ascii="宋体" w:hAnsi="宋体"/>
          <w:snapToGrid/>
          <w:sz w:val="24"/>
        </w:rPr>
        <w:t>★5、服务要求</w:t>
      </w:r>
      <w:bookmarkEnd w:id="156"/>
      <w:bookmarkEnd w:id="157"/>
      <w:r>
        <w:rPr>
          <w:rFonts w:hint="default" w:ascii="宋体" w:hAnsi="宋体"/>
          <w:snapToGrid/>
          <w:sz w:val="24"/>
        </w:rPr>
        <w:t xml:space="preserve"> </w:t>
      </w:r>
    </w:p>
    <w:p>
      <w:pPr>
        <w:keepNext w:val="0"/>
        <w:keepLines w:val="0"/>
        <w:pageBreakBefore w:val="0"/>
        <w:widowControl w:val="0"/>
        <w:numPr>
          <w:ilvl w:val="0"/>
          <w:numId w:val="1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8" w:name="_Toc27163"/>
      <w:bookmarkStart w:id="159" w:name="_Toc16948"/>
      <w:r>
        <w:rPr>
          <w:rFonts w:hint="default" w:ascii="宋体" w:hAnsi="宋体"/>
          <w:snapToGrid/>
          <w:sz w:val="24"/>
        </w:rPr>
        <w:t>具有完善的供货渠道，同时具有专业维修服务机构（专业维修服务机 构须具有汽车维修行业管理部门核发的《道路运输经营许可证》的汽车维修资质），具备质量“三包”措施，配有较强的技术队伍，提供快速的售后服务响应。</w:t>
      </w:r>
      <w:bookmarkEnd w:id="158"/>
      <w:bookmarkEnd w:id="159"/>
    </w:p>
    <w:p>
      <w:pPr>
        <w:keepNext w:val="0"/>
        <w:keepLines w:val="0"/>
        <w:pageBreakBefore w:val="0"/>
        <w:widowControl w:val="0"/>
        <w:kinsoku/>
        <w:overflowPunct/>
        <w:topLinePunct w:val="0"/>
        <w:bidi w:val="0"/>
        <w:spacing w:beforeLines="0" w:afterLines="0" w:line="420" w:lineRule="exact"/>
        <w:ind w:firstLine="480" w:firstLineChars="200"/>
        <w:jc w:val="left"/>
        <w:textAlignment w:val="auto"/>
        <w:rPr>
          <w:rFonts w:hint="eastAsia" w:ascii="宋体" w:hAnsi="宋体" w:eastAsia="宋体"/>
          <w:color w:val="0C0C0C"/>
          <w:sz w:val="24"/>
        </w:rPr>
      </w:pPr>
      <w:r>
        <w:rPr>
          <w:rFonts w:hint="eastAsia" w:ascii="宋体" w:hAnsi="宋体" w:eastAsia="宋体"/>
          <w:color w:val="0C0C0C"/>
          <w:sz w:val="24"/>
        </w:rPr>
        <w:t>投标人自有维修服务机构的须提供：维修服务机构所具有的汽车维修行业管</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理部门核发的《道路运输经营许可证》的汽车维修资质（复印件）。投标人委托</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维修服务机构的须提供：被委托维修服务机构所具有的汽车维修行业管理部门核</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发的《道路运输经营许可证》的汽车维修资质（复印件）、被委托维修服务机构</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bookmarkStart w:id="160" w:name="_Toc6648"/>
      <w:bookmarkStart w:id="161" w:name="_Toc20163"/>
      <w:r>
        <w:rPr>
          <w:rFonts w:hint="eastAsia" w:ascii="宋体" w:hAnsi="宋体" w:eastAsia="宋体"/>
          <w:color w:val="0C0C0C"/>
          <w:sz w:val="24"/>
        </w:rPr>
        <w:t>的营业执照（复印件）、委托协议书或委托合同（复印件）。</w:t>
      </w:r>
      <w:bookmarkEnd w:id="160"/>
      <w:bookmarkEnd w:id="16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w:t>
      </w:r>
      <w:bookmarkStart w:id="162" w:name="_Toc17300"/>
      <w:bookmarkStart w:id="163" w:name="_Toc28500"/>
      <w:r>
        <w:rPr>
          <w:rFonts w:hint="default" w:ascii="宋体" w:hAnsi="宋体"/>
          <w:snapToGrid/>
          <w:sz w:val="24"/>
        </w:rPr>
        <w:t>（2）投标供应商提供的投标产品质保期和质保里程，不得低于投标产品生产厂 家向社会公布和提供的质保期和质保里程。</w:t>
      </w:r>
      <w:bookmarkEnd w:id="162"/>
      <w:bookmarkEnd w:id="16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bookmarkStart w:id="164" w:name="_Toc952"/>
      <w:bookmarkStart w:id="165" w:name="_Toc18100"/>
      <w:r>
        <w:rPr>
          <w:rFonts w:hint="default" w:ascii="宋体" w:hAnsi="宋体"/>
          <w:snapToGrid/>
          <w:sz w:val="24"/>
        </w:rPr>
        <w:t>（3）本项目须配备协议供货总协调人（协议供货总协调人必须由投标人在职人 员担任，须提供总协调人在投标供应商单位缴纳社保的证明材料）。协议供货有效期内，如总协调人信息发生变化的，协议供货总协调人须向本项目采购人提出 书面申请，经审核同意后进行调整。协议供货总协调人全权负责车辆中标后咨询、 签订和执行合同、履行售后服务承诺和接受投诉等事项。提供的总协调人信息、 售后服务网点信息必须明确（包括联系电话、传真和电子邮件信息）。</w:t>
      </w:r>
      <w:bookmarkEnd w:id="164"/>
      <w:bookmarkEnd w:id="16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6" w:name="_Toc18898"/>
      <w:bookmarkStart w:id="167" w:name="_Toc31435"/>
      <w:r>
        <w:rPr>
          <w:rFonts w:hint="default" w:ascii="宋体" w:hAnsi="宋体"/>
          <w:snapToGrid/>
          <w:sz w:val="24"/>
        </w:rPr>
        <w:t>（4）中标结果将在甘肃政府采购网站上公布，供采购单位查询。</w:t>
      </w:r>
      <w:bookmarkEnd w:id="166"/>
      <w:bookmarkEnd w:id="167"/>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8" w:name="_Toc27552"/>
      <w:bookmarkStart w:id="169" w:name="_Toc16272"/>
      <w:r>
        <w:rPr>
          <w:rFonts w:hint="default" w:ascii="宋体" w:hAnsi="宋体"/>
          <w:snapToGrid/>
          <w:sz w:val="24"/>
        </w:rPr>
        <w:t>（5）协议供货期内，中标人应在其中标产品停产、升级、新车型替代原有中标车型、配置或价格等中标信息发生变化的第一时间通知本项目采购人，最晚不超过 3 个工作日。本项目采购人将对变更后的信息进行审核，修改原有中标产品信息不得降低技术要求和参数配置，调整后该车型优惠率须不低于中标时优惠率， 其他不调整事项仍执行中标时相关承诺。</w:t>
      </w:r>
      <w:bookmarkEnd w:id="168"/>
      <w:bookmarkEnd w:id="169"/>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0" w:name="_Toc16852"/>
      <w:bookmarkStart w:id="171" w:name="_Toc28690"/>
      <w:r>
        <w:rPr>
          <w:rFonts w:hint="default" w:ascii="宋体" w:hAnsi="宋体"/>
          <w:snapToGrid/>
          <w:sz w:val="24"/>
        </w:rPr>
        <w:t>（6）中标产品在特定时间举办的促销活动或实施优惠政策，甘肃省省级各采购单位有权参加其促销活动、享受其优惠政策。</w:t>
      </w:r>
      <w:bookmarkEnd w:id="170"/>
      <w:bookmarkEnd w:id="17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2" w:name="_Toc4759"/>
      <w:bookmarkStart w:id="173" w:name="_Toc11837"/>
      <w:r>
        <w:rPr>
          <w:rFonts w:hint="default" w:ascii="宋体" w:hAnsi="宋体"/>
          <w:snapToGrid/>
          <w:sz w:val="24"/>
        </w:rPr>
        <w:t>（7）中标供应商应在承诺的供货时间内将车辆交付至采购单位指定地点，并配合采购单位做好车辆的验收、保险、上牌等工作，无正当理由不得拒付或延迟交付中标车辆。</w:t>
      </w:r>
      <w:bookmarkEnd w:id="172"/>
      <w:bookmarkEnd w:id="173"/>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4" w:name="_Toc4907"/>
      <w:bookmarkStart w:id="175" w:name="_Toc8346"/>
      <w:r>
        <w:rPr>
          <w:rFonts w:hint="default" w:ascii="宋体" w:hAnsi="宋体"/>
          <w:snapToGrid/>
          <w:sz w:val="24"/>
        </w:rPr>
        <w:t>（8）中标供应商不得以政府采购公务用车为理由，降低中标车辆的配置标准。</w:t>
      </w:r>
      <w:bookmarkEnd w:id="174"/>
      <w:bookmarkEnd w:id="17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6" w:name="_Toc12793"/>
      <w:bookmarkStart w:id="177" w:name="_Toc12073"/>
      <w:r>
        <w:rPr>
          <w:rFonts w:hint="default" w:ascii="宋体" w:hAnsi="宋体"/>
          <w:snapToGrid/>
          <w:sz w:val="24"/>
        </w:rPr>
        <w:t>（9）中标供应商应加强日常管理和服务标准，对车辆性能参数不能做虚假宣传。</w:t>
      </w:r>
      <w:bookmarkEnd w:id="176"/>
      <w:bookmarkEnd w:id="177"/>
      <w:r>
        <w:rPr>
          <w:rFonts w:hint="default" w:ascii="宋体" w:hAnsi="宋体"/>
          <w:snapToGrid/>
          <w:sz w:val="24"/>
        </w:rPr>
        <w:t xml:space="preserve"> </w:t>
      </w:r>
    </w:p>
    <w:p>
      <w:pPr>
        <w:keepNext w:val="0"/>
        <w:keepLines w:val="0"/>
        <w:pageBreakBefore w:val="0"/>
        <w:widowControl w:val="0"/>
        <w:tabs>
          <w:tab w:val="left" w:pos="0"/>
        </w:tabs>
        <w:kinsoku/>
        <w:overflowPunct/>
        <w:topLinePunct w:val="0"/>
        <w:bidi w:val="0"/>
        <w:spacing w:line="420" w:lineRule="exact"/>
        <w:ind w:left="315" w:leftChars="150" w:firstLine="241" w:firstLineChars="100"/>
        <w:textAlignment w:val="auto"/>
        <w:rPr>
          <w:rFonts w:hint="eastAsia" w:ascii="宋体" w:hAnsi="宋体"/>
          <w:b/>
          <w:bCs/>
          <w:snapToGrid/>
          <w:sz w:val="24"/>
          <w:lang w:val="en-US" w:eastAsia="zh-CN"/>
        </w:rPr>
      </w:pPr>
      <w:r>
        <w:rPr>
          <w:rFonts w:hint="default" w:ascii="宋体" w:hAnsi="宋体"/>
          <w:b/>
          <w:bCs/>
          <w:snapToGrid/>
          <w:sz w:val="24"/>
        </w:rPr>
        <w:t>★6、车辆要求</w:t>
      </w:r>
      <w:r>
        <w:rPr>
          <w:rFonts w:hint="eastAsia" w:ascii="宋体" w:hAnsi="宋体"/>
          <w:b/>
          <w:bCs/>
          <w:snapToGrid/>
          <w:sz w:val="24"/>
          <w:lang w:val="en-US" w:eastAsia="zh-CN"/>
        </w:rPr>
        <w:t>及最高限价</w:t>
      </w:r>
    </w:p>
    <w:p>
      <w:pPr>
        <w:pStyle w:val="2"/>
        <w:rPr>
          <w:rFonts w:hint="eastAsia" w:ascii="宋体" w:hAnsi="宋体"/>
          <w:snapToGrid/>
          <w:sz w:val="24"/>
          <w:lang w:val="en-US" w:eastAsia="zh-CN"/>
        </w:rPr>
      </w:pPr>
    </w:p>
    <w:p>
      <w:pPr>
        <w:pStyle w:val="3"/>
        <w:rPr>
          <w:rFonts w:hint="eastAsia" w:ascii="宋体" w:hAnsi="宋体"/>
          <w:snapToGrid/>
          <w:sz w:val="24"/>
          <w:lang w:val="en-US" w:eastAsia="zh-CN"/>
        </w:rPr>
      </w:pPr>
    </w:p>
    <w:p>
      <w:pPr>
        <w:rPr>
          <w:rFonts w:hint="eastAsia" w:ascii="宋体" w:hAnsi="宋体"/>
          <w:snapToGrid/>
          <w:sz w:val="24"/>
          <w:lang w:val="en-US" w:eastAsia="zh-CN"/>
        </w:rPr>
      </w:pPr>
    </w:p>
    <w:tbl>
      <w:tblPr>
        <w:tblStyle w:val="39"/>
        <w:tblpPr w:leftFromText="180" w:rightFromText="180" w:vertAnchor="text" w:horzAnchor="page" w:tblpX="1021" w:tblpY="172"/>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9"/>
        <w:gridCol w:w="2036"/>
        <w:gridCol w:w="1159"/>
        <w:gridCol w:w="255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b/>
                <w:bCs/>
                <w:color w:val="auto"/>
                <w:sz w:val="24"/>
                <w:szCs w:val="30"/>
                <w:vertAlign w:val="baseline"/>
                <w:lang w:eastAsia="zh-CN"/>
              </w:rPr>
              <w:t>最高限价</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eastAsia="zh-CN"/>
              </w:rPr>
            </w:pPr>
            <w:r>
              <w:rPr>
                <w:rFonts w:hint="eastAsia" w:ascii="宋体" w:hAnsi="宋体"/>
                <w:color w:val="auto"/>
                <w:sz w:val="24"/>
                <w:szCs w:val="30"/>
                <w:vertAlign w:val="baseline"/>
                <w:lang w:eastAsia="zh-CN"/>
              </w:rPr>
              <w:t>范围</w:t>
            </w:r>
          </w:p>
        </w:tc>
        <w:tc>
          <w:tcPr>
            <w:tcW w:w="23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snapToGrid/>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r>
              <w:rPr>
                <w:rFonts w:hint="default" w:ascii="宋体" w:hAnsi="宋体"/>
                <w:snapToGrid/>
                <w:sz w:val="24"/>
              </w:rPr>
              <w:t>机要通信用车、应急保障用车和其他按照规定配备的公务用车</w:t>
            </w:r>
          </w:p>
        </w:tc>
        <w:tc>
          <w:tcPr>
            <w:tcW w:w="2325"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r>
              <w:rPr>
                <w:rFonts w:hint="default" w:ascii="宋体" w:hAnsi="宋体"/>
                <w:snapToGrid/>
                <w:sz w:val="24"/>
              </w:rPr>
              <w:t>2厢</w:t>
            </w:r>
            <w:r>
              <w:rPr>
                <w:rFonts w:hint="eastAsia" w:ascii="宋体" w:hAnsi="宋体"/>
                <w:snapToGrid/>
                <w:sz w:val="24"/>
                <w:lang w:eastAsia="zh-CN"/>
              </w:rPr>
              <w:t>车</w:t>
            </w:r>
            <w:r>
              <w:rPr>
                <w:rFonts w:hint="default" w:ascii="宋体" w:hAnsi="宋体"/>
                <w:snapToGrid/>
                <w:sz w:val="24"/>
              </w:rPr>
              <w:t>不予接受认可</w:t>
            </w:r>
            <w:r>
              <w:rPr>
                <w:rFonts w:hint="eastAsia" w:ascii="宋体" w:hAnsi="宋体"/>
                <w:snapToGrid/>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eastAsia="宋体"/>
                <w:snapToGrid/>
                <w:sz w:val="24"/>
                <w:lang w:eastAsia="zh-CN"/>
              </w:rPr>
            </w:pPr>
            <w:r>
              <w:rPr>
                <w:rFonts w:hint="eastAsia" w:ascii="宋体" w:hAnsi="宋体"/>
                <w:snapToGrid/>
                <w:sz w:val="24"/>
                <w:lang w:eastAsia="zh-CN"/>
              </w:rPr>
              <w:t>确因情况特殊</w:t>
            </w:r>
          </w:p>
        </w:tc>
        <w:tc>
          <w:tcPr>
            <w:tcW w:w="2325" w:type="dxa"/>
            <w:vMerge w:val="restart"/>
            <w:noWrap w:val="0"/>
            <w:vAlign w:val="top"/>
          </w:tcPr>
          <w:p>
            <w:pPr>
              <w:spacing w:beforeLines="0" w:afterLines="0"/>
              <w:jc w:val="left"/>
              <w:rPr>
                <w:rFonts w:hint="eastAsia" w:ascii="宋体" w:hAnsi="宋体" w:eastAsia="宋体"/>
                <w:color w:val="auto"/>
                <w:sz w:val="24"/>
                <w:szCs w:val="30"/>
                <w:vertAlign w:val="baseline"/>
                <w:lang w:eastAsia="zh-CN"/>
              </w:rPr>
            </w:pPr>
            <w:r>
              <w:rPr>
                <w:rFonts w:hint="eastAsia" w:ascii="宋体" w:hAnsi="宋体" w:eastAsia="宋体"/>
                <w:color w:val="0C0C0C"/>
                <w:sz w:val="24"/>
              </w:rPr>
              <w:t>油电混合及其他新能源类型不予接受认可</w:t>
            </w:r>
            <w:r>
              <w:rPr>
                <w:rFonts w:hint="eastAsia" w:ascii="宋体" w:hAnsi="宋体" w:eastAsia="宋体"/>
                <w:color w:val="0C0C0C"/>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noWrap w:val="0"/>
            <w:vAlign w:val="top"/>
            <mc:AlternateContent>
              <mc:Choice Requires="wpsCustomData">
                <wpsCustomData:diagonals>
                  <wpsCustomData:diagonal from="0" to="20000">
                    <wpsCustomData:border w:val="single" w:color="auto" w:sz="4" w:space="0"/>
                  </wpsCustomData:diagonal>
                </wpsCustomData:diagonals>
              </mc:Choice>
            </mc:AlternateContent>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outlineLvl w:val="9"/>
              <mc:AlternateContent>
                <mc:Choice Requires="wpsCustomData">
                  <wpsCustomData:diagonalParaType/>
                </mc:Choice>
              </mc:AlternateContent>
              <w:rPr>
                <w:rFonts w:hint="default" w:ascii="宋体" w:hAnsi="宋体"/>
                <w:snapToGrid/>
                <w:sz w:val="24"/>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spacing w:line="360" w:lineRule="auto"/>
        <w:jc w:val="left"/>
        <w:rPr>
          <w:rFonts w:hint="eastAsia" w:ascii="宋体" w:hAnsi="宋体" w:eastAsia="宋体"/>
          <w:snapToGrid/>
          <w:sz w:val="24"/>
          <w:lang w:val="en-US" w:eastAsia="zh-CN"/>
        </w:rPr>
      </w:pPr>
      <w:r>
        <w:rPr>
          <w:rFonts w:hint="eastAsia" w:ascii="宋体" w:hAnsi="宋体"/>
          <w:snapToGrid/>
          <w:sz w:val="24"/>
          <w:lang w:val="en-US" w:eastAsia="zh-CN"/>
        </w:rPr>
        <w:t>备注：招标车价不包含车辆改色及搭载设备等。</w:t>
      </w:r>
      <w:r>
        <w:rPr>
          <w:rFonts w:hint="eastAsia" w:ascii="宋体" w:hAnsi="宋体"/>
          <w:color w:val="auto"/>
          <w:sz w:val="24"/>
          <w:szCs w:val="30"/>
          <w:vertAlign w:val="baseline"/>
          <w:lang w:eastAsia="zh-CN"/>
        </w:rPr>
        <w:t>救护车总价为：</w:t>
      </w:r>
      <w:r>
        <w:rPr>
          <w:rFonts w:hint="eastAsia" w:ascii="宋体" w:hAnsi="宋体" w:eastAsia="宋体"/>
          <w:sz w:val="24"/>
        </w:rPr>
        <w:t>底盘车</w:t>
      </w:r>
      <w:r>
        <w:rPr>
          <w:rFonts w:hint="eastAsia" w:ascii="宋体" w:hAnsi="宋体" w:eastAsia="宋体"/>
          <w:sz w:val="24"/>
          <w:lang w:eastAsia="zh-CN"/>
        </w:rPr>
        <w:t>价+车载设备价。</w:t>
      </w: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numPr>
          <w:ilvl w:val="0"/>
          <w:numId w:val="0"/>
        </w:numPr>
        <w:spacing w:line="360" w:lineRule="auto"/>
        <w:jc w:val="center"/>
        <w:outlineLvl w:val="1"/>
        <w:rPr>
          <w:rFonts w:hint="eastAsia" w:ascii="宋体" w:hAnsi="宋体" w:eastAsia="宋体"/>
          <w:b/>
          <w:color w:val="auto"/>
          <w:sz w:val="44"/>
          <w:szCs w:val="44"/>
          <w:lang w:eastAsia="zh-CN"/>
        </w:rPr>
      </w:pPr>
      <w:bookmarkStart w:id="178" w:name="_Toc10526"/>
      <w:bookmarkStart w:id="179" w:name="_Toc27961"/>
      <w:r>
        <w:rPr>
          <w:rFonts w:hint="eastAsia" w:ascii="宋体" w:hAnsi="宋体"/>
          <w:b/>
          <w:color w:val="auto"/>
          <w:sz w:val="44"/>
          <w:szCs w:val="44"/>
          <w:lang w:eastAsia="zh-CN"/>
        </w:rPr>
        <w:t>技术要求</w:t>
      </w:r>
      <w:bookmarkEnd w:id="178"/>
      <w:bookmarkEnd w:id="179"/>
    </w:p>
    <w:p>
      <w:pPr>
        <w:rPr>
          <w:rFonts w:hint="eastAsia"/>
        </w:rPr>
      </w:pPr>
    </w:p>
    <w:p>
      <w:pPr>
        <w:pStyle w:val="3"/>
        <w:rPr>
          <w:rFonts w:hint="eastAsia"/>
        </w:rPr>
      </w:pPr>
      <w:r>
        <w:rPr>
          <w:rFonts w:hint="eastAsia"/>
          <w:lang w:val="en-US" w:eastAsia="zh-CN"/>
        </w:rPr>
        <w:t>第七包</w:t>
      </w:r>
      <w:r>
        <w:rPr>
          <w:rFonts w:hint="eastAsia"/>
        </w:rPr>
        <w:t>：</w:t>
      </w:r>
    </w:p>
    <w:p>
      <w:pPr>
        <w:pStyle w:val="3"/>
        <w:rPr>
          <w:rFonts w:hint="eastAsia"/>
          <w:lang w:val="en-US" w:eastAsia="zh-CN"/>
        </w:rPr>
      </w:pPr>
      <w:r>
        <w:rPr>
          <w:rFonts w:hint="eastAsia"/>
        </w:rPr>
        <w:t>小型客车：</w:t>
      </w:r>
      <w:r>
        <w:rPr>
          <w:rFonts w:hint="eastAsia"/>
          <w:lang w:eastAsia="zh-CN"/>
        </w:rPr>
        <w:t>救护底盘车</w:t>
      </w:r>
      <w:r>
        <w:rPr>
          <w:rFonts w:hint="eastAsia"/>
          <w:lang w:val="en-US" w:eastAsia="zh-CN"/>
        </w:rPr>
        <w:t xml:space="preserve">                              最高限价：25万元</w:t>
      </w:r>
    </w:p>
    <w:p>
      <w:pPr>
        <w:rPr>
          <w:rFonts w:hint="default"/>
          <w:lang w:val="en-US" w:eastAsia="zh-C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主要技术性能参数</w:t>
            </w:r>
          </w:p>
        </w:tc>
        <w:tc>
          <w:tcPr>
            <w:tcW w:w="5805"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采购规格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 xml:space="preserve">车辆型号/结构 </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lang w:eastAsia="zh-CN"/>
              </w:rPr>
              <w:t>中型客车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lang w:val="en-US" w:eastAsia="zh-CN"/>
              </w:rPr>
              <w:t>排放标准</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发动机排量(L)</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lang w:val="en-US" w:eastAsia="zh-CN"/>
              </w:rPr>
              <w:t>3.0</w:t>
            </w:r>
            <w:r>
              <w:rPr>
                <w:rFonts w:hint="eastAsia" w:asciiTheme="minorEastAsia" w:hAnsiTheme="minorEastAsia" w:eastAsiaTheme="minorEastAsia" w:cstheme="minorEastAsia"/>
                <w:snapToGrid/>
                <w:sz w:val="24"/>
                <w:vertAlign w:val="baseline"/>
              </w:rPr>
              <w:t>L（含）以下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燃料形式</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rPr>
              <w:t>汽油</w:t>
            </w:r>
            <w:r>
              <w:rPr>
                <w:rFonts w:hint="eastAsia" w:asciiTheme="minorEastAsia" w:hAnsiTheme="minorEastAsia" w:eastAsiaTheme="minorEastAsia" w:cstheme="minorEastAsia"/>
                <w:snapToGrid/>
                <w:sz w:val="24"/>
                <w:vertAlign w:val="baseline"/>
                <w:lang w:eastAsia="zh-CN"/>
              </w:rPr>
              <w:t>或柴油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变速箱类型</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rPr>
              <w:t>自动</w:t>
            </w:r>
            <w:r>
              <w:rPr>
                <w:rFonts w:hint="eastAsia" w:asciiTheme="minorEastAsia" w:hAnsiTheme="minorEastAsia" w:eastAsiaTheme="minorEastAsia" w:cstheme="minorEastAsia"/>
                <w:snapToGrid/>
                <w:sz w:val="24"/>
                <w:vertAlign w:val="baseline"/>
                <w:lang w:eastAsia="zh-CN"/>
              </w:rPr>
              <w:t>或手动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WLTC 综合油耗（L/100km）</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rPr>
              <w:t>车身长</w:t>
            </w:r>
            <w:r>
              <w:rPr>
                <w:rFonts w:hint="eastAsia" w:asciiTheme="minorEastAsia" w:hAnsiTheme="minorEastAsia" w:eastAsiaTheme="minorEastAsia" w:cstheme="minorEastAsia"/>
                <w:snapToGrid/>
                <w:sz w:val="24"/>
                <w:vertAlign w:val="baseline"/>
                <w:lang w:eastAsia="zh-CN"/>
              </w:rPr>
              <w:t>宽高</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≥4</w:t>
            </w:r>
            <w:r>
              <w:rPr>
                <w:rFonts w:hint="eastAsia" w:asciiTheme="minorEastAsia" w:hAnsiTheme="minorEastAsia" w:eastAsiaTheme="minorEastAsia" w:cstheme="minorEastAsia"/>
                <w:snapToGrid/>
                <w:sz w:val="24"/>
                <w:vertAlign w:val="baseline"/>
                <w:lang w:val="en-US" w:eastAsia="zh-CN"/>
              </w:rPr>
              <w:t>340</w:t>
            </w:r>
            <w:r>
              <w:rPr>
                <w:rFonts w:hint="eastAsia" w:asciiTheme="minorEastAsia" w:hAnsiTheme="minorEastAsia" w:eastAsiaTheme="minorEastAsia" w:cstheme="minorEastAsia"/>
                <w:snapToGrid/>
                <w:sz w:val="24"/>
                <w:vertAlign w:val="baseline"/>
              </w:rPr>
              <w:t>mm</w:t>
            </w:r>
            <w:r>
              <w:rPr>
                <w:rFonts w:hint="eastAsia" w:asciiTheme="minorEastAsia" w:hAnsiTheme="minorEastAsia" w:eastAsiaTheme="minorEastAsia" w:cstheme="minorEastAsia"/>
                <w:snapToGrid/>
                <w:sz w:val="24"/>
                <w:vertAlign w:val="baseline"/>
                <w:lang w:val="en-US" w:eastAsia="zh-CN"/>
              </w:rPr>
              <w:t>X1980mmX2470mm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lang w:val="en-US" w:eastAsia="zh-CN"/>
              </w:rPr>
              <w:t>医疗仓</w:t>
            </w:r>
            <w:r>
              <w:rPr>
                <w:rFonts w:hint="eastAsia" w:asciiTheme="minorEastAsia" w:hAnsiTheme="minorEastAsia" w:eastAsiaTheme="minorEastAsia" w:cstheme="minorEastAsia"/>
                <w:snapToGrid/>
                <w:sz w:val="24"/>
                <w:vertAlign w:val="baseline"/>
              </w:rPr>
              <w:t>长</w:t>
            </w:r>
            <w:r>
              <w:rPr>
                <w:rFonts w:hint="eastAsia" w:asciiTheme="minorEastAsia" w:hAnsiTheme="minorEastAsia" w:eastAsiaTheme="minorEastAsia" w:cstheme="minorEastAsia"/>
                <w:snapToGrid/>
                <w:sz w:val="24"/>
                <w:vertAlign w:val="baseline"/>
                <w:lang w:eastAsia="zh-CN"/>
              </w:rPr>
              <w:t>宽高</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2620</w:t>
            </w:r>
            <w:r>
              <w:rPr>
                <w:rFonts w:hint="eastAsia" w:asciiTheme="minorEastAsia" w:hAnsiTheme="minorEastAsia" w:eastAsiaTheme="minorEastAsia" w:cstheme="minorEastAsia"/>
                <w:snapToGrid/>
                <w:sz w:val="24"/>
                <w:vertAlign w:val="baseline"/>
              </w:rPr>
              <w:t>mm</w:t>
            </w:r>
            <w:r>
              <w:rPr>
                <w:rFonts w:hint="eastAsia" w:asciiTheme="minorEastAsia" w:hAnsiTheme="minorEastAsia" w:eastAsiaTheme="minorEastAsia" w:cstheme="minorEastAsia"/>
                <w:snapToGrid/>
                <w:sz w:val="24"/>
                <w:vertAlign w:val="baseline"/>
                <w:lang w:val="en-US" w:eastAsia="zh-CN"/>
              </w:rPr>
              <w:t>X1700mmX1740mm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轴距(mm)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3</w:t>
            </w:r>
            <w:r>
              <w:rPr>
                <w:rFonts w:hint="eastAsia" w:asciiTheme="minorEastAsia" w:hAnsiTheme="minorEastAsia" w:eastAsiaTheme="minorEastAsia" w:cstheme="minorEastAsia"/>
                <w:snapToGrid/>
                <w:sz w:val="24"/>
                <w:vertAlign w:val="baseline"/>
                <w:lang w:val="en-US" w:eastAsia="zh-CN"/>
              </w:rPr>
              <w:t>0</w:t>
            </w:r>
            <w:r>
              <w:rPr>
                <w:rFonts w:hint="eastAsia" w:asciiTheme="minorEastAsia" w:hAnsiTheme="minorEastAsia" w:eastAsiaTheme="minorEastAsia" w:cstheme="minorEastAsia"/>
                <w:snapToGrid/>
                <w:sz w:val="24"/>
                <w:vertAlign w:val="baseline"/>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座位数</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val="en-US" w:eastAsia="zh-CN"/>
              </w:rPr>
              <w:t>8</w:t>
            </w:r>
            <w:r>
              <w:rPr>
                <w:rFonts w:hint="eastAsia" w:asciiTheme="minorEastAsia" w:hAnsiTheme="minorEastAsia" w:eastAsiaTheme="minorEastAsia" w:cstheme="minorEastAsia"/>
                <w:snapToGrid/>
                <w:sz w:val="24"/>
                <w:vertAlign w:val="baseline"/>
              </w:rPr>
              <w:t>座</w:t>
            </w:r>
            <w:r>
              <w:rPr>
                <w:rFonts w:hint="eastAsia" w:asciiTheme="minorEastAsia" w:hAnsiTheme="minorEastAsia" w:eastAsiaTheme="minorEastAsia" w:cstheme="minorEastAsia"/>
                <w:snapToGrid/>
                <w:sz w:val="24"/>
                <w:vertAlign w:val="baseline"/>
                <w:lang w:eastAsia="zh-CN"/>
              </w:rPr>
              <w:t>以上（含担架人员）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发动机最大功率（kW）</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发动机最大扭矩（N·m））</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主/被动安全配置</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前排正面安全气囊，ABS 防抱死，制动力分配(EBD/CBC等)，刹车辅助(EBA/BAS/BA 等)，车身稳定控制(ESP/DSC/ESC等)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灯光配置</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LED 近光灯光源，LED 远光灯光源，LED 日间行</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车灯，自适应远近光，自动头灯，车前雾灯，大</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灯高度可调，大灯延时关闭。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eastAsia="zh-CN"/>
              </w:rPr>
              <w:t>整车质保</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车辆验收合格后≥</w:t>
            </w:r>
            <w:r>
              <w:rPr>
                <w:rFonts w:hint="eastAsia" w:asciiTheme="minorEastAsia" w:hAnsiTheme="minorEastAsia" w:eastAsiaTheme="minorEastAsia" w:cstheme="minorEastAsia"/>
                <w:snapToGrid/>
                <w:sz w:val="24"/>
                <w:vertAlign w:val="baseline"/>
                <w:lang w:val="en-US" w:eastAsia="zh-CN"/>
              </w:rPr>
              <w:t>3</w:t>
            </w:r>
            <w:r>
              <w:rPr>
                <w:rFonts w:hint="eastAsia" w:asciiTheme="minorEastAsia" w:hAnsiTheme="minorEastAsia" w:eastAsiaTheme="minorEastAsia" w:cstheme="minorEastAsia"/>
                <w:snapToGrid/>
                <w:sz w:val="24"/>
                <w:vertAlign w:val="baseline"/>
              </w:rPr>
              <w:t>年或行驶公里数≥</w:t>
            </w:r>
            <w:r>
              <w:rPr>
                <w:rFonts w:hint="eastAsia" w:asciiTheme="minorEastAsia" w:hAnsiTheme="minorEastAsia" w:eastAsiaTheme="minorEastAsia" w:cstheme="minorEastAsia"/>
                <w:snapToGrid/>
                <w:sz w:val="24"/>
                <w:vertAlign w:val="baseline"/>
                <w:lang w:val="en-US" w:eastAsia="zh-CN"/>
              </w:rPr>
              <w:t>6</w:t>
            </w:r>
            <w:r>
              <w:rPr>
                <w:rFonts w:hint="eastAsia" w:asciiTheme="minorEastAsia" w:hAnsiTheme="minorEastAsia" w:eastAsiaTheme="minorEastAsia" w:cstheme="minorEastAsia"/>
                <w:snapToGrid/>
                <w:sz w:val="24"/>
                <w:vertAlign w:val="baseline"/>
              </w:rPr>
              <w:t>万公</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里（先到为准），首保免费</w:t>
            </w:r>
          </w:p>
        </w:tc>
      </w:tr>
    </w:tbl>
    <w:p>
      <w:pPr>
        <w:spacing w:line="360" w:lineRule="exact"/>
        <w:ind w:firstLine="480" w:firstLineChars="200"/>
        <w:rPr>
          <w:rFonts w:hint="default" w:ascii="宋体" w:hAnsi="宋体"/>
          <w:snapToGrid/>
          <w:sz w:val="24"/>
        </w:rPr>
      </w:pPr>
      <w:r>
        <w:rPr>
          <w:rFonts w:hint="default" w:ascii="宋体" w:hAnsi="宋体"/>
          <w:snapToGrid/>
          <w:sz w:val="24"/>
        </w:rPr>
        <w:t xml:space="preserve">投标人需提供：上述投标车辆在工信部车辆公告证明文件（公告批次文件及公告文件 中投标车辆所在位置）复印件； </w:t>
      </w:r>
    </w:p>
    <w:p>
      <w:pPr>
        <w:spacing w:line="360" w:lineRule="exact"/>
        <w:ind w:firstLine="480" w:firstLineChars="20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bookmarkStart w:id="180" w:name="_Toc26055"/>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五</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bookmarkEnd w:id="136"/>
      <w:bookmarkEnd w:id="139"/>
      <w:r>
        <w:rPr>
          <w:rFonts w:hint="eastAsia" w:asciiTheme="minorEastAsia" w:hAnsiTheme="minorEastAsia" w:eastAsiaTheme="minorEastAsia" w:cstheme="minorEastAsia"/>
          <w:b/>
          <w:bCs/>
          <w:color w:val="auto"/>
          <w:sz w:val="44"/>
          <w:szCs w:val="44"/>
          <w:shd w:val="clear" w:color="auto" w:fill="auto"/>
          <w:lang w:val="en-US" w:eastAsia="zh-CN"/>
        </w:rPr>
        <w:t>评标办法及废标条款</w:t>
      </w:r>
      <w:bookmarkEnd w:id="180"/>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outlineLvl w:val="1"/>
        <w:rPr>
          <w:rFonts w:hint="eastAsia" w:asciiTheme="minorEastAsia" w:hAnsiTheme="minorEastAsia" w:eastAsiaTheme="minorEastAsia" w:cstheme="minorEastAsia"/>
          <w:b w:val="0"/>
          <w:bCs/>
          <w:color w:val="auto"/>
          <w:sz w:val="24"/>
          <w:szCs w:val="24"/>
        </w:rPr>
      </w:pPr>
      <w:bookmarkStart w:id="181" w:name="_Toc21522"/>
      <w:bookmarkStart w:id="182" w:name="_Toc5573"/>
      <w:bookmarkStart w:id="183" w:name="_Toc3582"/>
      <w:bookmarkStart w:id="184" w:name="_Toc23722"/>
      <w:bookmarkStart w:id="185" w:name="_Toc9116"/>
      <w:r>
        <w:rPr>
          <w:rFonts w:hint="eastAsia" w:asciiTheme="minorEastAsia" w:hAnsiTheme="minorEastAsia" w:eastAsiaTheme="minorEastAsia" w:cstheme="minorEastAsia"/>
          <w:b w:val="0"/>
          <w:bCs/>
          <w:color w:val="auto"/>
          <w:sz w:val="24"/>
          <w:szCs w:val="24"/>
          <w:lang w:val="en-US" w:eastAsia="zh-CN"/>
        </w:rPr>
        <w:t>一、</w:t>
      </w:r>
      <w:bookmarkStart w:id="186" w:name="_Toc20763"/>
      <w:r>
        <w:rPr>
          <w:rFonts w:hint="eastAsia" w:asciiTheme="minorEastAsia" w:hAnsiTheme="minorEastAsia" w:eastAsiaTheme="minorEastAsia" w:cstheme="minorEastAsia"/>
          <w:b w:val="0"/>
          <w:bCs/>
          <w:color w:val="auto"/>
          <w:sz w:val="24"/>
          <w:szCs w:val="24"/>
        </w:rPr>
        <w:t>总则</w:t>
      </w:r>
      <w:bookmarkEnd w:id="181"/>
      <w:bookmarkEnd w:id="182"/>
      <w:bookmarkEnd w:id="186"/>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根据《中华人民共和国政府采购法》、《中华人民共和国政府采购法实施条例》、《政府采购货物和服务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投标管理办法》等法律制度，结合采购项目特点制定本评标办法。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负责组织，具体评标事务由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依法组建的评标委员会负责。评标委员会由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代表和有关技术、经济、法律等方面的专家组成。</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评标工作应遵循公平、公正、科学及择优的原则，并以相同的评标程序和标准对待所有的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规定的评标方法和标准进行评标，并独立履行下列职责：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熟悉和理解</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审查供应商</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等是否满足</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要求，并作出评价；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根据需要要求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作出解释；根据需要要求供应商对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有关事项作出澄清、说明或者更正；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确定的中标候选人名单顺序；</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起草评标报告并进行签署；</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采购单位、财政部门或者其他监督部门报告非法干预评标工作的行为；</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评标过程独立、保密。</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非法干预评标过程的行为将导致其</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作为无效处理。</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评标委员会评价</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的响应性，对于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而言，除评标委员会要求其澄清、说明或者更正而提供的资料外，仅依据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本身的内容，不寻求其他外部证据。</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（七）</w:t>
      </w:r>
      <w:r>
        <w:rPr>
          <w:rFonts w:hint="eastAsia" w:asciiTheme="minorEastAsia" w:hAnsiTheme="minorEastAsia" w:eastAsiaTheme="minorEastAsia" w:cstheme="minorEastAsia"/>
          <w:b w:val="0"/>
          <w:bCs/>
          <w:color w:val="auto"/>
          <w:sz w:val="24"/>
          <w:szCs w:val="24"/>
        </w:rPr>
        <w:t>评标专家在政府采购活动中应当遵守以下工作纪律</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2.评标前，应当将通讯工具或者相关电子设备交由</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采购单位统一保管。</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评标过程中，不得与外界联系，因发生不可预见情况，确实需要与外界联系的，应当在监督人员监督之下办理。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评标过程中，不得干预或者影响正常评标工作，不得发表倾向性、引导性意见，不得修改或细化</w:t>
      </w:r>
      <w:r>
        <w:rPr>
          <w:rFonts w:hint="eastAsia" w:asciiTheme="minorEastAsia" w:hAnsiTheme="minorEastAsia" w:eastAsiaTheme="minorEastAsia" w:cstheme="minorEastAsia"/>
          <w:b w:val="0"/>
          <w:bCs w:val="0"/>
          <w:color w:val="auto"/>
          <w:sz w:val="24"/>
          <w:szCs w:val="24"/>
          <w:lang w:eastAsia="zh-CN"/>
        </w:rPr>
        <w:t>征集文件</w:t>
      </w:r>
      <w:r>
        <w:rPr>
          <w:rFonts w:hint="eastAsia" w:asciiTheme="minorEastAsia" w:hAnsiTheme="minorEastAsia" w:eastAsiaTheme="minorEastAsia" w:cstheme="minorEastAsia"/>
          <w:b w:val="0"/>
          <w:bCs w:val="0"/>
          <w:color w:val="auto"/>
          <w:sz w:val="24"/>
          <w:szCs w:val="24"/>
        </w:rPr>
        <w:t>确定的评标程序、评标方法、评标因素和评标标准，不得接受供应商主动提出的澄清和解释，不得征询</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代表的意见，不得协商评分，不得违反规定的评标格式评分和撰写评标意见，不得拒绝对自己的评标意见签字确认。</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在评标过程中和评标结束后，不得记录、复制或带走任何评标资料，除因规定的义务外，不得向外界透露评标内容。</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服从评标现场</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采购单位的现场秩序管理，接受评标现场监督人员的合法监督。</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遵守有关廉洁自律规定，不得私下接触供应商，不得收受供应商及有关业务单位和个人的财物或好处，不得接受采购组织单位的请托。</w:t>
      </w:r>
    </w:p>
    <w:p>
      <w:pPr>
        <w:pStyle w:val="5"/>
        <w:keepNext w:val="0"/>
        <w:keepLines w:val="0"/>
        <w:pageBreakBefore w:val="0"/>
        <w:widowControl w:val="0"/>
        <w:numPr>
          <w:ilvl w:val="1"/>
          <w:numId w:val="0"/>
        </w:numPr>
        <w:kinsoku/>
        <w:wordWrap/>
        <w:overflowPunct/>
        <w:topLinePunct w:val="0"/>
        <w:autoSpaceDE/>
        <w:autoSpaceDN/>
        <w:bidi w:val="0"/>
        <w:snapToGrid/>
        <w:spacing w:before="0" w:line="420" w:lineRule="exact"/>
        <w:ind w:left="0" w:right="0" w:firstLine="480" w:firstLineChars="200"/>
        <w:jc w:val="both"/>
        <w:rPr>
          <w:rFonts w:hint="eastAsia" w:asciiTheme="minorEastAsia" w:hAnsiTheme="minorEastAsia" w:eastAsiaTheme="minorEastAsia" w:cstheme="minorEastAsia"/>
          <w:b w:val="0"/>
          <w:bCs/>
          <w:color w:val="auto"/>
          <w:sz w:val="24"/>
          <w:szCs w:val="24"/>
        </w:rPr>
      </w:pPr>
      <w:bookmarkStart w:id="187" w:name="_Toc27841"/>
      <w:bookmarkStart w:id="188" w:name="_Toc28864"/>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组织评标</w:t>
      </w:r>
      <w:bookmarkEnd w:id="183"/>
      <w:bookmarkEnd w:id="184"/>
      <w:bookmarkEnd w:id="185"/>
      <w:bookmarkEnd w:id="187"/>
      <w:bookmarkEnd w:id="188"/>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bookmarkStart w:id="189" w:name="_Toc20182"/>
      <w:bookmarkStart w:id="190" w:name="_Toc22857"/>
      <w:bookmarkStart w:id="191" w:name="_Toc26582"/>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评标委员会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5"/>
          <w:sz w:val="24"/>
          <w:szCs w:val="24"/>
        </w:rPr>
        <w:t>由</w:t>
      </w:r>
      <w:r>
        <w:rPr>
          <w:rFonts w:hint="eastAsia" w:asciiTheme="minorEastAsia" w:hAnsiTheme="minorEastAsia" w:eastAsiaTheme="minorEastAsia" w:cstheme="minorEastAsia"/>
          <w:bCs/>
          <w:color w:val="auto"/>
          <w:sz w:val="24"/>
          <w:szCs w:val="24"/>
          <w:lang w:val="en-US" w:eastAsia="zh-CN"/>
        </w:rPr>
        <w:t>框架协议</w:t>
      </w:r>
      <w:r>
        <w:rPr>
          <w:rFonts w:hint="eastAsia" w:asciiTheme="minorEastAsia" w:hAnsiTheme="minorEastAsia" w:eastAsiaTheme="minorEastAsia" w:cstheme="minorEastAsia"/>
          <w:color w:val="auto"/>
          <w:spacing w:val="5"/>
          <w:sz w:val="24"/>
          <w:szCs w:val="24"/>
          <w:lang w:eastAsia="zh-CN"/>
        </w:rPr>
        <w:t>征集人</w:t>
      </w:r>
      <w:r>
        <w:rPr>
          <w:rFonts w:hint="eastAsia" w:asciiTheme="minorEastAsia" w:hAnsiTheme="minorEastAsia" w:eastAsiaTheme="minorEastAsia" w:cstheme="minorEastAsia"/>
          <w:color w:val="auto"/>
          <w:spacing w:val="5"/>
          <w:sz w:val="24"/>
          <w:szCs w:val="24"/>
          <w:lang w:val="en-US" w:eastAsia="zh-CN"/>
        </w:rPr>
        <w:t>及集采机构从</w:t>
      </w:r>
      <w:r>
        <w:rPr>
          <w:rFonts w:hint="eastAsia" w:asciiTheme="minorEastAsia" w:hAnsiTheme="minorEastAsia" w:eastAsiaTheme="minorEastAsia" w:cstheme="minorEastAsia"/>
          <w:color w:val="auto"/>
          <w:sz w:val="24"/>
          <w:szCs w:val="24"/>
        </w:rPr>
        <w:t>专家库随机抽取</w:t>
      </w:r>
      <w:r>
        <w:rPr>
          <w:rFonts w:hint="eastAsia" w:asciiTheme="minorEastAsia" w:hAnsiTheme="minorEastAsia" w:eastAsiaTheme="minorEastAsia" w:cstheme="minorEastAsia"/>
          <w:color w:val="auto"/>
          <w:sz w:val="24"/>
          <w:szCs w:val="24"/>
          <w:lang w:val="en-US" w:eastAsia="zh-CN"/>
        </w:rPr>
        <w:t>专家与征集人代表</w:t>
      </w:r>
      <w:r>
        <w:rPr>
          <w:rFonts w:hint="eastAsia" w:asciiTheme="minorEastAsia" w:hAnsiTheme="minorEastAsia" w:eastAsiaTheme="minorEastAsia" w:cstheme="minorEastAsia"/>
          <w:color w:val="auto"/>
          <w:spacing w:val="5"/>
          <w:sz w:val="24"/>
          <w:szCs w:val="24"/>
        </w:rPr>
        <w:t>依法组建（以下简称评委会）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Cs/>
          <w:color w:val="auto"/>
          <w:sz w:val="24"/>
          <w:szCs w:val="24"/>
        </w:rPr>
        <w:t>评标委员会成员成员人数应当为</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人以上单数，其中评审专家不得少于成员总数的三分之二</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采购人代表为1人</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评委会成员应当客观、公正的履行职责，遵守职业道德，</w:t>
      </w:r>
      <w:r>
        <w:rPr>
          <w:rFonts w:hint="eastAsia" w:asciiTheme="minorEastAsia" w:hAnsiTheme="minorEastAsia" w:eastAsiaTheme="minorEastAsia" w:cstheme="minorEastAsia"/>
          <w:bCs/>
          <w:color w:val="auto"/>
          <w:sz w:val="24"/>
          <w:szCs w:val="24"/>
        </w:rPr>
        <w:t>负责完成全部评标工作，向</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提出经评标委员会签字的书面评标报告</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rPr>
        <w:t xml:space="preserve">对所提出的评审意见承担个人责任。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Cs/>
          <w:color w:val="auto"/>
          <w:sz w:val="24"/>
          <w:szCs w:val="24"/>
          <w:lang w:val="en-US" w:eastAsia="zh-CN"/>
        </w:rPr>
        <w:t>评标委员会负责审查电子征集响应文件是否符合征集文件的要求，并进行审查、询标、评估和比较。</w:t>
      </w:r>
      <w:r>
        <w:rPr>
          <w:rFonts w:hint="eastAsia" w:asciiTheme="minorEastAsia" w:hAnsiTheme="minorEastAsia" w:eastAsiaTheme="minorEastAsia" w:cstheme="minorEastAsia"/>
          <w:color w:val="auto"/>
          <w:sz w:val="24"/>
          <w:szCs w:val="24"/>
        </w:rPr>
        <w:t>评委会可要求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中非实质性的有关问题进行澄清、说明或者补正。有关澄清、说明或者补正的要求和答复应以书面形式提交。</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的澄清、说明或者补正不得超出</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的范围或者改变</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的实质性内容。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如果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没有实质性响应征集文件的要求，评委会将予以拒绝。评委会只对确定为实质性响应征集文件要求的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，根据征集文件的要求采用相同的评标程序、评分办法及标准进行评价和比较。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在评标期间，评标过程严格保密。评委会成员和与评标活动有关的工作人员不得透露对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的评审和比较、中标候选人的推荐情况以及与评标有关的其他情况。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（二）框架协议采购人</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val="en-US" w:eastAsia="zh-CN"/>
        </w:rPr>
        <w:t>集采</w:t>
      </w:r>
      <w:r>
        <w:rPr>
          <w:rFonts w:hint="eastAsia" w:asciiTheme="minorEastAsia" w:hAnsiTheme="minorEastAsia" w:eastAsiaTheme="minorEastAsia" w:cstheme="minorEastAsia"/>
          <w:color w:val="auto"/>
          <w:sz w:val="24"/>
          <w:szCs w:val="24"/>
        </w:rPr>
        <w:t>机构</w:t>
      </w:r>
      <w:r>
        <w:rPr>
          <w:rFonts w:hint="eastAsia" w:asciiTheme="minorEastAsia" w:hAnsiTheme="minorEastAsia" w:eastAsiaTheme="minorEastAsia" w:cstheme="minorEastAsia"/>
          <w:color w:val="auto"/>
          <w:sz w:val="24"/>
          <w:szCs w:val="24"/>
          <w:lang w:val="en-US" w:eastAsia="zh-CN"/>
        </w:rPr>
        <w:t>人员</w:t>
      </w:r>
      <w:r>
        <w:rPr>
          <w:rFonts w:hint="eastAsia" w:asciiTheme="minorEastAsia" w:hAnsiTheme="minorEastAsia" w:eastAsiaTheme="minorEastAsia" w:cstheme="minorEastAsia"/>
          <w:color w:val="auto"/>
          <w:sz w:val="24"/>
          <w:szCs w:val="24"/>
        </w:rPr>
        <w:t>组成，负责对外联系并配合交易中心工作人员开标、评标的会务工作,整理并向评标组分发投标资料、</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；做好开标和 评标会议记录；对评标过程中的原始文件进行归档；随时印发需要的文件资料,对各种咨询函件及档案文件的统收统发。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监督部门：</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rPr>
        <w:t xml:space="preserve">市公共资源交易中心等有关监督部门根据国家有关法律、法规及征集文件的规定,对整个评标过程进行监督,保证评标的公正性,防止违法行为的产生。 </w:t>
      </w:r>
    </w:p>
    <w:bookmarkEnd w:id="189"/>
    <w:bookmarkEnd w:id="190"/>
    <w:bookmarkEnd w:id="191"/>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192" w:name="_Toc10310"/>
      <w:bookmarkStart w:id="193" w:name="_Toc21939"/>
      <w:bookmarkStart w:id="194" w:name="_Toc19126"/>
      <w:bookmarkStart w:id="195" w:name="_Toc29285"/>
      <w:bookmarkStart w:id="196" w:name="_Toc13572"/>
      <w:r>
        <w:rPr>
          <w:rFonts w:hint="eastAsia" w:asciiTheme="minorEastAsia" w:hAnsiTheme="minorEastAsia" w:eastAsiaTheme="minorEastAsia" w:cstheme="minorEastAsia"/>
          <w:b w:val="0"/>
          <w:bCs/>
          <w:color w:val="auto"/>
          <w:spacing w:val="0"/>
          <w:sz w:val="24"/>
          <w:szCs w:val="24"/>
          <w:lang w:val="en-US" w:eastAsia="zh-CN"/>
        </w:rPr>
        <w:t>三、</w:t>
      </w:r>
      <w:r>
        <w:rPr>
          <w:rFonts w:hint="eastAsia" w:asciiTheme="minorEastAsia" w:hAnsiTheme="minorEastAsia" w:eastAsiaTheme="minorEastAsia" w:cstheme="minorEastAsia"/>
          <w:b w:val="0"/>
          <w:bCs/>
          <w:color w:val="auto"/>
          <w:sz w:val="24"/>
          <w:szCs w:val="24"/>
          <w:lang w:val="en-US" w:eastAsia="zh-CN"/>
        </w:rPr>
        <w:t>评标原则</w:t>
      </w:r>
      <w:bookmarkEnd w:id="192"/>
      <w:bookmarkEnd w:id="193"/>
      <w:r>
        <w:rPr>
          <w:rFonts w:hint="eastAsia" w:asciiTheme="minorEastAsia" w:hAnsiTheme="minorEastAsia" w:eastAsiaTheme="minorEastAsia" w:cstheme="minorEastAsia"/>
          <w:b w:val="0"/>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9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按照</w:t>
      </w:r>
      <w:r>
        <w:rPr>
          <w:rFonts w:hint="eastAsia" w:asciiTheme="minorEastAsia" w:hAnsiTheme="minorEastAsia" w:eastAsiaTheme="minorEastAsia" w:cstheme="minorEastAsia"/>
          <w:color w:val="auto"/>
          <w:spacing w:val="4"/>
          <w:sz w:val="24"/>
          <w:szCs w:val="24"/>
          <w:lang w:val="en-US" w:eastAsia="zh-CN"/>
        </w:rPr>
        <w:t>征集</w:t>
      </w:r>
      <w:r>
        <w:rPr>
          <w:rFonts w:hint="eastAsia" w:asciiTheme="minorEastAsia" w:hAnsiTheme="minorEastAsia" w:eastAsiaTheme="minorEastAsia" w:cstheme="minorEastAsia"/>
          <w:color w:val="auto"/>
          <w:spacing w:val="4"/>
          <w:sz w:val="24"/>
          <w:szCs w:val="24"/>
        </w:rPr>
        <w:t>响应文件满足征集文件全部实质性要求且按评审因素的量化指标评审得分由</w:t>
      </w:r>
      <w:r>
        <w:rPr>
          <w:rFonts w:hint="eastAsia" w:asciiTheme="minorEastAsia" w:hAnsiTheme="minorEastAsia" w:eastAsiaTheme="minorEastAsia" w:cstheme="minorEastAsia"/>
          <w:color w:val="auto"/>
          <w:sz w:val="24"/>
          <w:szCs w:val="24"/>
        </w:rPr>
        <w:t xml:space="preserve">高到低的顺序依次确定入围服务供应商。如果两个供应商得分相同时，综合考虑服务能力强的供应商为入围单位。对未入围供应商不作任何解释说明。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w:t>
      </w:r>
      <w:r>
        <w:rPr>
          <w:rFonts w:hint="eastAsia" w:asciiTheme="minorEastAsia" w:hAnsiTheme="minorEastAsia" w:eastAsiaTheme="minorEastAsia" w:cstheme="minorEastAsia"/>
          <w:color w:val="auto"/>
          <w:sz w:val="24"/>
          <w:szCs w:val="24"/>
          <w:lang w:val="en-US" w:eastAsia="zh-CN"/>
        </w:rPr>
        <w:t>价格优先</w:t>
      </w:r>
      <w:r>
        <w:rPr>
          <w:rFonts w:hint="eastAsia" w:asciiTheme="minorEastAsia" w:hAnsiTheme="minorEastAsia" w:eastAsiaTheme="minorEastAsia" w:cstheme="minorEastAsia"/>
          <w:color w:val="auto"/>
          <w:sz w:val="24"/>
          <w:szCs w:val="24"/>
        </w:rPr>
        <w:t>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w:t>
      </w:r>
      <w:r>
        <w:rPr>
          <w:rFonts w:hint="eastAsia" w:asciiTheme="minorEastAsia" w:hAnsiTheme="minorEastAsia" w:eastAsiaTheme="minorEastAsia" w:cstheme="minorEastAsia"/>
          <w:color w:val="auto"/>
          <w:spacing w:val="4"/>
          <w:sz w:val="24"/>
          <w:szCs w:val="24"/>
        </w:rPr>
        <w:t>由评标委员会按照征集文件规定的方式确定一个参加评标的</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z w:val="24"/>
          <w:szCs w:val="24"/>
        </w:rPr>
        <w:t xml:space="preserve">，征集文件未规定的采取随机抽取方式确定，其他投标无效。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采用质量优先</w:t>
      </w:r>
      <w:r>
        <w:rPr>
          <w:rFonts w:hint="eastAsia" w:asciiTheme="minorEastAsia" w:hAnsiTheme="minorEastAsia" w:eastAsiaTheme="minorEastAsia" w:cstheme="minorEastAsia"/>
          <w:color w:val="auto"/>
          <w:sz w:val="24"/>
          <w:szCs w:val="24"/>
        </w:rPr>
        <w:t>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委托评标委员会按照征集文件规定的方式确定一个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获得入围供应商推荐资格，征集文件未规定的采取随机抽取方式确定，其他同品牌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不作为中标候选人。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应当根据采购项目技术构成、产品价格比重等合理确定核心产品，并在征集文件中载明。多家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 xml:space="preserve">按前两款规定处理。 </w:t>
      </w:r>
    </w:p>
    <w:p>
      <w:pPr>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outlineLvl w:val="9"/>
        <w:rPr>
          <w:rFonts w:hint="eastAsia" w:asciiTheme="minorEastAsia" w:hAnsiTheme="minorEastAsia" w:eastAsiaTheme="minorEastAsia" w:cstheme="minorEastAsia"/>
          <w:b w:val="0"/>
          <w:bCs/>
          <w:color w:val="auto"/>
          <w:spacing w:val="0"/>
          <w:sz w:val="24"/>
          <w:szCs w:val="24"/>
          <w:lang w:val="en-US" w:eastAsia="zh-CN"/>
        </w:rPr>
      </w:pPr>
      <w:r>
        <w:rPr>
          <w:rFonts w:hint="eastAsia" w:asciiTheme="minorEastAsia" w:hAnsiTheme="minorEastAsia" w:eastAsiaTheme="minorEastAsia" w:cstheme="minorEastAsia"/>
          <w:b w:val="0"/>
          <w:bCs/>
          <w:color w:val="auto"/>
          <w:sz w:val="24"/>
          <w:szCs w:val="24"/>
        </w:rPr>
        <w:t>（4）本项目对于报价相同的供应商选取，由评标委员会根据</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中提供的技术方案、售后服务方案等综合评价，在同等条件下选取方案最优的供应商参与评标。</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rPr>
          <w:rFonts w:hint="eastAsia" w:asciiTheme="minorEastAsia" w:hAnsiTheme="minorEastAsia" w:eastAsiaTheme="minorEastAsia" w:cstheme="minorEastAsia"/>
          <w:b w:val="0"/>
          <w:bCs/>
          <w:color w:val="auto"/>
          <w:sz w:val="24"/>
          <w:szCs w:val="24"/>
        </w:rPr>
      </w:pPr>
      <w:bookmarkStart w:id="197" w:name="_Toc30648"/>
      <w:bookmarkStart w:id="198" w:name="_Toc24784"/>
      <w:r>
        <w:rPr>
          <w:rFonts w:hint="eastAsia" w:asciiTheme="minorEastAsia" w:hAnsiTheme="minorEastAsia" w:eastAsiaTheme="minorEastAsia" w:cstheme="minorEastAsia"/>
          <w:b w:val="0"/>
          <w:bCs/>
          <w:color w:val="auto"/>
          <w:spacing w:val="0"/>
          <w:sz w:val="24"/>
          <w:szCs w:val="24"/>
          <w:lang w:val="en-US" w:eastAsia="zh-CN"/>
        </w:rPr>
        <w:t>四、</w:t>
      </w:r>
      <w:r>
        <w:rPr>
          <w:rFonts w:hint="eastAsia" w:asciiTheme="minorEastAsia" w:hAnsiTheme="minorEastAsia" w:eastAsiaTheme="minorEastAsia" w:cstheme="minorEastAsia"/>
          <w:b w:val="0"/>
          <w:bCs/>
          <w:color w:val="auto"/>
          <w:sz w:val="24"/>
          <w:szCs w:val="24"/>
        </w:rPr>
        <w:t>评标程序</w:t>
      </w:r>
      <w:bookmarkEnd w:id="194"/>
      <w:bookmarkEnd w:id="195"/>
      <w:bookmarkEnd w:id="196"/>
      <w:bookmarkEnd w:id="197"/>
      <w:bookmarkEnd w:id="198"/>
      <w:r>
        <w:rPr>
          <w:rFonts w:hint="eastAsia" w:asciiTheme="minorEastAsia" w:hAnsiTheme="minorEastAsia" w:eastAsiaTheme="minorEastAsia" w:cstheme="minorEastAsia"/>
          <w:b w:val="0"/>
          <w:bCs/>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2" w:firstLineChars="200"/>
        <w:jc w:val="both"/>
        <w:outlineLvl w:val="9"/>
        <w:rPr>
          <w:rFonts w:hint="eastAsia" w:asciiTheme="minorEastAsia" w:hAnsiTheme="minorEastAsia" w:eastAsiaTheme="minorEastAsia" w:cstheme="minorEastAsia"/>
          <w:b/>
          <w:bCs/>
          <w:color w:val="auto"/>
          <w:sz w:val="24"/>
          <w:szCs w:val="24"/>
        </w:rPr>
      </w:pPr>
      <w:bookmarkStart w:id="199" w:name="_Toc6526"/>
      <w:bookmarkStart w:id="200" w:name="_Toc23644"/>
      <w:bookmarkStart w:id="201" w:name="_Toc6254"/>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的初审</w:t>
      </w:r>
      <w:bookmarkEnd w:id="199"/>
      <w:bookmarkEnd w:id="200"/>
      <w:bookmarkEnd w:id="20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初审分为资格审查和符合性审查</w:t>
      </w:r>
      <w:r>
        <w:rPr>
          <w:rFonts w:hint="eastAsia" w:asciiTheme="minorEastAsia" w:hAnsiTheme="minorEastAsia" w:eastAsiaTheme="minorEastAsia" w:cstheme="minorEastAsia"/>
          <w:b w:val="0"/>
          <w:bCs w:val="0"/>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资格审查。根据法律法规和征集文件的规定，</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及集采</w:t>
      </w:r>
      <w:r>
        <w:rPr>
          <w:rFonts w:hint="eastAsia" w:asciiTheme="minorEastAsia" w:hAnsiTheme="minorEastAsia" w:eastAsiaTheme="minorEastAsia" w:cstheme="minorEastAsia"/>
          <w:color w:val="auto"/>
          <w:sz w:val="24"/>
          <w:szCs w:val="24"/>
        </w:rPr>
        <w:t>机构依法对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进行资格审查，或出具委托授权函委托评委会对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进行资格审查，以确定</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是否具备投标资格。</w:t>
      </w:r>
      <w:r>
        <w:rPr>
          <w:rFonts w:hint="eastAsia" w:asciiTheme="minorEastAsia" w:hAnsiTheme="minorEastAsia" w:eastAsiaTheme="minorEastAsia" w:cstheme="minorEastAsia"/>
          <w:b/>
          <w:bCs/>
          <w:color w:val="auto"/>
          <w:sz w:val="24"/>
          <w:szCs w:val="24"/>
        </w:rPr>
        <w:t>资格审查要求详见</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须知前附表</w:t>
      </w:r>
      <w:r>
        <w:rPr>
          <w:rFonts w:hint="eastAsia" w:asciiTheme="minorEastAsia" w:hAnsiTheme="minorEastAsia" w:eastAsiaTheme="minorEastAsia" w:cstheme="minorEastAsia"/>
          <w:b/>
          <w:bCs/>
          <w:color w:val="auto"/>
          <w:sz w:val="24"/>
          <w:szCs w:val="24"/>
          <w:lang w:val="en-US" w:eastAsia="zh-CN"/>
        </w:rPr>
        <w:t>及第三部分总则（七）征集响应文件的组成的资格性证明文件</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符合性审查。评标委员会应当对符合资格的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进行符合 性审查，以确定其是否满足征集文件的实质性要求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具体包括以下内容：</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是否按照征集文件的规定编制；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是否按照征集文件要求签署、盖章；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是否按照征集文件规定的格式填写相关内容；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投标报价是否在征集文件中规定的预算金额或者最高限价范围内；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6"/>
          <w:sz w:val="24"/>
          <w:szCs w:val="24"/>
          <w:lang w:eastAsia="zh-CN"/>
        </w:rPr>
        <w:t>征集响应文件</w:t>
      </w:r>
      <w:r>
        <w:rPr>
          <w:rFonts w:hint="eastAsia" w:asciiTheme="minorEastAsia" w:hAnsiTheme="minorEastAsia" w:eastAsiaTheme="minorEastAsia" w:cstheme="minorEastAsia"/>
          <w:color w:val="auto"/>
          <w:spacing w:val="-6"/>
          <w:sz w:val="24"/>
          <w:szCs w:val="24"/>
        </w:rPr>
        <w:t>是否对征集文件提出的商务、技术等要求作出实质性响应（资</w:t>
      </w:r>
      <w:r>
        <w:rPr>
          <w:rFonts w:hint="eastAsia" w:asciiTheme="minorEastAsia" w:hAnsiTheme="minorEastAsia" w:eastAsiaTheme="minorEastAsia" w:cstheme="minorEastAsia"/>
          <w:color w:val="auto"/>
          <w:spacing w:val="-18"/>
          <w:sz w:val="24"/>
          <w:szCs w:val="24"/>
        </w:rPr>
        <w:t>格要求除外）；</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是否含有</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不能接受的附加条件；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投标有效期是否符合规定</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numPr>
          <w:ilvl w:val="2"/>
          <w:numId w:val="0"/>
        </w:numPr>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b w:val="0"/>
          <w:bCs/>
          <w:color w:val="auto"/>
          <w:sz w:val="24"/>
          <w:szCs w:val="24"/>
        </w:rPr>
      </w:pPr>
      <w:bookmarkStart w:id="202" w:name="_Toc23705"/>
      <w:bookmarkStart w:id="203" w:name="_Toc3151"/>
      <w:bookmarkStart w:id="204" w:name="_Toc3468"/>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征集文件规定的其它无效投标条件。</w:t>
      </w:r>
      <w:bookmarkEnd w:id="202"/>
      <w:bookmarkEnd w:id="203"/>
      <w:bookmarkEnd w:id="204"/>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评委会决定</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的响应性只根据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真实无误的内容，而不依据外部的证据。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96"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4"/>
          <w:sz w:val="24"/>
          <w:szCs w:val="24"/>
        </w:rPr>
        <w:t>不得通过修正或撤销不合要求的偏离从而使其投标成为实质上响应</w:t>
      </w:r>
      <w:r>
        <w:rPr>
          <w:rFonts w:hint="eastAsia" w:asciiTheme="minorEastAsia" w:hAnsiTheme="minorEastAsia" w:eastAsiaTheme="minorEastAsia" w:cstheme="minorEastAsia"/>
          <w:color w:val="auto"/>
          <w:sz w:val="24"/>
          <w:szCs w:val="24"/>
        </w:rPr>
        <w:t xml:space="preserve">的投标。 </w:t>
      </w:r>
    </w:p>
    <w:p>
      <w:pPr>
        <w:pStyle w:val="2"/>
        <w:keepNext w:val="0"/>
        <w:keepLines w:val="0"/>
        <w:pageBreakBefore w:val="0"/>
        <w:widowControl w:val="0"/>
        <w:kinsoku/>
        <w:wordWrap/>
        <w:overflowPunct/>
        <w:topLinePunct w:val="0"/>
        <w:autoSpaceDE/>
        <w:autoSpaceDN/>
        <w:bidi w:val="0"/>
        <w:snapToGrid/>
        <w:spacing w:line="420" w:lineRule="exact"/>
        <w:ind w:left="0" w:right="0" w:firstLine="482" w:firstLineChars="20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征集响应文件</w:t>
      </w:r>
      <w:r>
        <w:rPr>
          <w:rFonts w:hint="eastAsia" w:asciiTheme="minorEastAsia" w:hAnsiTheme="minorEastAsia" w:eastAsiaTheme="minorEastAsia" w:cstheme="minorEastAsia"/>
          <w:b/>
          <w:color w:val="auto"/>
          <w:sz w:val="24"/>
          <w:szCs w:val="24"/>
        </w:rPr>
        <w:t>的</w:t>
      </w:r>
      <w:r>
        <w:rPr>
          <w:rFonts w:hint="eastAsia" w:asciiTheme="minorEastAsia" w:hAnsiTheme="minorEastAsia" w:eastAsiaTheme="minorEastAsia" w:cstheme="minorEastAsia"/>
          <w:b/>
          <w:color w:val="auto"/>
          <w:sz w:val="24"/>
          <w:szCs w:val="24"/>
          <w:lang w:val="en-US" w:eastAsia="zh-CN"/>
        </w:rPr>
        <w:t>修正</w:t>
      </w:r>
    </w:p>
    <w:p>
      <w:pPr>
        <w:pStyle w:val="2"/>
        <w:keepNext w:val="0"/>
        <w:keepLines w:val="0"/>
        <w:pageBreakBefore w:val="0"/>
        <w:widowControl w:val="0"/>
        <w:kinsoku/>
        <w:wordWrap/>
        <w:overflowPunct/>
        <w:topLinePunct w:val="0"/>
        <w:autoSpaceDE/>
        <w:autoSpaceDN/>
        <w:bidi w:val="0"/>
        <w:snapToGrid/>
        <w:spacing w:line="420" w:lineRule="exact"/>
        <w:ind w:left="0" w:right="0" w:firstLine="44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eastAsia="zh-CN"/>
        </w:rPr>
        <w:t>征集响应文件</w:t>
      </w:r>
      <w:r>
        <w:rPr>
          <w:rFonts w:hint="eastAsia" w:asciiTheme="minorEastAsia" w:hAnsiTheme="minorEastAsia" w:eastAsiaTheme="minorEastAsia" w:cstheme="minorEastAsia"/>
          <w:color w:val="auto"/>
          <w:spacing w:val="-8"/>
          <w:sz w:val="24"/>
          <w:szCs w:val="24"/>
        </w:rPr>
        <w:t>报价出现前后不一致的，除征集文件另有规定外，按照下列规定修正：</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snapToGrid/>
        <w:spacing w:line="420" w:lineRule="exact"/>
        <w:ind w:left="0" w:right="0" w:firstLine="496"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中开标一览表(报价表)内容与</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中相应内容不一</w:t>
      </w:r>
      <w:r>
        <w:rPr>
          <w:rFonts w:hint="eastAsia" w:asciiTheme="minorEastAsia" w:hAnsiTheme="minorEastAsia" w:eastAsiaTheme="minorEastAsia" w:cstheme="minorEastAsia"/>
          <w:color w:val="auto"/>
          <w:sz w:val="24"/>
          <w:szCs w:val="24"/>
        </w:rPr>
        <w:t xml:space="preserve">致的，以开标一览表(报价表)为准；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大写金额和小写金额不一致的，以大写金额为准；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单价金额小数点或者百分比有明显错位的，以开标一览表的总价为准，并修 改单价；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总价金额与按单价汇总金额不一致的，以单价金额计算结果为准。同时出现两种以上不一致的，按照前款规定的顺序修正。修正后的报价按照政府采购货物和服务招标投标管理办法（财政部令（第87号）第五十一条第二款的规定，</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经</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确认后产生约束力，</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不确认的，其投标无效。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05" w:name="_Toc4295"/>
      <w:bookmarkStart w:id="206" w:name="_Toc30990"/>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无效投标条款</w:t>
      </w:r>
      <w:bookmarkEnd w:id="205"/>
      <w:bookmarkEnd w:id="206"/>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如果</w:t>
      </w:r>
      <w:r>
        <w:rPr>
          <w:rFonts w:hint="eastAsia" w:asciiTheme="minorEastAsia" w:hAnsiTheme="minorEastAsia" w:eastAsiaTheme="minorEastAsia" w:cstheme="minorEastAsia"/>
          <w:b/>
          <w:bCs w:val="0"/>
          <w:color w:val="auto"/>
          <w:sz w:val="24"/>
          <w:szCs w:val="24"/>
          <w:lang w:val="en-US" w:eastAsia="zh-CN"/>
        </w:rPr>
        <w:t>征集响应文件</w:t>
      </w:r>
      <w:r>
        <w:rPr>
          <w:rFonts w:hint="eastAsia" w:asciiTheme="minorEastAsia" w:hAnsiTheme="minorEastAsia" w:eastAsiaTheme="minorEastAsia" w:cstheme="minorEastAsia"/>
          <w:b/>
          <w:bCs w:val="0"/>
          <w:color w:val="auto"/>
          <w:sz w:val="24"/>
          <w:szCs w:val="24"/>
        </w:rPr>
        <w:t>没有实质性响应</w:t>
      </w:r>
      <w:r>
        <w:rPr>
          <w:rFonts w:hint="eastAsia" w:asciiTheme="minorEastAsia" w:hAnsiTheme="minorEastAsia" w:eastAsiaTheme="minorEastAsia" w:cstheme="minorEastAsia"/>
          <w:b/>
          <w:bCs w:val="0"/>
          <w:color w:val="auto"/>
          <w:sz w:val="24"/>
          <w:szCs w:val="24"/>
          <w:lang w:eastAsia="zh-CN"/>
        </w:rPr>
        <w:t>征集文件</w:t>
      </w:r>
      <w:r>
        <w:rPr>
          <w:rFonts w:hint="eastAsia" w:asciiTheme="minorEastAsia" w:hAnsiTheme="minorEastAsia" w:eastAsiaTheme="minorEastAsia" w:cstheme="minorEastAsia"/>
          <w:b/>
          <w:bCs w:val="0"/>
          <w:color w:val="auto"/>
          <w:sz w:val="24"/>
          <w:szCs w:val="24"/>
        </w:rPr>
        <w:t>的要求，其投标将被拒绝。</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不得通过修正或撤消不合要求的偏离或保留从而使其投标成为实质上响应的投标。如发现有下列情形之一的，视为无效投标，其投标将被拒绝：</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不符合《中华人民共和国政府采购法》第二十二条规定；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color w:val="auto"/>
          <w:sz w:val="24"/>
          <w:szCs w:val="24"/>
        </w:rPr>
        <w:t>逾期送达</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超出其营业执照或事业单位法人证书上经营范围（业务范围）投标的；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要求签署、盖章的；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有不符合</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带“★”（如有）要求内容5项的或不满足</w:t>
      </w:r>
      <w:r>
        <w:rPr>
          <w:rFonts w:hint="eastAsia" w:asciiTheme="minorEastAsia" w:hAnsiTheme="minorEastAsia" w:eastAsia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rPr>
        <w:t>需求中主要参数和超出偏差范围的（评标办法规定的另行除外）。</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同一包的货物，制造商参与投标，再委托代理商参与投标的；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7.</w:t>
      </w:r>
      <w:r>
        <w:rPr>
          <w:rFonts w:hint="eastAsia" w:asciiTheme="minorEastAsia" w:hAnsiTheme="minorEastAsia" w:eastAsiaTheme="minorEastAsia" w:cstheme="minorEastAsia"/>
          <w:b w:val="0"/>
          <w:bCs/>
          <w:color w:val="auto"/>
          <w:sz w:val="24"/>
          <w:szCs w:val="24"/>
        </w:rPr>
        <w:t>电子文件出现多个投标方案或投标报价的；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8.</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的交货期（或：实施时间）、质量保证期及投标有效期不满足</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rPr>
        <w:t>产品不符合必须强制执行的国家标准的；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单位负责人为同一人或者存在直接控股、管理关系的不同供应商，不得参加同一合同项下的政府采购活动，上述</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的投标报价超出</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采购预算，</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不能支付的；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不符合法律、法规和</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中规定的其他实质性要求的。</w:t>
      </w:r>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有下列情形之一的，视为</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串通投标，其投标无效：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由同一单位或者个人编制；</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委托同一单位或者个人办理投标事宜；</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3.不同供应商的征集响应文件载明的项目管理成员或者联系人员为同一人；</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4.不同供应商的征集响应文件异常一致或者投标报价呈规律性差异；</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5.不同供应商的征集响应文件相互混装；</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6.不同供应商在同一IP上传投标文件；</w:t>
      </w:r>
    </w:p>
    <w:p>
      <w:pPr>
        <w:pStyle w:val="3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val="0"/>
          <w:color w:val="auto"/>
          <w:sz w:val="24"/>
          <w:szCs w:val="24"/>
          <w:lang w:eastAsia="zh-CN"/>
        </w:rPr>
        <w:t>入围供应商有下列情形之一，尚未签订框架协议的，取消其入围资格；已经签订框架协议的，解除与其签订的框架协议：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恶意串通谋取入围或者合同成交的；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提供虚假材料谋取入围或者合同成交的；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无正当理由拒不接受合同授予的；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不履行合同义务或者履行合同义务不符合约定，经征集人请求履行后仍不履行或者仍未按约定履行的；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lang w:eastAsia="zh-CN"/>
        </w:rPr>
        <w:t>框架协议约定的其他情形。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被取消入围资格或者被解除框架协议的供应商不得参加同一封闭式框架协议补充征集，或者重新申请加入同一开放式框架协议。</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after="0" w:line="420" w:lineRule="exact"/>
        <w:ind w:right="0" w:rightChars="0" w:firstLine="480" w:firstLineChars="200"/>
        <w:jc w:val="both"/>
        <w:textAlignment w:val="baseline"/>
        <w:outlineLvl w:val="1"/>
        <w:rPr>
          <w:rFonts w:hint="eastAsia" w:asciiTheme="minorEastAsia" w:hAnsiTheme="minorEastAsia" w:eastAsiaTheme="minorEastAsia" w:cstheme="minorEastAsia"/>
          <w:b w:val="0"/>
          <w:bCs/>
          <w:color w:val="auto"/>
          <w:sz w:val="24"/>
          <w:szCs w:val="24"/>
        </w:rPr>
      </w:pPr>
      <w:bookmarkStart w:id="207" w:name="_Toc22341"/>
      <w:bookmarkStart w:id="208" w:name="_Toc20328"/>
      <w:bookmarkStart w:id="209" w:name="_Toc1275"/>
      <w:bookmarkStart w:id="210" w:name="_Toc9223"/>
      <w:bookmarkStart w:id="211" w:name="_Toc705"/>
      <w:r>
        <w:rPr>
          <w:rFonts w:hint="eastAsia" w:asciiTheme="minorEastAsia" w:hAnsiTheme="minorEastAsia" w:eastAsiaTheme="minorEastAsia" w:cstheme="minorEastAsia"/>
          <w:b w:val="0"/>
          <w:bCs/>
          <w:color w:val="auto"/>
          <w:sz w:val="24"/>
          <w:szCs w:val="24"/>
          <w:lang w:val="en-US" w:eastAsia="zh-CN"/>
        </w:rPr>
        <w:t>六、</w:t>
      </w:r>
      <w:r>
        <w:rPr>
          <w:rFonts w:hint="eastAsia" w:asciiTheme="minorEastAsia" w:hAnsiTheme="minorEastAsia" w:eastAsiaTheme="minorEastAsia" w:cstheme="minorEastAsia"/>
          <w:b w:val="0"/>
          <w:bCs/>
          <w:color w:val="auto"/>
          <w:sz w:val="24"/>
          <w:szCs w:val="24"/>
        </w:rPr>
        <w:t>评标方法</w:t>
      </w:r>
      <w:bookmarkEnd w:id="207"/>
      <w:bookmarkEnd w:id="208"/>
      <w:bookmarkEnd w:id="209"/>
      <w:bookmarkEnd w:id="210"/>
      <w:bookmarkEnd w:id="21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根据中华人民共和国财政部令第 110 号《政府采购框架协议采购方式管理暂行办法》，确定第一阶段入围供应商的评审方法为质量优先法，确定第二阶段成交供应商的方式为</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是指确定第二阶段成交供应商应当由</w:t>
      </w:r>
      <w:r>
        <w:rPr>
          <w:rFonts w:hint="eastAsia" w:asciiTheme="minorEastAsia" w:hAnsiTheme="minorEastAsia" w:eastAsiaTheme="minorEastAsia" w:cstheme="minorEastAsia"/>
          <w:color w:val="auto"/>
          <w:spacing w:val="0"/>
          <w:sz w:val="24"/>
          <w:szCs w:val="24"/>
          <w:lang w:eastAsia="zh-CN"/>
        </w:rPr>
        <w:t>征集人</w:t>
      </w:r>
      <w:r>
        <w:rPr>
          <w:rFonts w:hint="eastAsia" w:asciiTheme="minorEastAsia" w:hAnsiTheme="minorEastAsia" w:eastAsiaTheme="minorEastAsia" w:cstheme="minorEastAsia"/>
          <w:color w:val="auto"/>
          <w:spacing w:val="0"/>
          <w:sz w:val="24"/>
          <w:szCs w:val="24"/>
        </w:rPr>
        <w:t>或者服务对象依据入围服务便利性、用户评价等因素，从第一阶段入围供应商中</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法律、法规、规章和省级以上财政部门涉及政府采购政策功能及其他规定，见征集文件前附表。评委会应根据征集文件</w:t>
      </w:r>
      <w:r>
        <w:rPr>
          <w:rFonts w:hint="eastAsia" w:asciiTheme="minorEastAsia" w:hAnsiTheme="minorEastAsia" w:eastAsiaTheme="minorEastAsia" w:cstheme="minorEastAsia"/>
          <w:color w:val="auto"/>
          <w:spacing w:val="0"/>
          <w:sz w:val="24"/>
          <w:szCs w:val="24"/>
          <w:lang w:val="en-US" w:eastAsia="zh-CN"/>
        </w:rPr>
        <w:t>及</w:t>
      </w:r>
      <w:r>
        <w:rPr>
          <w:rFonts w:hint="eastAsia" w:asciiTheme="minorEastAsia" w:hAnsiTheme="minorEastAsia" w:eastAsiaTheme="minorEastAsia" w:cstheme="minorEastAsia"/>
          <w:color w:val="auto"/>
          <w:spacing w:val="0"/>
          <w:sz w:val="24"/>
          <w:szCs w:val="24"/>
        </w:rPr>
        <w:t>《政府采购促进中小企业发展管理办法》（财库[2020]46 号）、《财政部司法部关于政府采购支持监狱企业发展有关问题的通知》（财库〔2014〕68 号）和《财政部</w:t>
      </w:r>
      <w:r>
        <w:rPr>
          <w:rFonts w:hint="eastAsia" w:asciiTheme="minorEastAsia" w:hAnsiTheme="minorEastAsia" w:eastAsiaTheme="minorEastAsia" w:cstheme="minorEastAsia"/>
          <w:color w:val="auto"/>
          <w:spacing w:val="0"/>
          <w:sz w:val="24"/>
          <w:szCs w:val="24"/>
          <w:lang w:val="en-US" w:eastAsia="zh-CN"/>
        </w:rPr>
        <w:t xml:space="preserve"> </w:t>
      </w:r>
      <w:r>
        <w:rPr>
          <w:rFonts w:hint="eastAsia" w:asciiTheme="minorEastAsia" w:hAnsiTheme="minorEastAsia" w:eastAsiaTheme="minorEastAsia" w:cstheme="minorEastAsia"/>
          <w:color w:val="auto"/>
          <w:spacing w:val="0"/>
          <w:sz w:val="24"/>
          <w:szCs w:val="24"/>
        </w:rPr>
        <w:t>民政部 中国残疾人联合会关于促进残疾人就业政府采购政策的通知》（财库〔2017〕141号）的规定，对满足价格扣除条件且在</w:t>
      </w:r>
      <w:r>
        <w:rPr>
          <w:rFonts w:hint="eastAsia" w:asciiTheme="minorEastAsia" w:hAnsiTheme="minorEastAsia" w:eastAsiaTheme="minorEastAsia" w:cstheme="minorEastAsia"/>
          <w:color w:val="auto"/>
          <w:spacing w:val="0"/>
          <w:sz w:val="24"/>
          <w:szCs w:val="24"/>
          <w:lang w:eastAsia="zh-CN"/>
        </w:rPr>
        <w:t>征集响应文件</w:t>
      </w:r>
      <w:r>
        <w:rPr>
          <w:rFonts w:hint="eastAsia" w:asciiTheme="minorEastAsia" w:hAnsiTheme="minorEastAsia" w:eastAsiaTheme="minorEastAsia" w:cstheme="minorEastAsia"/>
          <w:color w:val="auto"/>
          <w:spacing w:val="0"/>
          <w:sz w:val="24"/>
          <w:szCs w:val="24"/>
        </w:rPr>
        <w:t xml:space="preserve">中提交了《中小企业声明函》或省级以上监狱管理局、戒毒管理局（含新疆生产建设兵团）出具的属于监狱企业的证明文 件或《残疾人福利性单位声明函》的投标供应商，其投标报价扣除10%后参与评审。 对符合以上要求的供应商本项目价格给予 </w:t>
      </w:r>
      <w:r>
        <w:rPr>
          <w:rFonts w:hint="eastAsia" w:asciiTheme="minorEastAsia" w:hAnsiTheme="minorEastAsia" w:eastAsiaTheme="minorEastAsia" w:cstheme="minorEastAsia"/>
          <w:color w:val="auto"/>
          <w:spacing w:val="0"/>
          <w:sz w:val="24"/>
          <w:szCs w:val="24"/>
          <w:lang w:val="en-US" w:eastAsia="zh-CN"/>
        </w:rPr>
        <w:t>10</w:t>
      </w:r>
      <w:r>
        <w:rPr>
          <w:rFonts w:hint="eastAsia" w:asciiTheme="minorEastAsia" w:hAnsiTheme="minorEastAsia" w:eastAsiaTheme="minorEastAsia" w:cstheme="minorEastAsia"/>
          <w:color w:val="auto"/>
          <w:spacing w:val="0"/>
          <w:sz w:val="24"/>
          <w:szCs w:val="24"/>
        </w:rPr>
        <w:t>%的扣除后参与评审。残疾人福利性单位</w:t>
      </w:r>
      <w:r>
        <w:rPr>
          <w:rFonts w:hint="eastAsia" w:asciiTheme="minorEastAsia" w:hAnsiTheme="minorEastAsia" w:eastAsiaTheme="minorEastAsia" w:cstheme="minorEastAsia"/>
          <w:color w:val="auto"/>
          <w:spacing w:val="0"/>
          <w:sz w:val="24"/>
          <w:szCs w:val="24"/>
          <w:lang w:val="en-US" w:eastAsia="zh-CN"/>
        </w:rPr>
        <w:t>视为</w:t>
      </w:r>
      <w:r>
        <w:rPr>
          <w:rFonts w:hint="eastAsia" w:asciiTheme="minorEastAsia" w:hAnsiTheme="minorEastAsia" w:eastAsiaTheme="minorEastAsia" w:cstheme="minorEastAsia"/>
          <w:color w:val="auto"/>
          <w:spacing w:val="0"/>
          <w:sz w:val="24"/>
          <w:szCs w:val="24"/>
        </w:rPr>
        <w:t>小型、微型企业的，不重复享受政策。不符合以上规定的价格不予扣除，其投标报价即为评标价。</w:t>
      </w:r>
    </w:p>
    <w:tbl>
      <w:tblPr>
        <w:tblStyle w:val="39"/>
        <w:tblpPr w:leftFromText="180" w:rightFromText="180" w:vertAnchor="text" w:horzAnchor="page" w:tblpX="1175" w:tblpY="400"/>
        <w:tblOverlap w:val="never"/>
        <w:tblW w:w="10040" w:type="dxa"/>
        <w:tblInd w:w="0" w:type="dxa"/>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153"/>
        <w:gridCol w:w="1170"/>
        <w:gridCol w:w="7140"/>
      </w:tblGrid>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115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类别</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评分因素</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评分标准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15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(30分)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投标报价得分计算</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完全响应招标文件要求的报价定为优惠报价，以最高优惠率为基准</w:t>
            </w:r>
            <w:r>
              <w:rPr>
                <w:rFonts w:hint="eastAsia" w:asciiTheme="minorEastAsia" w:hAnsiTheme="minorEastAsia" w:eastAsiaTheme="minorEastAsia" w:cstheme="minorEastAsia"/>
                <w:color w:val="auto"/>
                <w:sz w:val="24"/>
                <w:szCs w:val="24"/>
                <w:lang w:val="en-US" w:eastAsia="zh-CN"/>
              </w:rPr>
              <w:t>价</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对满足招标文件要求的供应商，以最高优惠率为基准价。即最高优惠率为满分。其他供应商的价格分统一按照下列公式计算：报价得分=30×（投标报价/评审基准价）；四舍五入，小数点后保留两位。</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技术分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（27分）</w:t>
            </w: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主动安全系统（如前碰预警、车道保持、自行适应巡航等主动安全系统），每增加一种配置得2分，最高得10分。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被动安全系统，（如安全气囊等被动安全系统），每增加一种配置得1分，最高得5分。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保修</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场地</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投标人在项目实施地设有自营的售后服务站设有维修场地、配件仓库、服务车或投标人委托维修服务机构（7分），未提供者得0分。</w:t>
            </w:r>
          </w:p>
          <w:p>
            <w:pPr>
              <w:pStyle w:val="9"/>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注：1、自营的售后服务站设有维修场地须提供售后服务机构相关证明材料彩色扫描件。</w:t>
            </w:r>
          </w:p>
          <w:p>
            <w:pPr>
              <w:pStyle w:val="9"/>
              <w:ind w:left="0" w:leftChars="0" w:firstLine="0" w:firstLineChars="0"/>
              <w:rPr>
                <w:rFonts w:hint="default"/>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2、被委托维修服务机构所具有的汽车维修行业管理部门核发的《道路运输经营许可证》的汽车维修资质（彩色扫描件）、被委托维修服务机构的营</w:t>
            </w:r>
            <w:r>
              <w:rPr>
                <w:rFonts w:hint="eastAsia"/>
                <w:sz w:val="24"/>
                <w:szCs w:val="24"/>
                <w:lang w:val="en-US" w:eastAsia="zh-CN"/>
              </w:rPr>
              <w:t>业执照（彩色扫描件、委托协议书或委托合同（彩色扫描件）。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有本项目专门机构及相关服务人员得1分，无得0分；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有计算机管理系统和客户服务系统得1分，无得0分；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能满足采购人的管理要求得1分，不能得0分。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有可行的服务保障措施得1分，无得0分。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特殊情况有应急预案并可行得1分，无得0分。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商务分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（43分）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经营</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场所</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产品展示场所使用权证明文件或租赁合同：面积150-200平方米（含）的得10分；200-300平方米以内得12分。301平方米以上的得15分。（该项须提供场所彩色照片、门头照片及使用权证明文件或租赁合同，不提供的，此项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240" w:firstLineChars="1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业绩</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每提供一个机关事业单位公务用车供应业绩加1分，满分6分。（提供业绩合同协议书或中标通知书复印件）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投标产品符合优先采购环境标志产品政策情形的，附所投优先采购环境标志产品认证证书复印件，每种产品得1分，最高4分。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交货时间保证在采购人提出需求之日起7天之内的，得2分。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新车交货时油箱内燃油可维持正常行驶不少于50公里，得1分。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交货时提供交车前（PDI）检查表复印件，得1分。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车辆清洁、附件（参考前面所述，随车工具，技术文件，备胎等）齐全，得1分。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车辆维修时间和质量按交通部20号令和国家相关规定执行，得2分。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四年或10万公里以内 （含四年，10万公里）得1分，大于以上承诺，得3分。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质保期内所购车辆如出现质量问题，致使车辆需进厂维修时间三天以上，供应商提供与所购车辆同型号的替换车辆，得2分。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有明显的制造和设计缺陷，涉及动力总成及安全性故障的，无法通过2次正常维修解决的，可予以更换相应的总成，若更换总成2次仍无法解决的可予以更换整车，得3分。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投标人自行填写，每一条合理有效承诺得1分，最高3分。 </w:t>
            </w:r>
          </w:p>
        </w:tc>
      </w:tr>
    </w:tbl>
    <w:p>
      <w:pPr>
        <w:pStyle w:val="21"/>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具体评分权重如下：</w:t>
      </w:r>
    </w:p>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ind w:left="0" w:right="0" w:firstLine="482" w:firstLineChars="200"/>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注：</w:t>
      </w: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2" w:name="_Toc8355"/>
      <w:bookmarkStart w:id="213" w:name="_Toc21656"/>
      <w:r>
        <w:rPr>
          <w:rFonts w:hint="eastAsia" w:asciiTheme="minorEastAsia" w:hAnsiTheme="minorEastAsia" w:eastAsiaTheme="minorEastAsia" w:cstheme="minorEastAsia"/>
          <w:b w:val="0"/>
          <w:bCs/>
          <w:color w:val="auto"/>
          <w:sz w:val="24"/>
          <w:szCs w:val="24"/>
          <w:lang w:val="en-US" w:eastAsia="zh-CN"/>
        </w:rPr>
        <w:t>七、评标报告</w:t>
      </w:r>
      <w:bookmarkEnd w:id="212"/>
      <w:bookmarkEnd w:id="213"/>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7"/>
          <w:sz w:val="24"/>
          <w:szCs w:val="24"/>
        </w:rPr>
        <w:t>（</w:t>
      </w:r>
      <w:r>
        <w:rPr>
          <w:rFonts w:hint="eastAsia" w:asciiTheme="minorEastAsia" w:hAnsiTheme="minorEastAsia" w:eastAsiaTheme="minorEastAsia" w:cstheme="minorEastAsia"/>
          <w:b/>
          <w:color w:val="auto"/>
          <w:spacing w:val="7"/>
          <w:sz w:val="24"/>
          <w:szCs w:val="24"/>
          <w:lang w:val="en-US" w:eastAsia="zh-CN"/>
        </w:rPr>
        <w:t>一</w:t>
      </w:r>
      <w:r>
        <w:rPr>
          <w:rFonts w:hint="eastAsia" w:asciiTheme="minorEastAsia" w:hAnsiTheme="minorEastAsia" w:eastAsiaTheme="minorEastAsia" w:cstheme="minorEastAsia"/>
          <w:b/>
          <w:color w:val="auto"/>
          <w:spacing w:val="7"/>
          <w:sz w:val="24"/>
          <w:szCs w:val="24"/>
        </w:rPr>
        <w:t xml:space="preserve">） </w:t>
      </w:r>
      <w:r>
        <w:rPr>
          <w:rFonts w:hint="eastAsia" w:asciiTheme="minorEastAsia" w:hAnsiTheme="minorEastAsia" w:eastAsiaTheme="minorEastAsia" w:cstheme="minorEastAsia"/>
          <w:color w:val="auto"/>
          <w:spacing w:val="4"/>
          <w:sz w:val="24"/>
          <w:szCs w:val="24"/>
        </w:rPr>
        <w:t>评标委员会根据全体评标成员签字的原始评标记录和评标结果编写评标报</w:t>
      </w:r>
      <w:r>
        <w:rPr>
          <w:rFonts w:hint="eastAsia" w:asciiTheme="minorEastAsia" w:hAnsiTheme="minorEastAsia" w:eastAsiaTheme="minorEastAsia" w:cstheme="minorEastAsia"/>
          <w:color w:val="auto"/>
          <w:sz w:val="24"/>
          <w:szCs w:val="24"/>
        </w:rPr>
        <w:t xml:space="preserve">告。评标报告应当包括以下内容：  </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征集公告刊登的媒体名称、开标日期和地点；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7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z w:val="24"/>
          <w:szCs w:val="24"/>
        </w:rPr>
        <w:t xml:space="preserve">入围供应商名单和评标委员会成员名单；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评标方法和标准；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开标记录和评标情况及说明，包括无效</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名单及原因；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确定的入围供应商名单或者经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委托直接确定的入围供应商；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其他需要说明的情况，包括评标过程中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根据评标委员会要求进行的澄清、 说明或者补正，评标委员会成员的更换等。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4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b/>
          <w:color w:val="auto"/>
          <w:spacing w:val="-9"/>
          <w:sz w:val="24"/>
          <w:szCs w:val="24"/>
          <w:lang w:val="en-US" w:eastAsia="zh-CN"/>
        </w:rPr>
        <w:t>二</w:t>
      </w: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color w:val="auto"/>
          <w:sz w:val="24"/>
          <w:szCs w:val="24"/>
        </w:rPr>
        <w:t>评标报告由评委会全体成员签字。评标委员会成员对需要共同认定的事项存在争议的，应当按照少数服从多数的原则做出结论。持不同意见的评标委员会成员应当 在评标报告上签署不同意见及理由，否则视为同意评标报告。评标报告签署前，经复核</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z w:val="24"/>
          <w:szCs w:val="24"/>
        </w:rPr>
        <w:t xml:space="preserve">发现存在以下情形之一的，评标委员会应当当场修改评标结果，并在评标报告中记载：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分值汇总计算错误的；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分项评分超出评分标准范围的；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评标委员会成员对客观评审因素评分不一致的；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经评标委员会认定评分畸高、畸低。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14" w:name="_Toc23437"/>
      <w:bookmarkStart w:id="215" w:name="_Toc25095"/>
      <w:r>
        <w:rPr>
          <w:rFonts w:hint="eastAsia" w:asciiTheme="minorEastAsia" w:hAnsiTheme="minorEastAsia" w:eastAsiaTheme="minorEastAsia" w:cstheme="minorEastAsia"/>
          <w:b w:val="0"/>
          <w:bCs/>
          <w:color w:val="auto"/>
          <w:sz w:val="24"/>
          <w:szCs w:val="24"/>
          <w:lang w:val="en-US" w:eastAsia="zh-CN"/>
        </w:rPr>
        <w:t>八、</w:t>
      </w:r>
      <w:r>
        <w:rPr>
          <w:rFonts w:hint="eastAsia" w:asciiTheme="minorEastAsia" w:hAnsiTheme="minorEastAsia" w:eastAsiaTheme="minorEastAsia" w:cstheme="minorEastAsia"/>
          <w:b w:val="0"/>
          <w:bCs/>
          <w:color w:val="auto"/>
          <w:sz w:val="24"/>
          <w:szCs w:val="24"/>
        </w:rPr>
        <w:t>定标程序</w:t>
      </w:r>
      <w:bookmarkEnd w:id="214"/>
      <w:bookmarkEnd w:id="215"/>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i w:val="0"/>
          <w:iCs w:val="0"/>
          <w:caps w:val="0"/>
          <w:color w:val="auto"/>
          <w:spacing w:val="0"/>
          <w:sz w:val="24"/>
          <w:szCs w:val="24"/>
          <w:shd w:val="clear" w:fill="FFFFFF"/>
          <w:lang w:val="en-US"/>
        </w:rPr>
        <w:t>110</w:t>
      </w:r>
      <w:r>
        <w:rPr>
          <w:rFonts w:hint="eastAsia" w:asciiTheme="minorEastAsia" w:hAnsiTheme="minorEastAsia" w:eastAsiaTheme="minorEastAsia" w:cstheme="minorEastAsia"/>
          <w:i w:val="0"/>
          <w:iCs w:val="0"/>
          <w:caps w:val="0"/>
          <w:color w:val="auto"/>
          <w:spacing w:val="0"/>
          <w:sz w:val="24"/>
          <w:szCs w:val="24"/>
          <w:shd w:val="clear" w:fill="FFFFFF"/>
        </w:rPr>
        <w:t>号令）要求，</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集采机构在评标结束后2个工作日内将评标报告送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应当自收到评标报告之日起５个工作日内，在评标报告确定的中标候选人名单中按顺序确定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。中标候选人并列的，由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未规定的，采取随机抽取的方式确定。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在收到评标报告5个工作日内未按评标报告推荐的中标候选人顺序确定</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，又不能说明合法理由的，视同按评标报告推荐的顺序确定的中标候选人为</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根据确定的</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供应商，集采机构在甘肃政府采购网、天水市公共资源交易中心网上发布中标公告</w:t>
      </w:r>
      <w:r>
        <w:rPr>
          <w:rFonts w:hint="eastAsia" w:asciiTheme="minorEastAsia" w:hAnsiTheme="minorEastAsia" w:eastAsiaTheme="minorEastAsia" w:cstheme="minorEastAsia"/>
          <w:color w:val="auto"/>
          <w:sz w:val="24"/>
          <w:szCs w:val="24"/>
          <w:lang w:val="en-US" w:eastAsia="zh-CN"/>
        </w:rPr>
        <w:t>及中标通知书</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采购单位不退回</w:t>
      </w:r>
      <w:r>
        <w:rPr>
          <w:rFonts w:hint="eastAsia" w:asciiTheme="minorEastAsia" w:hAnsiTheme="minorEastAsia" w:eastAsiaTheme="minorEastAsia" w:cstheme="minorEastAsia"/>
          <w:color w:val="auto"/>
          <w:sz w:val="24"/>
          <w:szCs w:val="24"/>
          <w:lang w:eastAsia="zh-CN"/>
        </w:rPr>
        <w:t>供应商征集响应文件</w:t>
      </w:r>
      <w:r>
        <w:rPr>
          <w:rFonts w:hint="eastAsia" w:asciiTheme="minorEastAsia" w:hAnsiTheme="minorEastAsia" w:eastAsiaTheme="minorEastAsia" w:cstheme="minorEastAsia"/>
          <w:color w:val="auto"/>
          <w:sz w:val="24"/>
          <w:szCs w:val="24"/>
        </w:rPr>
        <w:t>和其他投标资料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6" w:name="_Toc405"/>
      <w:bookmarkStart w:id="217" w:name="_Toc23856"/>
      <w:r>
        <w:rPr>
          <w:rFonts w:hint="eastAsia" w:asciiTheme="minorEastAsia" w:hAnsiTheme="minorEastAsia" w:eastAsiaTheme="minorEastAsia" w:cstheme="minorEastAsia"/>
          <w:b w:val="0"/>
          <w:bCs/>
          <w:color w:val="auto"/>
          <w:sz w:val="24"/>
          <w:szCs w:val="24"/>
          <w:lang w:val="en-US" w:eastAsia="zh-CN"/>
        </w:rPr>
        <w:t>九、废标</w:t>
      </w:r>
      <w:bookmarkEnd w:id="216"/>
      <w:bookmarkEnd w:id="217"/>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采购中，出现下列情形之一的，应予废标：</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z w:val="24"/>
          <w:szCs w:val="24"/>
        </w:rPr>
        <w:t>①符合专业条件的供应商或者对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作实质响应的供应商不足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家的（经同级</w:t>
      </w:r>
      <w:r>
        <w:rPr>
          <w:rFonts w:hint="eastAsia" w:asciiTheme="minorEastAsia" w:hAnsiTheme="minorEastAsia" w:eastAsiaTheme="minorEastAsia" w:cstheme="minorEastAsia"/>
          <w:color w:val="auto"/>
          <w:spacing w:val="-8"/>
          <w:sz w:val="24"/>
          <w:szCs w:val="24"/>
        </w:rPr>
        <w:t>政府采购监管部门审核批准的除外）；</w:t>
      </w:r>
      <w:r>
        <w:rPr>
          <w:rFonts w:hint="eastAsia" w:asciiTheme="minorEastAsia" w:hAnsiTheme="minorEastAsia" w:eastAsiaTheme="minorEastAsia" w:cstheme="minorEastAsia"/>
          <w:b/>
          <w:color w:val="auto"/>
          <w:spacing w:val="-8"/>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②出现影响采购公正的违法、违规行为的；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的报价均超过了采购预算，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不能支付的；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④因重大变故，采购任务取消的。废标后，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应当将废标理由通知所有采购当事人。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bookmarkStart w:id="218" w:name="_Toc18064"/>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六</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r>
        <w:rPr>
          <w:rFonts w:hint="eastAsia" w:asciiTheme="minorEastAsia" w:hAnsiTheme="minorEastAsia" w:eastAsiaTheme="minorEastAsia" w:cstheme="minorEastAsia"/>
          <w:b/>
          <w:bCs/>
          <w:color w:val="auto"/>
          <w:sz w:val="44"/>
          <w:szCs w:val="44"/>
          <w:shd w:val="clear" w:color="auto" w:fill="auto"/>
        </w:rPr>
        <w:t>政府采购框架协议(范本)</w:t>
      </w:r>
      <w:bookmarkEnd w:id="218"/>
    </w:p>
    <w:p>
      <w:pPr>
        <w:jc w:val="center"/>
        <w:rPr>
          <w:rFonts w:hint="eastAsia" w:asciiTheme="minorEastAsia" w:hAnsiTheme="minorEastAsia" w:eastAsiaTheme="minorEastAsia" w:cstheme="minor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rPr>
          <w:rFonts w:hint="eastAsia" w:asciiTheme="minorEastAsia" w:hAnsiTheme="minorEastAsia" w:eastAsiaTheme="minorEastAsia" w:cstheme="minorEastAsia"/>
          <w:b/>
          <w:bCs/>
          <w:color w:val="auto"/>
          <w:sz w:val="48"/>
          <w:szCs w:val="48"/>
          <w:lang w:eastAsia="zh-CN"/>
        </w:rPr>
      </w:pPr>
    </w:p>
    <w:p>
      <w:pPr>
        <w:pStyle w:val="2"/>
        <w:rPr>
          <w:rFonts w:hint="eastAsia"/>
          <w:lang w:eastAsia="zh-CN"/>
        </w:rPr>
      </w:pPr>
    </w:p>
    <w:p>
      <w:pPr>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天水市行政事业单位2023-2024年度公务用车框架协议采购项目（</w:t>
      </w:r>
      <w:r>
        <w:rPr>
          <w:rFonts w:hint="eastAsia" w:asciiTheme="minorEastAsia" w:hAnsiTheme="minorEastAsia" w:eastAsiaTheme="minorEastAsia" w:cstheme="minorEastAsia"/>
          <w:b/>
          <w:bCs/>
          <w:color w:val="auto"/>
          <w:sz w:val="44"/>
          <w:szCs w:val="44"/>
          <w:lang w:val="en-US" w:eastAsia="zh-CN"/>
        </w:rPr>
        <w:t>样本</w:t>
      </w:r>
      <w:r>
        <w:rPr>
          <w:rFonts w:hint="eastAsia" w:asciiTheme="minorEastAsia" w:hAnsiTheme="minorEastAsia" w:eastAsiaTheme="minorEastAsia" w:cstheme="minorEastAsia"/>
          <w:b/>
          <w:bCs/>
          <w:color w:val="auto"/>
          <w:sz w:val="44"/>
          <w:szCs w:val="44"/>
          <w:lang w:eastAsia="zh-CN"/>
        </w:rPr>
        <w:t>）</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52"/>
          <w:szCs w:val="52"/>
        </w:rPr>
      </w:pPr>
      <w:r>
        <w:rPr>
          <w:rFonts w:hint="eastAsia" w:asciiTheme="minorEastAsia" w:hAnsiTheme="minorEastAsia" w:eastAsiaTheme="minorEastAsia" w:cstheme="minorEastAsia"/>
          <w:b/>
          <w:bCs/>
          <w:color w:val="auto"/>
          <w:sz w:val="52"/>
          <w:szCs w:val="52"/>
        </w:rPr>
        <w:t>政府采购框架协议</w:t>
      </w:r>
    </w:p>
    <w:p>
      <w:pPr>
        <w:jc w:val="center"/>
        <w:rPr>
          <w:rFonts w:hint="eastAsia" w:asciiTheme="minorEastAsia" w:hAnsiTheme="minorEastAsia" w:eastAsiaTheme="minorEastAsia" w:cstheme="minorEastAsia"/>
          <w:color w:val="auto"/>
          <w:sz w:val="44"/>
          <w:szCs w:val="44"/>
        </w:rPr>
      </w:pPr>
    </w:p>
    <w:p>
      <w:pPr>
        <w:jc w:val="left"/>
        <w:rPr>
          <w:rFonts w:hint="eastAsia" w:asciiTheme="minorEastAsia" w:hAnsiTheme="minorEastAsia" w:eastAsiaTheme="minorEastAsia" w:cstheme="minorEastAsia"/>
          <w:b/>
          <w:bCs/>
          <w:color w:val="auto"/>
          <w:sz w:val="36"/>
          <w:szCs w:val="36"/>
          <w:lang w:eastAsia="zh-CN"/>
        </w:rPr>
      </w:pPr>
    </w:p>
    <w:p>
      <w:pPr>
        <w:pStyle w:val="5"/>
        <w:numPr>
          <w:ilvl w:val="1"/>
          <w:numId w:val="0"/>
        </w:numPr>
        <w:jc w:val="both"/>
        <w:rPr>
          <w:rFonts w:hint="eastAsia" w:asciiTheme="minorEastAsia" w:hAnsiTheme="minorEastAsia" w:eastAsiaTheme="minorEastAsia" w:cs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甲</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lang w:val="en-US" w:eastAsia="zh-CN"/>
        </w:rPr>
        <w:t>天水市财政局</w:t>
      </w:r>
      <w:r>
        <w:rPr>
          <w:rFonts w:hint="eastAsia" w:asciiTheme="minorEastAsia" w:hAnsiTheme="minorEastAsia" w:eastAsiaTheme="minorEastAsia" w:cstheme="minorEastAsia"/>
          <w:b w:val="0"/>
          <w:bCs w:val="0"/>
          <w:i w:val="0"/>
          <w:i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乙</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集采机构：天水市公共资源交易中心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签订日期：</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年</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月</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spacing w:line="360" w:lineRule="auto"/>
        <w:rPr>
          <w:rFonts w:hint="eastAsia" w:ascii="宋体" w:hAnsi="宋体" w:cs="Arial"/>
          <w:color w:val="auto"/>
          <w:sz w:val="24"/>
          <w:szCs w:val="24"/>
        </w:rPr>
      </w:pPr>
      <w:bookmarkStart w:id="219" w:name="_Toc15787"/>
      <w:bookmarkStart w:id="220" w:name="_Toc10137"/>
      <w:bookmarkStart w:id="221" w:name="_Toc60421813"/>
      <w:bookmarkStart w:id="222" w:name="_Toc327949263"/>
      <w:r>
        <w:rPr>
          <w:rFonts w:hint="eastAsia" w:ascii="宋体" w:hAnsi="宋体" w:cs="Arial"/>
          <w:color w:val="auto"/>
          <w:sz w:val="24"/>
          <w:szCs w:val="24"/>
        </w:rPr>
        <w:t>甲方：</w:t>
      </w:r>
    </w:p>
    <w:p>
      <w:pPr>
        <w:spacing w:line="360" w:lineRule="auto"/>
        <w:rPr>
          <w:rFonts w:hint="eastAsia" w:ascii="宋体" w:hAnsi="宋体" w:cs="Arial"/>
          <w:color w:val="auto"/>
          <w:sz w:val="24"/>
          <w:szCs w:val="24"/>
        </w:rPr>
      </w:pPr>
      <w:r>
        <w:rPr>
          <w:rFonts w:hint="eastAsia" w:ascii="宋体" w:hAnsi="宋体" w:cs="Arial"/>
          <w:color w:val="auto"/>
          <w:sz w:val="24"/>
          <w:szCs w:val="24"/>
        </w:rPr>
        <w:t>乙方（中标供应商）：</w:t>
      </w:r>
    </w:p>
    <w:p>
      <w:pPr>
        <w:spacing w:line="360" w:lineRule="auto"/>
        <w:ind w:firstLine="480" w:firstLineChars="200"/>
        <w:rPr>
          <w:rFonts w:hint="eastAsia" w:ascii="宋体" w:hAnsi="宋体" w:cs="宋体"/>
          <w:sz w:val="24"/>
        </w:rPr>
      </w:pPr>
      <w:r>
        <w:rPr>
          <w:rFonts w:hint="eastAsia" w:ascii="宋体" w:hAnsi="宋体" w:cs="宋体"/>
          <w:sz w:val="24"/>
        </w:rPr>
        <w:t>为了保护供需双方的合法权益，根据《中华人民共和国政府采购法》《中华人民共和国合同法》等相关法规和政府采购招标文件、政府采购投标文件承诺的相关规定，签订本合同，以便共同遵照执行：</w:t>
      </w:r>
    </w:p>
    <w:p>
      <w:pPr>
        <w:spacing w:after="156" w:afterLines="50" w:line="360" w:lineRule="auto"/>
        <w:rPr>
          <w:rFonts w:hint="eastAsia" w:ascii="宋体" w:hAnsi="宋体" w:cs="宋体"/>
          <w:sz w:val="24"/>
        </w:rPr>
      </w:pPr>
      <w:r>
        <w:rPr>
          <w:rFonts w:hint="eastAsia" w:ascii="宋体" w:hAnsi="宋体" w:cs="宋体"/>
          <w:b/>
          <w:bCs/>
          <w:sz w:val="24"/>
        </w:rPr>
        <w:t>一、采购品目、型号、数量及金额</w:t>
      </w:r>
      <w:r>
        <w:rPr>
          <w:rFonts w:hint="eastAsia" w:ascii="宋体" w:hAnsi="宋体" w:cs="宋体"/>
          <w:sz w:val="24"/>
        </w:rPr>
        <w:t>（注：填写不下时，可按此表格自行打印清单）</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820"/>
        <w:gridCol w:w="1275"/>
        <w:gridCol w:w="1170"/>
        <w:gridCol w:w="13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品目</w:t>
            </w:r>
          </w:p>
        </w:tc>
        <w:tc>
          <w:tcPr>
            <w:tcW w:w="2820" w:type="dxa"/>
            <w:noWrap w:val="0"/>
            <w:vAlign w:val="center"/>
          </w:tcPr>
          <w:p>
            <w:pPr>
              <w:spacing w:line="360" w:lineRule="auto"/>
              <w:jc w:val="center"/>
              <w:rPr>
                <w:rFonts w:hint="eastAsia" w:ascii="宋体" w:hAnsi="宋体" w:cs="宋体"/>
                <w:sz w:val="24"/>
              </w:rPr>
            </w:pPr>
            <w:r>
              <w:rPr>
                <w:rFonts w:hint="eastAsia" w:ascii="宋体" w:hAnsi="宋体" w:cs="宋体"/>
                <w:sz w:val="24"/>
              </w:rPr>
              <w:t>型号及主要技术指标</w:t>
            </w:r>
          </w:p>
        </w:tc>
        <w:tc>
          <w:tcPr>
            <w:tcW w:w="1275" w:type="dxa"/>
            <w:noWrap w:val="0"/>
            <w:vAlign w:val="center"/>
          </w:tcPr>
          <w:p>
            <w:pPr>
              <w:spacing w:line="360" w:lineRule="auto"/>
              <w:jc w:val="center"/>
              <w:rPr>
                <w:rFonts w:hint="eastAsia" w:ascii="宋体" w:hAnsi="宋体" w:cs="宋体"/>
                <w:sz w:val="24"/>
              </w:rPr>
            </w:pPr>
            <w:r>
              <w:rPr>
                <w:rFonts w:hint="eastAsia" w:ascii="宋体" w:hAnsi="宋体" w:cs="宋体"/>
                <w:sz w:val="24"/>
              </w:rPr>
              <w:t>采购预算（万元）</w:t>
            </w:r>
          </w:p>
        </w:tc>
        <w:tc>
          <w:tcPr>
            <w:tcW w:w="1170" w:type="dxa"/>
            <w:noWrap w:val="0"/>
            <w:vAlign w:val="center"/>
          </w:tcPr>
          <w:p>
            <w:pPr>
              <w:spacing w:line="360" w:lineRule="auto"/>
              <w:jc w:val="center"/>
              <w:rPr>
                <w:rFonts w:hint="eastAsia" w:ascii="宋体" w:hAnsi="宋体" w:cs="宋体"/>
                <w:sz w:val="24"/>
              </w:rPr>
            </w:pPr>
            <w:r>
              <w:rPr>
                <w:rFonts w:hint="eastAsia" w:ascii="宋体" w:hAnsi="宋体" w:cs="宋体"/>
                <w:sz w:val="24"/>
              </w:rPr>
              <w:t>中标价（万元）</w:t>
            </w:r>
          </w:p>
        </w:tc>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节约资金（万元）</w:t>
            </w:r>
          </w:p>
        </w:tc>
        <w:tc>
          <w:tcPr>
            <w:tcW w:w="855" w:type="dxa"/>
            <w:noWrap w:val="0"/>
            <w:vAlign w:val="center"/>
          </w:tcPr>
          <w:p>
            <w:pPr>
              <w:spacing w:line="360" w:lineRule="auto"/>
              <w:jc w:val="center"/>
              <w:rPr>
                <w:rFonts w:hint="eastAsia" w:ascii="宋体" w:hAnsi="宋体" w:cs="宋体"/>
                <w:sz w:val="24"/>
              </w:rPr>
            </w:pPr>
            <w:r>
              <w:rPr>
                <w:rFonts w:hint="eastAsia" w:ascii="宋体" w:hAnsi="宋体" w:cs="宋体"/>
                <w:sz w:val="24"/>
              </w:rPr>
              <w:t>节约率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c>
          <w:tcPr>
            <w:tcW w:w="282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1170" w:type="dxa"/>
            <w:noWrap w:val="0"/>
            <w:vAlign w:val="center"/>
          </w:tcPr>
          <w:p>
            <w:pPr>
              <w:spacing w:line="360" w:lineRule="auto"/>
              <w:jc w:val="center"/>
              <w:rPr>
                <w:rFonts w:hint="eastAsia" w:ascii="宋体" w:hAnsi="宋体" w:cs="宋体"/>
                <w:sz w:val="24"/>
              </w:rPr>
            </w:pPr>
          </w:p>
        </w:tc>
        <w:tc>
          <w:tcPr>
            <w:tcW w:w="1305" w:type="dxa"/>
            <w:noWrap w:val="0"/>
            <w:vAlign w:val="center"/>
          </w:tcPr>
          <w:p>
            <w:pPr>
              <w:spacing w:line="360" w:lineRule="auto"/>
              <w:jc w:val="center"/>
              <w:rPr>
                <w:rFonts w:hint="eastAsia" w:ascii="宋体" w:hAnsi="宋体" w:cs="宋体"/>
                <w:sz w:val="24"/>
              </w:rPr>
            </w:pPr>
          </w:p>
        </w:tc>
        <w:tc>
          <w:tcPr>
            <w:tcW w:w="855"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b/>
          <w:bCs/>
          <w:sz w:val="24"/>
        </w:rPr>
      </w:pPr>
      <w:r>
        <w:rPr>
          <w:rFonts w:hint="eastAsia" w:ascii="宋体" w:hAnsi="宋体" w:cs="宋体"/>
          <w:b/>
          <w:bCs/>
          <w:sz w:val="24"/>
        </w:rPr>
        <w:t>二、交货地点、时间：</w:t>
      </w:r>
    </w:p>
    <w:p>
      <w:pPr>
        <w:spacing w:line="360" w:lineRule="auto"/>
        <w:rPr>
          <w:rFonts w:hint="eastAsia" w:ascii="宋体" w:hAnsi="宋体" w:cs="宋体"/>
          <w:sz w:val="24"/>
        </w:rPr>
      </w:pPr>
      <w:r>
        <w:rPr>
          <w:rFonts w:hint="eastAsia" w:ascii="宋体" w:hAnsi="宋体" w:cs="宋体"/>
          <w:sz w:val="24"/>
        </w:rPr>
        <w:t>交货时间：于 年 月 日到 年 月 日前供货安装完毕。</w:t>
      </w:r>
    </w:p>
    <w:p>
      <w:pPr>
        <w:spacing w:line="360" w:lineRule="auto"/>
        <w:rPr>
          <w:rFonts w:hint="eastAsia" w:ascii="宋体" w:hAnsi="宋体" w:cs="宋体"/>
          <w:sz w:val="24"/>
        </w:rPr>
      </w:pPr>
      <w:r>
        <w:rPr>
          <w:rFonts w:hint="eastAsia" w:ascii="宋体" w:hAnsi="宋体" w:cs="宋体"/>
          <w:sz w:val="24"/>
        </w:rPr>
        <w:t xml:space="preserve">收货单位名称：                      指定地点：     </w:t>
      </w:r>
    </w:p>
    <w:p>
      <w:pPr>
        <w:spacing w:line="360" w:lineRule="auto"/>
        <w:rPr>
          <w:rFonts w:hint="eastAsia" w:ascii="宋体" w:hAnsi="宋体" w:cs="宋体"/>
          <w:sz w:val="24"/>
        </w:rPr>
      </w:pPr>
      <w:r>
        <w:rPr>
          <w:rFonts w:hint="eastAsia" w:ascii="宋体" w:hAnsi="宋体" w:cs="宋体"/>
          <w:sz w:val="24"/>
        </w:rPr>
        <w:t>收货联系人：                        联系电话 ：</w:t>
      </w:r>
    </w:p>
    <w:p>
      <w:pPr>
        <w:spacing w:line="360" w:lineRule="auto"/>
        <w:rPr>
          <w:rFonts w:hint="eastAsia" w:ascii="宋体" w:hAnsi="宋体" w:cs="宋体"/>
          <w:sz w:val="24"/>
        </w:rPr>
      </w:pPr>
      <w:r>
        <w:rPr>
          <w:rFonts w:hint="eastAsia" w:ascii="宋体" w:hAnsi="宋体" w:cs="宋体"/>
          <w:sz w:val="24"/>
        </w:rPr>
        <w:t>交货方式：</w:t>
      </w:r>
    </w:p>
    <w:p>
      <w:pPr>
        <w:spacing w:line="360" w:lineRule="auto"/>
        <w:ind w:firstLine="480" w:firstLineChars="200"/>
        <w:rPr>
          <w:rFonts w:hint="eastAsia" w:ascii="宋体" w:hAnsi="宋体" w:cs="宋体"/>
          <w:sz w:val="24"/>
        </w:rPr>
      </w:pPr>
      <w:r>
        <w:rPr>
          <w:rFonts w:hint="eastAsia" w:ascii="宋体" w:hAnsi="宋体" w:cs="宋体"/>
          <w:sz w:val="24"/>
        </w:rPr>
        <w:t>1、供货方送货上门，供方将货物送到指定地点，交由指定收货人验收。此外，供方应在交货前向需方提供交货计划；运输、保险和装箱的费用由供方承担。</w:t>
      </w:r>
    </w:p>
    <w:p>
      <w:pPr>
        <w:spacing w:line="360" w:lineRule="auto"/>
        <w:ind w:firstLine="480" w:firstLineChars="200"/>
        <w:rPr>
          <w:rFonts w:hint="eastAsia" w:ascii="宋体" w:hAnsi="宋体" w:cs="宋体"/>
          <w:sz w:val="24"/>
        </w:rPr>
      </w:pPr>
      <w:r>
        <w:rPr>
          <w:rFonts w:hint="eastAsia" w:ascii="宋体" w:hAnsi="宋体" w:cs="宋体"/>
          <w:sz w:val="24"/>
        </w:rPr>
        <w:t>2、供方有权要求需方在收到货物时在收货清单上加盖鲜章或由合同约定的收货联系人签字并提供身份证明进行签收，否则可以不交接货物并不承担可能造成的延期供货责任。</w:t>
      </w:r>
    </w:p>
    <w:p>
      <w:pPr>
        <w:spacing w:line="360" w:lineRule="auto"/>
        <w:rPr>
          <w:rFonts w:hint="eastAsia" w:ascii="宋体" w:hAnsi="宋体" w:cs="宋体"/>
          <w:b/>
          <w:bCs/>
          <w:sz w:val="24"/>
        </w:rPr>
      </w:pPr>
      <w:r>
        <w:rPr>
          <w:rFonts w:hint="eastAsia" w:ascii="宋体" w:hAnsi="宋体" w:cs="宋体"/>
          <w:b/>
          <w:bCs/>
          <w:sz w:val="24"/>
        </w:rPr>
        <w:t>三、质量与验收标准及提出异议时间：</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所提供的产品必须符合国家及行业统一质量标准；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招投标文件要求和投标文件响应标准；</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验收依据：</w:t>
      </w:r>
    </w:p>
    <w:p>
      <w:pPr>
        <w:spacing w:line="360" w:lineRule="auto"/>
        <w:ind w:firstLine="480" w:firstLineChars="200"/>
        <w:rPr>
          <w:rFonts w:hint="eastAsia" w:ascii="宋体" w:hAnsi="宋体" w:cs="宋体"/>
          <w:sz w:val="24"/>
        </w:rPr>
      </w:pPr>
      <w:r>
        <w:rPr>
          <w:rFonts w:hint="eastAsia" w:ascii="宋体" w:hAnsi="宋体" w:cs="宋体"/>
          <w:sz w:val="24"/>
        </w:rPr>
        <w:t>1.产品合格证；</w:t>
      </w:r>
    </w:p>
    <w:p>
      <w:pPr>
        <w:spacing w:line="360" w:lineRule="auto"/>
        <w:ind w:firstLine="480" w:firstLineChars="200"/>
        <w:rPr>
          <w:rFonts w:hint="eastAsia" w:ascii="宋体" w:hAnsi="宋体" w:cs="宋体"/>
          <w:sz w:val="24"/>
        </w:rPr>
      </w:pPr>
      <w:r>
        <w:rPr>
          <w:rFonts w:hint="eastAsia" w:ascii="宋体" w:hAnsi="宋体" w:cs="宋体"/>
          <w:sz w:val="24"/>
        </w:rPr>
        <w:t>2.投标文件“投标产品的品牌、型号配置表”；</w:t>
      </w:r>
    </w:p>
    <w:p>
      <w:pPr>
        <w:spacing w:line="360" w:lineRule="auto"/>
        <w:ind w:firstLine="480" w:firstLineChars="200"/>
        <w:rPr>
          <w:rFonts w:hint="eastAsia" w:ascii="宋体" w:hAnsi="宋体" w:cs="宋体"/>
          <w:sz w:val="24"/>
        </w:rPr>
      </w:pPr>
      <w:r>
        <w:rPr>
          <w:rFonts w:hint="eastAsia" w:ascii="宋体" w:hAnsi="宋体" w:cs="宋体"/>
          <w:sz w:val="24"/>
        </w:rPr>
        <w:t>3.投标文件“详细的技术指标参数表”；</w:t>
      </w:r>
    </w:p>
    <w:p>
      <w:pPr>
        <w:spacing w:line="360" w:lineRule="auto"/>
        <w:ind w:firstLine="480" w:firstLineChars="200"/>
        <w:rPr>
          <w:rFonts w:hint="eastAsia" w:ascii="宋体" w:hAnsi="宋体" w:cs="宋体"/>
          <w:sz w:val="24"/>
        </w:rPr>
      </w:pPr>
      <w:r>
        <w:rPr>
          <w:rFonts w:hint="eastAsia" w:ascii="宋体" w:hAnsi="宋体" w:cs="宋体"/>
          <w:sz w:val="24"/>
        </w:rPr>
        <w:t>4.投标文件“投标产品检验报告”；</w:t>
      </w:r>
    </w:p>
    <w:p>
      <w:pPr>
        <w:spacing w:line="360" w:lineRule="auto"/>
        <w:ind w:firstLine="480" w:firstLineChars="200"/>
        <w:rPr>
          <w:rFonts w:hint="eastAsia" w:ascii="宋体" w:hAnsi="宋体" w:cs="宋体"/>
          <w:sz w:val="24"/>
        </w:rPr>
      </w:pPr>
      <w:r>
        <w:rPr>
          <w:rFonts w:hint="eastAsia" w:ascii="宋体" w:hAnsi="宋体" w:cs="宋体"/>
          <w:sz w:val="24"/>
        </w:rPr>
        <w:t>5.投标文件“验收标准和验收方法”；</w:t>
      </w:r>
    </w:p>
    <w:p>
      <w:pPr>
        <w:numPr>
          <w:ilvl w:val="0"/>
          <w:numId w:val="0"/>
        </w:numPr>
        <w:spacing w:line="360" w:lineRule="auto"/>
        <w:rPr>
          <w:rFonts w:hint="eastAsia" w:ascii="宋体" w:hAnsi="宋体" w:cs="宋体"/>
          <w:b/>
          <w:bCs/>
          <w:color w:val="auto"/>
          <w:sz w:val="24"/>
          <w:szCs w:val="24"/>
        </w:rPr>
      </w:pPr>
      <w:r>
        <w:rPr>
          <w:rFonts w:hint="eastAsia" w:ascii="宋体" w:hAnsi="宋体" w:cs="宋体"/>
          <w:b/>
          <w:bCs/>
          <w:color w:val="auto"/>
          <w:sz w:val="24"/>
          <w:szCs w:val="24"/>
          <w:lang w:val="en-US" w:eastAsia="zh-CN"/>
        </w:rPr>
        <w:t xml:space="preserve">   四、</w:t>
      </w:r>
      <w:r>
        <w:rPr>
          <w:rFonts w:hint="eastAsia" w:ascii="宋体" w:hAnsi="宋体" w:cs="宋体"/>
          <w:b/>
          <w:bCs/>
          <w:color w:val="auto"/>
          <w:sz w:val="24"/>
          <w:szCs w:val="24"/>
        </w:rPr>
        <w:t>结算方式</w:t>
      </w:r>
    </w:p>
    <w:p>
      <w:pPr>
        <w:spacing w:line="360" w:lineRule="auto"/>
        <w:ind w:firstLine="480" w:firstLineChars="200"/>
        <w:rPr>
          <w:rFonts w:hint="eastAsia" w:ascii="宋体" w:hAnsi="宋体" w:cs="宋体"/>
          <w:color w:val="FF0000"/>
          <w:sz w:val="24"/>
        </w:rPr>
      </w:pPr>
      <w:r>
        <w:rPr>
          <w:rFonts w:hint="eastAsia" w:ascii="宋体" w:hAnsi="宋体" w:cs="宋体"/>
          <w:sz w:val="24"/>
        </w:rPr>
        <w:t>本项目无预付款，按照合同签订时间地点供货经验收合格后凭验收合格证明及按合同总价开具的发票（完税价）由采购人支付。</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rPr>
        <w:t>五、售后服务：</w:t>
      </w:r>
    </w:p>
    <w:p>
      <w:pPr>
        <w:spacing w:line="360" w:lineRule="auto"/>
        <w:ind w:firstLine="240" w:firstLineChars="100"/>
        <w:rPr>
          <w:rFonts w:hint="eastAsia" w:ascii="宋体" w:hAnsi="宋体" w:cs="宋体"/>
          <w:sz w:val="24"/>
        </w:rPr>
      </w:pPr>
      <w:r>
        <w:rPr>
          <w:rFonts w:hint="eastAsia" w:ascii="宋体" w:hAnsi="宋体" w:cs="宋体"/>
          <w:sz w:val="24"/>
        </w:rPr>
        <w:t xml:space="preserve"> 1、供方必须按需方要求清单所需要的配置、参数、保质保量供货。</w:t>
      </w:r>
    </w:p>
    <w:p>
      <w:pPr>
        <w:numPr>
          <w:ilvl w:val="0"/>
          <w:numId w:val="13"/>
        </w:numPr>
        <w:spacing w:line="360" w:lineRule="auto"/>
        <w:ind w:firstLine="360" w:firstLineChars="150"/>
        <w:rPr>
          <w:rFonts w:hint="default" w:eastAsia="宋体"/>
          <w:lang w:val="en-US" w:eastAsia="zh-CN"/>
        </w:rPr>
      </w:pPr>
      <w:r>
        <w:rPr>
          <w:rFonts w:hint="eastAsia" w:ascii="宋体" w:hAnsi="宋体" w:cs="宋体"/>
          <w:sz w:val="24"/>
        </w:rPr>
        <w:t>所提供的产品必须符合国家统一质量标准。</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lang w:eastAsia="zh-CN"/>
        </w:rPr>
        <w:t>六</w:t>
      </w:r>
      <w:r>
        <w:rPr>
          <w:rFonts w:hint="eastAsia" w:ascii="宋体" w:hAnsi="宋体" w:cs="宋体"/>
          <w:b/>
          <w:bCs/>
          <w:sz w:val="24"/>
        </w:rPr>
        <w:t>、违约责任：</w:t>
      </w:r>
    </w:p>
    <w:p>
      <w:pPr>
        <w:spacing w:line="360" w:lineRule="auto"/>
        <w:ind w:firstLine="360" w:firstLineChars="150"/>
        <w:rPr>
          <w:rFonts w:hint="eastAsia" w:ascii="宋体" w:hAnsi="宋体" w:cs="宋体"/>
          <w:sz w:val="24"/>
        </w:rPr>
      </w:pPr>
      <w:r>
        <w:rPr>
          <w:rFonts w:hint="eastAsia" w:ascii="宋体" w:hAnsi="宋体" w:cs="宋体"/>
          <w:sz w:val="24"/>
        </w:rPr>
        <w:t>1、供方未能按供货合同的约定近期完成交货或需方延期付款，每逾期一天，违约方应按合同总额1%向对方支付违约金，但违约金最高金额不超过合同金额的5%，逾期超过5日，有权解除合同。</w:t>
      </w:r>
    </w:p>
    <w:p>
      <w:pPr>
        <w:spacing w:line="360" w:lineRule="auto"/>
        <w:ind w:firstLine="360" w:firstLineChars="150"/>
        <w:rPr>
          <w:rFonts w:hint="eastAsia" w:ascii="宋体" w:hAnsi="宋体"/>
          <w:color w:val="auto"/>
          <w:sz w:val="24"/>
          <w:szCs w:val="24"/>
        </w:rPr>
      </w:pPr>
      <w:r>
        <w:rPr>
          <w:rFonts w:hint="eastAsia" w:ascii="宋体" w:hAnsi="宋体" w:cs="宋体"/>
          <w:sz w:val="24"/>
        </w:rPr>
        <w:t>2、如因供方提供的设备质量或安装施工问题造成需方损失，供方应承担全部责任，情节严重者追究刑事责任。</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七、</w:t>
      </w:r>
      <w:r>
        <w:rPr>
          <w:rFonts w:hint="eastAsia" w:ascii="宋体" w:hAnsi="宋体" w:cs="Arial"/>
          <w:b/>
          <w:color w:val="auto"/>
          <w:sz w:val="24"/>
          <w:szCs w:val="24"/>
        </w:rPr>
        <w:t>争议及解决办法</w:t>
      </w:r>
    </w:p>
    <w:p>
      <w:pPr>
        <w:tabs>
          <w:tab w:val="left" w:pos="360"/>
        </w:tabs>
        <w:spacing w:line="360" w:lineRule="auto"/>
        <w:ind w:firstLine="480" w:firstLineChars="200"/>
        <w:rPr>
          <w:rFonts w:hint="eastAsia" w:ascii="宋体" w:hAnsi="宋体" w:cs="Arial"/>
          <w:color w:val="auto"/>
          <w:sz w:val="24"/>
          <w:szCs w:val="24"/>
        </w:rPr>
      </w:pPr>
      <w:r>
        <w:rPr>
          <w:rFonts w:hint="eastAsia" w:ascii="宋体" w:hAnsi="宋体"/>
          <w:color w:val="auto"/>
          <w:sz w:val="24"/>
          <w:szCs w:val="24"/>
        </w:rPr>
        <w:t>本协议发生争议，由双方协商或由政府采购监督管理部门调解解决，协商或调解不成时提交天水仲裁委员会仲裁。</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八、</w:t>
      </w:r>
      <w:r>
        <w:rPr>
          <w:rFonts w:hint="eastAsia" w:ascii="宋体" w:hAnsi="宋体" w:cs="Arial"/>
          <w:b/>
          <w:color w:val="auto"/>
          <w:sz w:val="24"/>
          <w:szCs w:val="24"/>
        </w:rPr>
        <w:t>其他</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本协议一式</w:t>
      </w:r>
      <w:r>
        <w:rPr>
          <w:rFonts w:hint="eastAsia" w:ascii="宋体" w:hAnsi="宋体" w:cs="宋体"/>
          <w:color w:val="auto"/>
          <w:sz w:val="24"/>
          <w:szCs w:val="24"/>
        </w:rPr>
        <w:t>两</w:t>
      </w:r>
      <w:r>
        <w:rPr>
          <w:rFonts w:hint="eastAsia" w:ascii="宋体" w:hAnsi="宋体" w:cs="Arial"/>
          <w:color w:val="auto"/>
          <w:sz w:val="24"/>
          <w:szCs w:val="24"/>
        </w:rPr>
        <w:t>份，具有同等效力，甲、乙双方各执</w:t>
      </w:r>
      <w:r>
        <w:rPr>
          <w:rFonts w:hint="eastAsia" w:ascii="宋体" w:hAnsi="宋体" w:cs="宋体"/>
          <w:color w:val="auto"/>
          <w:sz w:val="24"/>
          <w:szCs w:val="24"/>
        </w:rPr>
        <w:t>一</w:t>
      </w:r>
      <w:r>
        <w:rPr>
          <w:rFonts w:hint="eastAsia" w:ascii="宋体" w:hAnsi="宋体" w:cs="Arial"/>
          <w:color w:val="auto"/>
          <w:sz w:val="24"/>
          <w:szCs w:val="24"/>
        </w:rPr>
        <w:t>份。协议自双方签字盖章之日起生效。</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本合同未尽事宜，由双方协商处理。</w:t>
      </w:r>
    </w:p>
    <w:p>
      <w:pPr>
        <w:spacing w:line="360" w:lineRule="auto"/>
        <w:rPr>
          <w:rFonts w:hint="eastAsia" w:ascii="宋体" w:hAnsi="宋体" w:cs="Arial"/>
          <w:color w:val="auto"/>
          <w:sz w:val="24"/>
          <w:szCs w:val="24"/>
        </w:rPr>
      </w:pPr>
    </w:p>
    <w:tbl>
      <w:tblPr>
        <w:tblStyle w:val="39"/>
        <w:tblW w:w="0" w:type="auto"/>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甲方：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乙方：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r>
    </w:tbl>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pStyle w:val="9"/>
        <w:rPr>
          <w:rFonts w:hint="eastAsia" w:asciiTheme="minorEastAsia" w:hAnsiTheme="minorEastAsia" w:eastAsiaTheme="minorEastAsia" w:cstheme="minorEastAsia"/>
          <w:color w:val="auto"/>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rPr>
      </w:pPr>
      <w:bookmarkStart w:id="223" w:name="_Toc28488"/>
      <w:r>
        <w:rPr>
          <w:rFonts w:hint="eastAsia" w:asciiTheme="minorEastAsia" w:hAnsiTheme="minorEastAsia" w:eastAsiaTheme="minorEastAsia" w:cstheme="minorEastAsia"/>
          <w:b/>
          <w:bCs/>
          <w:color w:val="auto"/>
          <w:sz w:val="44"/>
          <w:szCs w:val="44"/>
          <w:lang w:val="en-US" w:eastAsia="zh-CN"/>
        </w:rPr>
        <w:t xml:space="preserve">第七部分  </w:t>
      </w:r>
      <w:r>
        <w:rPr>
          <w:rFonts w:hint="eastAsia" w:asciiTheme="minorEastAsia" w:hAnsiTheme="minorEastAsia" w:eastAsiaTheme="minorEastAsia" w:cstheme="minorEastAsia"/>
          <w:b/>
          <w:bCs/>
          <w:color w:val="auto"/>
          <w:sz w:val="44"/>
          <w:szCs w:val="44"/>
          <w:lang w:eastAsia="zh-CN"/>
        </w:rPr>
        <w:t>征集响应文件</w:t>
      </w:r>
      <w:bookmarkEnd w:id="219"/>
      <w:bookmarkEnd w:id="220"/>
      <w:r>
        <w:rPr>
          <w:rFonts w:hint="eastAsia" w:asciiTheme="minorEastAsia" w:hAnsiTheme="minorEastAsia" w:eastAsiaTheme="minorEastAsia" w:cstheme="minorEastAsia"/>
          <w:b/>
          <w:bCs/>
          <w:color w:val="auto"/>
          <w:sz w:val="44"/>
          <w:szCs w:val="44"/>
          <w:lang w:val="en-US" w:eastAsia="zh-CN"/>
        </w:rPr>
        <w:t>格式</w:t>
      </w:r>
      <w:bookmarkEnd w:id="223"/>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天水市行政事业单位2023-2024年度公务用车框架协议采购项目</w:t>
      </w: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jc w:val="center"/>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框架协议</w:t>
      </w:r>
      <w:r>
        <w:rPr>
          <w:rFonts w:hint="eastAsia" w:asciiTheme="minorEastAsia" w:hAnsiTheme="minorEastAsia" w:eastAsiaTheme="minorEastAsia" w:cstheme="minorEastAsia"/>
          <w:b/>
          <w:bCs w:val="0"/>
          <w:color w:val="auto"/>
          <w:sz w:val="32"/>
          <w:szCs w:val="32"/>
        </w:rPr>
        <w:t>编号：</w:t>
      </w:r>
      <w:r>
        <w:rPr>
          <w:rFonts w:hint="eastAsia" w:asciiTheme="minorEastAsia" w:hAnsiTheme="minorEastAsia" w:eastAsiaTheme="minorEastAsia" w:cstheme="minorEastAsia"/>
          <w:b/>
          <w:bCs w:val="0"/>
          <w:color w:val="auto"/>
          <w:sz w:val="32"/>
          <w:szCs w:val="32"/>
          <w:lang w:eastAsia="zh-CN"/>
        </w:rPr>
        <w:t>TGKX2023-022</w:t>
      </w:r>
    </w:p>
    <w:p>
      <w:pPr>
        <w:pStyle w:val="32"/>
        <w:jc w:val="center"/>
        <w:rPr>
          <w:rFonts w:hint="eastAsia" w:asciiTheme="minorEastAsia" w:hAnsiTheme="minorEastAsia" w:eastAsiaTheme="minorEastAsia" w:cstheme="minorEastAsia"/>
          <w:b/>
          <w:bCs w:val="0"/>
          <w:color w:val="auto"/>
          <w:kern w:val="2"/>
          <w:sz w:val="32"/>
          <w:szCs w:val="32"/>
          <w:lang w:val="en-US" w:eastAsia="zh-CN" w:bidi="ar-SA"/>
        </w:rPr>
      </w:pPr>
      <w:r>
        <w:rPr>
          <w:rFonts w:hint="eastAsia" w:asciiTheme="minorEastAsia" w:hAnsiTheme="minorEastAsia" w:eastAsiaTheme="minorEastAsia" w:cstheme="minorEastAsia"/>
          <w:b/>
          <w:bCs w:val="0"/>
          <w:color w:val="auto"/>
          <w:kern w:val="2"/>
          <w:sz w:val="32"/>
          <w:szCs w:val="32"/>
          <w:lang w:val="en-US" w:eastAsia="zh-CN" w:bidi="ar-SA"/>
        </w:rPr>
        <w:t>（第七包）</w:t>
      </w:r>
    </w:p>
    <w:p>
      <w:pPr>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spacing w:line="240" w:lineRule="exact"/>
        <w:jc w:val="center"/>
        <w:rPr>
          <w:rFonts w:hint="eastAsia" w:asciiTheme="minorEastAsia" w:hAnsiTheme="minorEastAsia" w:eastAsiaTheme="minorEastAsia" w:cstheme="minorEastAsia"/>
          <w:b/>
          <w:color w:val="auto"/>
          <w:sz w:val="18"/>
          <w:szCs w:val="18"/>
        </w:rPr>
      </w:pPr>
    </w:p>
    <w:p>
      <w:pPr>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lang w:val="en-US" w:eastAsia="zh-CN"/>
        </w:rPr>
        <w:t>征集响应</w:t>
      </w:r>
      <w:r>
        <w:rPr>
          <w:rFonts w:hint="eastAsia" w:asciiTheme="minorEastAsia" w:hAnsiTheme="minorEastAsia" w:eastAsiaTheme="minorEastAsia" w:cstheme="minorEastAsia"/>
          <w:b/>
          <w:color w:val="auto"/>
          <w:sz w:val="84"/>
          <w:szCs w:val="84"/>
        </w:rPr>
        <w:t>文件</w:t>
      </w:r>
    </w:p>
    <w:p>
      <w:pPr>
        <w:rPr>
          <w:rFonts w:hint="eastAsia" w:asciiTheme="minorEastAsia" w:hAnsiTheme="minorEastAsia" w:eastAsiaTheme="minorEastAsia" w:cstheme="minorEastAsia"/>
          <w:b/>
          <w:color w:val="auto"/>
          <w:sz w:val="30"/>
          <w:szCs w:val="30"/>
        </w:rPr>
      </w:pPr>
    </w:p>
    <w:p>
      <w:pPr>
        <w:pStyle w:val="56"/>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供</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应</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lang w:val="en-US" w:eastAsia="zh-CN"/>
        </w:rPr>
        <w:t>盖</w:t>
      </w:r>
      <w:r>
        <w:rPr>
          <w:rFonts w:hint="eastAsia" w:asciiTheme="minorEastAsia" w:hAnsiTheme="minorEastAsia" w:eastAsiaTheme="minorEastAsia" w:cstheme="minorEastAsia"/>
          <w:b/>
          <w:color w:val="auto"/>
          <w:sz w:val="32"/>
          <w:szCs w:val="32"/>
        </w:rPr>
        <w:t>章</w:t>
      </w:r>
      <w:r>
        <w:rPr>
          <w:rFonts w:hint="eastAsia" w:asciiTheme="minorEastAsia" w:hAnsiTheme="minorEastAsia" w:eastAsiaTheme="minorEastAsia" w:cstheme="minorEastAsia"/>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法定代表人：</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rPr>
        <w:t>（签字或盖章）</w:t>
      </w:r>
    </w:p>
    <w:p>
      <w:pPr>
        <w:keepNext w:val="0"/>
        <w:keepLines w:val="0"/>
        <w:pageBreakBefore w:val="0"/>
        <w:widowControl/>
        <w:kinsoku/>
        <w:wordWrap/>
        <w:overflowPunct/>
        <w:topLinePunct w:val="0"/>
        <w:autoSpaceDE/>
        <w:autoSpaceDN/>
        <w:bidi w:val="0"/>
        <w:adjustRightInd/>
        <w:snapToGrid/>
        <w:spacing w:line="800" w:lineRule="exact"/>
        <w:ind w:firstLine="0"/>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2023年</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日</w:t>
      </w:r>
    </w:p>
    <w:p>
      <w:pPr>
        <w:widowControl/>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bCs w:val="0"/>
          <w:color w:val="auto"/>
          <w:sz w:val="28"/>
          <w:szCs w:val="28"/>
        </w:rPr>
        <w:t>附件一：</w:t>
      </w:r>
    </w:p>
    <w:p>
      <w:pPr>
        <w:keepNext w:val="0"/>
        <w:keepLines w:val="0"/>
        <w:pageBreakBefore w:val="0"/>
        <w:widowControl w:val="0"/>
        <w:kinsoku/>
        <w:wordWrap/>
        <w:overflowPunct/>
        <w:topLinePunct w:val="0"/>
        <w:autoSpaceDE/>
        <w:autoSpaceDN/>
        <w:bidi w:val="0"/>
        <w:adjustRightInd/>
        <w:snapToGrid/>
        <w:spacing w:line="700" w:lineRule="exact"/>
        <w:ind w:leftChars="0" w:firstLine="0" w:firstLineChars="0"/>
        <w:jc w:val="center"/>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投</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标</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致：天水市公共资源交易中心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我方确认收到贵方提供的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val="en-US" w:eastAsia="zh-CN"/>
        </w:rPr>
        <w:t>TGKX2023-022</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的全部内容，我方：</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eastAsia="zh-CN"/>
        </w:rPr>
        <w:t>供应商</w:t>
      </w:r>
      <w:r>
        <w:rPr>
          <w:rFonts w:hint="eastAsia" w:asciiTheme="minorEastAsia" w:hAnsiTheme="minorEastAsia" w:eastAsiaTheme="minorEastAsia" w:cstheme="minorEastAsia"/>
          <w:color w:val="auto"/>
          <w:sz w:val="24"/>
          <w:szCs w:val="24"/>
          <w:u w:val="single"/>
        </w:rPr>
        <w:t>名称）</w:t>
      </w:r>
      <w:r>
        <w:rPr>
          <w:rFonts w:hint="eastAsia" w:asciiTheme="minorEastAsia" w:hAnsiTheme="minorEastAsia" w:eastAsiaTheme="minorEastAsia" w:cstheme="minorEastAsia"/>
          <w:color w:val="auto"/>
          <w:sz w:val="24"/>
          <w:szCs w:val="24"/>
        </w:rPr>
        <w:t>作为投标者正式授权（授权代表全名、职务）代表我方进行有关本投标的一切事宜。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在此提交的电子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加密的电子征集响应文件1份</w:t>
      </w:r>
      <w:r>
        <w:rPr>
          <w:rFonts w:hint="eastAsia" w:asciiTheme="minorEastAsia" w:hAnsiTheme="minorEastAsia" w:eastAsiaTheme="minorEastAsia" w:cstheme="minorEastAsia"/>
          <w:color w:val="auto"/>
          <w:sz w:val="24"/>
          <w:szCs w:val="24"/>
        </w:rPr>
        <w:t>。包括如下等内容：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投标函（附件一）；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身份证明及</w:t>
      </w:r>
      <w:r>
        <w:rPr>
          <w:rFonts w:hint="eastAsia" w:asciiTheme="minorEastAsia" w:hAnsiTheme="minorEastAsia" w:eastAsiaTheme="minorEastAsia" w:cstheme="minorEastAsia"/>
          <w:color w:val="auto"/>
          <w:sz w:val="24"/>
          <w:szCs w:val="24"/>
        </w:rPr>
        <w:t>授权书（附加二）；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供应商资格证明文件（附件三）；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投标报价一览表（附件</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价格</w:t>
      </w:r>
      <w:r>
        <w:rPr>
          <w:rFonts w:hint="eastAsia" w:asciiTheme="minorEastAsia" w:hAnsiTheme="minorEastAsia" w:eastAsiaTheme="minorEastAsia" w:cstheme="minorEastAsia"/>
          <w:color w:val="auto"/>
          <w:sz w:val="24"/>
          <w:szCs w:val="24"/>
          <w:lang w:eastAsia="zh-CN"/>
        </w:rPr>
        <w:t>明细表</w:t>
      </w:r>
      <w:r>
        <w:rPr>
          <w:rFonts w:hint="eastAsia" w:asciiTheme="minorEastAsia" w:hAnsiTheme="minorEastAsia" w:eastAsiaTheme="minorEastAsia" w:cstheme="minorEastAsia"/>
          <w:color w:val="auto"/>
          <w:sz w:val="24"/>
          <w:szCs w:val="24"/>
        </w:rPr>
        <w:t>（附件五）；</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）商务条款偏离表（</w:t>
      </w:r>
      <w:r>
        <w:rPr>
          <w:rFonts w:hint="eastAsia" w:asciiTheme="minorEastAsia" w:hAnsiTheme="minorEastAsia" w:eastAsiaTheme="minorEastAsia" w:cstheme="minorEastAsia"/>
          <w:color w:val="auto"/>
          <w:sz w:val="24"/>
          <w:szCs w:val="24"/>
          <w:lang w:val="en-US" w:eastAsia="zh-CN"/>
        </w:rPr>
        <w:t>附件六</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）售后服务承诺（附件七）；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我方已完全明白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的所有条款要求，并重申以下几点：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我方决定参加：</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号的投标；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全部</w:t>
      </w:r>
      <w:r>
        <w:rPr>
          <w:rFonts w:hint="eastAsia" w:asciiTheme="minorEastAsia" w:hAnsiTheme="minorEastAsia" w:eastAsiaTheme="minorEastAsia" w:cstheme="minorEastAsia"/>
          <w:color w:val="auto"/>
          <w:sz w:val="24"/>
          <w:szCs w:val="24"/>
        </w:rPr>
        <w:t>投标总价为：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优惠率大写</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的有效期在投标截止日后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天有效，如中标，有效期将延至合同终止日为止；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我方已详细研究了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的所有内容包括修正文（如果有）和所有已提供的参考资料以及有关附件并完全明白，我方放弃在此方面提出含糊意见或误解的一切权力。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我方同意按照贵方可能提出的要求而提供与投标有关的任何其它数据或信息。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我方理解贵方不一定接受最低标价或任何贵方可能收到的投标。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我方如果中标，将保证履行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及其补充文件中的全部责任和义务，按质、按量、按期完成《合同书》中的全部任务。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所有与本</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有关的函件请发往下列地址：</w:t>
      </w:r>
    </w:p>
    <w:tbl>
      <w:tblPr>
        <w:tblStyle w:val="39"/>
        <w:tblW w:w="8190" w:type="dxa"/>
        <w:jc w:val="center"/>
        <w:tblLayout w:type="fixed"/>
        <w:tblCellMar>
          <w:top w:w="0" w:type="dxa"/>
          <w:left w:w="108" w:type="dxa"/>
          <w:bottom w:w="0" w:type="dxa"/>
          <w:right w:w="108" w:type="dxa"/>
        </w:tblCellMar>
      </w:tblPr>
      <w:tblGrid>
        <w:gridCol w:w="4680"/>
        <w:gridCol w:w="3510"/>
      </w:tblGrid>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代表签字</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overflowPunct/>
        <w:topLinePunct w:val="0"/>
        <w:bidi w:val="0"/>
        <w:outlineLvl w:val="9"/>
        <w:rPr>
          <w:rFonts w:hint="eastAsia" w:asciiTheme="minorEastAsia" w:hAnsiTheme="minorEastAsia" w:eastAsiaTheme="minorEastAsia" w:cstheme="minorEastAsia"/>
          <w:color w:val="auto"/>
          <w:szCs w:val="21"/>
        </w:rPr>
        <w:sectPr>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附件二</w:t>
      </w:r>
    </w:p>
    <w:bookmarkEnd w:id="221"/>
    <w:bookmarkEnd w:id="222"/>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bookmarkStart w:id="224" w:name="_Toc60421814"/>
      <w:r>
        <w:rPr>
          <w:rFonts w:hint="eastAsia" w:asciiTheme="minorEastAsia" w:hAnsiTheme="minorEastAsia" w:eastAsiaTheme="minorEastAsia" w:cstheme="minorEastAsia"/>
          <w:b w:val="0"/>
          <w:bCs/>
          <w:color w:val="auto"/>
          <w:sz w:val="28"/>
          <w:szCs w:val="28"/>
        </w:rPr>
        <w:t>法定代表人身份证明(法定代表人参加投标)</w:t>
      </w:r>
    </w:p>
    <w:p>
      <w:pPr>
        <w:keepNext w:val="0"/>
        <w:keepLines w:val="0"/>
        <w:pageBreakBefore w:val="0"/>
        <w:overflowPunct/>
        <w:topLinePunct w:val="0"/>
        <w:bidi w:val="0"/>
        <w:snapToGrid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注册号：</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成立时间：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经营期限：</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经营范围：主营：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；兼营：</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性别：</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年龄：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pPr>
        <w:keepNext w:val="0"/>
        <w:keepLines w:val="0"/>
        <w:pageBreakBefore w:val="0"/>
        <w:overflowPunct/>
        <w:topLinePunct w:val="0"/>
        <w:bidi w:val="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bl>
      <w:tblPr>
        <w:tblStyle w:val="39"/>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7520"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r>
    </w:tbl>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rPr>
      </w:pPr>
    </w:p>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法定代表人授权书(委托代理人参加投标)</w:t>
      </w:r>
    </w:p>
    <w:p>
      <w:pPr>
        <w:keepNext w:val="0"/>
        <w:keepLines w:val="0"/>
        <w:pageBreakBefore w:val="0"/>
        <w:overflowPunct/>
        <w:topLinePunct w:val="0"/>
        <w:bidi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本授权声明：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（法定代表人姓名、职务）授权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（被授权人姓名、职务）为我方 “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项目（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编号）投标活动的合法代表，以我方名义全权处理该项目有关投标、签订合同以及执行合同等一切事宜。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keepNext w:val="0"/>
        <w:keepLines w:val="0"/>
        <w:pageBreakBefore w:val="0"/>
        <w:overflowPunct/>
        <w:topLinePunct w:val="0"/>
        <w:bidi w:val="0"/>
        <w:adjustRightInd w:val="0"/>
        <w:snapToGrid w:val="0"/>
        <w:ind w:firstLine="480" w:firstLineChars="200"/>
        <w:outlineLvl w:val="9"/>
        <w:rPr>
          <w:rFonts w:hint="eastAsia" w:asciiTheme="minorEastAsia" w:hAnsiTheme="minorEastAsia" w:eastAsiaTheme="minorEastAsia" w:cstheme="minorEastAsia"/>
          <w:color w:val="auto"/>
          <w:sz w:val="24"/>
          <w:szCs w:val="24"/>
        </w:rPr>
      </w:pPr>
    </w:p>
    <w:tbl>
      <w:tblPr>
        <w:tblStyle w:val="39"/>
        <w:tblW w:w="9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2" w:hRule="atLeast"/>
        </w:trPr>
        <w:tc>
          <w:tcPr>
            <w:tcW w:w="4603"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c>
          <w:tcPr>
            <w:tcW w:w="4716"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委托代理人身份证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复印件（正反面）</w:t>
            </w:r>
          </w:p>
        </w:tc>
      </w:tr>
    </w:tbl>
    <w:p>
      <w:pPr>
        <w:keepNext w:val="0"/>
        <w:keepLines w:val="0"/>
        <w:pageBreakBefore w:val="0"/>
        <w:overflowPunct/>
        <w:topLinePunct w:val="0"/>
        <w:bidi w:val="0"/>
        <w:ind w:firstLine="480" w:firstLineChars="200"/>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附件三</w:t>
      </w:r>
    </w:p>
    <w:bookmarkEnd w:id="224"/>
    <w:p>
      <w:pPr>
        <w:keepNext w:val="0"/>
        <w:keepLines w:val="0"/>
        <w:pageBreakBefore w:val="0"/>
        <w:widowControl w:val="0"/>
        <w:kinsoku/>
        <w:wordWrap/>
        <w:overflowPunct/>
        <w:topLinePunct w:val="0"/>
        <w:autoSpaceDE/>
        <w:autoSpaceDN/>
        <w:bidi w:val="0"/>
        <w:adjustRightInd/>
        <w:snapToGrid/>
        <w:spacing w:before="158" w:beforeLines="50" w:after="158" w:afterLines="50" w:line="700" w:lineRule="exact"/>
        <w:jc w:val="center"/>
        <w:textAlignment w:val="auto"/>
        <w:outlineLvl w:val="9"/>
        <w:rPr>
          <w:rFonts w:hint="eastAsia" w:asciiTheme="minorEastAsia" w:hAnsiTheme="minorEastAsia" w:eastAsiaTheme="minorEastAsia" w:cstheme="minorEastAsia"/>
          <w:b/>
          <w:bCs w:val="0"/>
          <w:color w:val="auto"/>
          <w:sz w:val="32"/>
          <w:szCs w:val="32"/>
        </w:rPr>
      </w:pPr>
      <w:bookmarkStart w:id="225" w:name="_Toc60421818"/>
      <w:bookmarkStart w:id="226" w:name="_Toc327949264"/>
      <w:r>
        <w:rPr>
          <w:rFonts w:hint="eastAsia" w:asciiTheme="minorEastAsia" w:hAnsiTheme="minorEastAsia" w:eastAsiaTheme="minorEastAsia" w:cstheme="minorEastAsia"/>
          <w:b/>
          <w:bCs w:val="0"/>
          <w:color w:val="auto"/>
          <w:sz w:val="32"/>
          <w:szCs w:val="32"/>
          <w:lang w:eastAsia="zh-CN"/>
        </w:rPr>
        <w:t>供应商</w:t>
      </w:r>
      <w:r>
        <w:rPr>
          <w:rFonts w:hint="eastAsia" w:asciiTheme="minorEastAsia" w:hAnsiTheme="minorEastAsia" w:eastAsiaTheme="minorEastAsia" w:cstheme="minorEastAsia"/>
          <w:b/>
          <w:bCs w:val="0"/>
          <w:color w:val="auto"/>
          <w:sz w:val="32"/>
          <w:szCs w:val="32"/>
        </w:rPr>
        <w:t>资格证明文件</w:t>
      </w:r>
    </w:p>
    <w:tbl>
      <w:tblPr>
        <w:tblStyle w:val="3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1076"/>
        <w:gridCol w:w="1390"/>
        <w:gridCol w:w="1393"/>
        <w:gridCol w:w="8"/>
        <w:gridCol w:w="1475"/>
        <w:gridCol w:w="178"/>
        <w:gridCol w:w="1126"/>
        <w:gridCol w:w="12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名称</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注册地址</w:t>
            </w:r>
          </w:p>
        </w:tc>
        <w:tc>
          <w:tcPr>
            <w:tcW w:w="386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7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邮政编码</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联系人</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传真</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网址</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组织结构</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技术负责人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5396"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企业资质等级</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其中</w:t>
            </w: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项目经理</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营业执照号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注册资金</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开户银行</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初级职称人员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账   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   工</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43"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经营范围</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1"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bl>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四</w:t>
      </w:r>
    </w:p>
    <w:p>
      <w:pPr>
        <w:keepNext w:val="0"/>
        <w:keepLines w:val="0"/>
        <w:pageBreakBefore w:val="0"/>
        <w:widowControl w:val="0"/>
        <w:tabs>
          <w:tab w:val="left" w:leader="dot" w:pos="8400"/>
        </w:tabs>
        <w:kinsoku/>
        <w:wordWrap/>
        <w:overflowPunct/>
        <w:topLinePunct w:val="0"/>
        <w:autoSpaceDE/>
        <w:autoSpaceDN/>
        <w:bidi w:val="0"/>
        <w:adjustRightInd/>
        <w:snapToGrid/>
        <w:spacing w:line="700" w:lineRule="exact"/>
        <w:ind w:firstLine="0" w:firstLineChars="0"/>
        <w:jc w:val="center"/>
        <w:textAlignment w:val="auto"/>
        <w:outlineLvl w:val="9"/>
        <w:rPr>
          <w:rFonts w:hint="eastAsia" w:asciiTheme="minorEastAsia" w:hAnsiTheme="minorEastAsia" w:eastAsiaTheme="minorEastAsia" w:cstheme="minorEastAsia"/>
          <w:b/>
          <w:bCs w:val="0"/>
          <w:color w:val="auto"/>
          <w:sz w:val="44"/>
          <w:szCs w:val="44"/>
        </w:rPr>
      </w:pPr>
      <w:r>
        <w:rPr>
          <w:rFonts w:hint="eastAsia" w:asciiTheme="minorEastAsia" w:hAnsiTheme="minorEastAsia" w:eastAsiaTheme="minorEastAsia" w:cstheme="minorEastAsia"/>
          <w:b/>
          <w:bCs w:val="0"/>
          <w:color w:val="auto"/>
          <w:sz w:val="32"/>
          <w:szCs w:val="32"/>
        </w:rPr>
        <w:t>投标报价一览表</w:t>
      </w:r>
    </w:p>
    <w:p>
      <w:pPr>
        <w:keepNext w:val="0"/>
        <w:keepLines w:val="0"/>
        <w:pageBreakBefore w:val="0"/>
        <w:tabs>
          <w:tab w:val="left" w:leader="dot" w:pos="8400"/>
        </w:tabs>
        <w:overflowPunct/>
        <w:topLinePunct w:val="0"/>
        <w:bidi w:val="0"/>
        <w:spacing w:line="240" w:lineRule="exact"/>
        <w:ind w:left="361" w:leftChars="-38" w:hanging="441" w:hangingChars="157"/>
        <w:jc w:val="center"/>
        <w:outlineLvl w:val="9"/>
        <w:rPr>
          <w:rFonts w:hint="eastAsia" w:asciiTheme="minorEastAsia" w:hAnsiTheme="minorEastAsia" w:eastAsiaTheme="minorEastAsia" w:cstheme="minorEastAsia"/>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eastAsia" w:asciiTheme="minorEastAsia" w:hAnsiTheme="minorEastAsia" w:eastAsiaTheme="minorEastAsia" w:cstheme="minorEastAsia"/>
          <w:b w:val="0"/>
          <w:bCs/>
          <w:color w:val="auto"/>
          <w:spacing w:val="-6"/>
          <w:sz w:val="24"/>
          <w:szCs w:val="24"/>
          <w:lang w:eastAsia="zh-CN"/>
        </w:rPr>
      </w:pPr>
      <w:r>
        <w:rPr>
          <w:rFonts w:hint="eastAsia" w:asciiTheme="minorEastAsia" w:hAnsiTheme="minorEastAsia" w:eastAsiaTheme="minorEastAsia" w:cstheme="minorEastAsia"/>
          <w:b w:val="0"/>
          <w:bCs/>
          <w:color w:val="auto"/>
          <w:sz w:val="24"/>
          <w:szCs w:val="24"/>
        </w:rPr>
        <w:t>项目名称：天水市行政事业单位2023-2024年度公务用车框架协议采购项目</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第七包</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编号：</w:t>
      </w:r>
      <w:r>
        <w:rPr>
          <w:rFonts w:hint="eastAsia" w:asciiTheme="minorEastAsia" w:hAnsiTheme="minorEastAsia" w:eastAsiaTheme="minorEastAsia" w:cstheme="minorEastAsia"/>
          <w:b w:val="0"/>
          <w:bCs/>
          <w:color w:val="auto"/>
          <w:sz w:val="24"/>
          <w:szCs w:val="24"/>
          <w:lang w:eastAsia="zh-CN"/>
        </w:rPr>
        <w:t>TGKX2023-022</w:t>
      </w:r>
      <w:r>
        <w:rPr>
          <w:rFonts w:hint="eastAsia" w:asciiTheme="minorEastAsia" w:hAnsiTheme="minorEastAsia" w:eastAsiaTheme="minorEastAsia" w:cstheme="minorEastAsia"/>
          <w:b w:val="0"/>
          <w:bCs/>
          <w:color w:val="auto"/>
          <w:sz w:val="24"/>
          <w:szCs w:val="24"/>
          <w:lang w:val="en-US" w:eastAsia="zh-CN"/>
        </w:rPr>
        <w:t xml:space="preserve">                            包号：第七包</w:t>
      </w:r>
    </w:p>
    <w:tbl>
      <w:tblPr>
        <w:tblStyle w:val="39"/>
        <w:tblpPr w:leftFromText="180" w:rightFromText="180" w:vertAnchor="text" w:horzAnchor="page" w:tblpX="1585" w:tblpY="141"/>
        <w:tblOverlap w:val="never"/>
        <w:tblW w:w="0" w:type="auto"/>
        <w:tblInd w:w="0" w:type="dxa"/>
        <w:tblLayout w:type="fixed"/>
        <w:tblCellMar>
          <w:top w:w="0" w:type="dxa"/>
          <w:left w:w="30" w:type="dxa"/>
          <w:bottom w:w="0" w:type="dxa"/>
          <w:right w:w="30" w:type="dxa"/>
        </w:tblCellMar>
      </w:tblPr>
      <w:tblGrid>
        <w:gridCol w:w="2824"/>
        <w:gridCol w:w="6000"/>
      </w:tblGrid>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投标内容</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最高</w:t>
            </w:r>
            <w:r>
              <w:rPr>
                <w:rFonts w:hint="eastAsia" w:asciiTheme="minorEastAsia" w:hAnsiTheme="minorEastAsia" w:eastAsiaTheme="minorEastAsia" w:cstheme="minorEastAsia"/>
                <w:b/>
                <w:bCs w:val="0"/>
                <w:color w:val="auto"/>
                <w:sz w:val="24"/>
                <w:szCs w:val="24"/>
                <w:lang w:eastAsia="zh-CN"/>
              </w:rPr>
              <w:t>优惠率</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highlight w:val="none"/>
                <w:lang w:val="en-US" w:eastAsia="zh-CN"/>
              </w:rPr>
              <w:t>投标车辆</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u w:val="none"/>
                <w:lang w:val="en-US" w:eastAsia="zh-CN"/>
              </w:rPr>
              <w:t>优惠率：</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大写：百分之</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备注</w:t>
            </w:r>
          </w:p>
        </w:tc>
        <w:tc>
          <w:tcPr>
            <w:tcW w:w="60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firstLine="480" w:firstLineChars="200"/>
              <w:textAlignment w:val="auto"/>
              <w:outlineLvl w:val="9"/>
              <w:rPr>
                <w:rFonts w:hint="eastAsia" w:asciiTheme="minorEastAsia" w:hAnsiTheme="minorEastAsia" w:eastAsiaTheme="minorEastAsia" w:cstheme="minorEastAsia"/>
                <w:b w:val="0"/>
                <w:bCs/>
                <w:color w:val="auto"/>
                <w:sz w:val="24"/>
                <w:szCs w:val="24"/>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1.报价应是</w:t>
      </w:r>
      <w:r>
        <w:rPr>
          <w:rFonts w:hint="eastAsia" w:asciiTheme="minorEastAsia" w:hAnsiTheme="minorEastAsia" w:eastAsiaTheme="minorEastAsia" w:cstheme="minorEastAsia"/>
          <w:bCs/>
          <w:color w:val="auto"/>
          <w:sz w:val="24"/>
          <w:szCs w:val="24"/>
          <w:lang w:val="en-US" w:eastAsia="zh-CN"/>
        </w:rPr>
        <w:t>供应商</w:t>
      </w:r>
      <w:r>
        <w:rPr>
          <w:rFonts w:hint="eastAsia" w:asciiTheme="minorEastAsia" w:hAnsiTheme="minorEastAsia" w:eastAsiaTheme="minorEastAsia" w:cstheme="minorEastAsia"/>
          <w:bCs/>
          <w:color w:val="auto"/>
          <w:sz w:val="24"/>
          <w:szCs w:val="24"/>
        </w:rPr>
        <w:t>最终总价，包括税费和</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bCs/>
          <w:color w:val="auto"/>
          <w:sz w:val="24"/>
          <w:szCs w:val="24"/>
          <w:lang w:val="en-US" w:eastAsia="zh-CN"/>
        </w:rPr>
        <w:t>一切</w:t>
      </w:r>
      <w:r>
        <w:rPr>
          <w:rFonts w:hint="eastAsia" w:asciiTheme="minorEastAsia" w:hAnsiTheme="minorEastAsia" w:eastAsiaTheme="minorEastAsia" w:cstheme="minorEastAsia"/>
          <w:bCs/>
          <w:color w:val="auto"/>
          <w:sz w:val="24"/>
          <w:szCs w:val="24"/>
        </w:rPr>
        <w:t>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2.“开标一览表”必须签字盖章，否则为无效投标。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3.“开标一览表”以包为单位填写。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4.若以联合体参与投标的，应在“</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名称”处注明所有联合体名称。(</w:t>
      </w:r>
      <w:r>
        <w:rPr>
          <w:rFonts w:hint="eastAsia" w:asciiTheme="minorEastAsia" w:hAnsiTheme="minorEastAsia" w:eastAsiaTheme="minorEastAsia" w:cstheme="minorEastAsia"/>
          <w:b/>
          <w:color w:val="auto"/>
          <w:sz w:val="24"/>
          <w:szCs w:val="24"/>
        </w:rPr>
        <w:t>本项目</w:t>
      </w:r>
      <w:r>
        <w:rPr>
          <w:rFonts w:hint="eastAsia" w:asciiTheme="minorEastAsia" w:hAnsiTheme="minorEastAsia" w:eastAsiaTheme="minorEastAsia" w:cstheme="minorEastAsia"/>
          <w:b/>
          <w:color w:val="auto"/>
          <w:sz w:val="24"/>
          <w:szCs w:val="24"/>
          <w:lang w:val="en-US" w:eastAsia="zh-CN"/>
        </w:rPr>
        <w:t>不</w:t>
      </w:r>
      <w:r>
        <w:rPr>
          <w:rFonts w:hint="eastAsia" w:asciiTheme="minorEastAsia" w:hAnsiTheme="minorEastAsia" w:eastAsiaTheme="minorEastAsia" w:cstheme="minorEastAsia"/>
          <w:b/>
          <w:color w:val="auto"/>
          <w:sz w:val="24"/>
          <w:szCs w:val="24"/>
        </w:rPr>
        <w:t>接受联合体</w:t>
      </w:r>
      <w:r>
        <w:rPr>
          <w:rFonts w:hint="eastAsia" w:asciiTheme="minorEastAsia" w:hAnsiTheme="minorEastAsia" w:eastAsiaTheme="minorEastAsia" w:cstheme="minorEastAsia"/>
          <w:b/>
          <w:color w:val="auto"/>
          <w:sz w:val="24"/>
          <w:szCs w:val="24"/>
          <w:lang w:eastAsia="zh-CN"/>
        </w:rPr>
        <w:t>框架协议</w:t>
      </w:r>
      <w:r>
        <w:rPr>
          <w:rFonts w:hint="eastAsia" w:asciiTheme="minorEastAsia" w:hAnsiTheme="minorEastAsia" w:eastAsiaTheme="minorEastAsia" w:cstheme="minorEastAsia"/>
          <w:bCs/>
          <w:color w:val="auto"/>
          <w:sz w:val="24"/>
          <w:szCs w:val="24"/>
        </w:rPr>
        <w:t>)</w:t>
      </w:r>
    </w:p>
    <w:p>
      <w:pPr>
        <w:pStyle w:val="9"/>
        <w:rPr>
          <w:rFonts w:hint="default" w:eastAsiaTheme="minorEastAsia"/>
          <w:lang w:val="en-US" w:eastAsia="zh-CN"/>
        </w:rPr>
      </w:pPr>
      <w:r>
        <w:rPr>
          <w:rFonts w:hint="eastAsia" w:asciiTheme="minorEastAsia" w:hAnsiTheme="minorEastAsia" w:eastAsiaTheme="minorEastAsia" w:cstheme="minorEastAsia"/>
          <w:bCs/>
          <w:color w:val="auto"/>
          <w:sz w:val="24"/>
          <w:szCs w:val="24"/>
          <w:lang w:val="en-US" w:eastAsia="zh-CN"/>
        </w:rPr>
        <w:t>5.最高优惠率是指所投车辆中优惠率最高为最高优惠率。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line="540" w:lineRule="exact"/>
        <w:jc w:val="left"/>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spacing w:after="240" w:line="360" w:lineRule="auto"/>
        <w:jc w:val="left"/>
        <w:outlineLvl w:val="9"/>
        <w:rPr>
          <w:rFonts w:hint="eastAsia" w:asciiTheme="minorEastAsia" w:hAnsiTheme="minorEastAsia" w:eastAsiaTheme="minorEastAsia" w:cstheme="minor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val="0"/>
          <w:bCs/>
          <w:color w:val="auto"/>
          <w:sz w:val="28"/>
          <w:szCs w:val="28"/>
        </w:rPr>
        <w:sectPr>
          <w:pgSz w:w="11910" w:h="16840"/>
          <w:pgMar w:top="1871" w:right="1531" w:bottom="1757" w:left="1531" w:header="1209" w:footer="1459"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bookmarkStart w:id="227" w:name="_Toc19416"/>
      <w:bookmarkStart w:id="228" w:name="_Toc6777"/>
      <w:bookmarkStart w:id="229" w:name="_Toc5954"/>
      <w:r>
        <w:rPr>
          <w:rFonts w:hint="eastAsia" w:asciiTheme="minorEastAsia" w:hAnsiTheme="minorEastAsia" w:eastAsiaTheme="minorEastAsia" w:cstheme="minorEastAsia"/>
          <w:b/>
          <w:bCs w:val="0"/>
          <w:color w:val="auto"/>
          <w:sz w:val="28"/>
          <w:szCs w:val="28"/>
          <w:lang w:val="en-US" w:eastAsia="zh-CN"/>
        </w:rPr>
        <w:t>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val="en-US" w:eastAsia="zh-CN"/>
        </w:rPr>
        <w:t>价格</w:t>
      </w:r>
      <w:r>
        <w:rPr>
          <w:rFonts w:hint="eastAsia" w:asciiTheme="minorEastAsia" w:hAnsiTheme="minorEastAsia" w:eastAsiaTheme="minorEastAsia" w:cstheme="minorEastAsia"/>
          <w:b/>
          <w:bCs w:val="0"/>
          <w:color w:val="auto"/>
          <w:sz w:val="32"/>
          <w:szCs w:val="32"/>
          <w:lang w:eastAsia="zh-CN"/>
        </w:rPr>
        <w:t>明细表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b/>
          <w:color w:val="auto"/>
          <w:spacing w:val="0"/>
          <w:sz w:val="24"/>
          <w:szCs w:val="24"/>
        </w:rPr>
        <w:t>项目名称：</w:t>
      </w:r>
      <w:r>
        <w:rPr>
          <w:rFonts w:hint="eastAsia" w:asciiTheme="minorEastAsia" w:hAnsiTheme="minorEastAsia" w:eastAsiaTheme="minorEastAsia" w:cstheme="minorEastAsia"/>
          <w:b/>
          <w:color w:val="auto"/>
          <w:spacing w:val="0"/>
          <w:sz w:val="24"/>
          <w:szCs w:val="24"/>
          <w:lang w:eastAsia="zh-CN"/>
        </w:rPr>
        <w:t>天水市行政事业单位2023-2024年度公务用车框架协议采购项目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heme="minorEastAsia" w:hAnsiTheme="minorEastAsia" w:eastAsiaTheme="minorEastAsia" w:cstheme="minorEastAsia"/>
          <w:b/>
          <w:color w:val="auto"/>
          <w:spacing w:val="0"/>
          <w:sz w:val="24"/>
          <w:szCs w:val="24"/>
          <w:lang w:val="en-US" w:eastAsia="zh-CN"/>
        </w:rPr>
      </w:pPr>
      <w:r>
        <w:rPr>
          <w:rFonts w:hint="eastAsia" w:asciiTheme="minorEastAsia" w:hAnsiTheme="minorEastAsia" w:eastAsiaTheme="minorEastAsia" w:cstheme="minorEastAsia"/>
          <w:b/>
          <w:color w:val="auto"/>
          <w:spacing w:val="0"/>
          <w:sz w:val="24"/>
          <w:szCs w:val="24"/>
          <w:lang w:eastAsia="zh-CN"/>
        </w:rPr>
        <w:t>框架协议</w:t>
      </w:r>
      <w:r>
        <w:rPr>
          <w:rFonts w:hint="eastAsia" w:asciiTheme="minorEastAsia" w:hAnsiTheme="minorEastAsia" w:eastAsiaTheme="minorEastAsia" w:cstheme="minorEastAsia"/>
          <w:b/>
          <w:color w:val="auto"/>
          <w:spacing w:val="0"/>
          <w:sz w:val="24"/>
          <w:szCs w:val="24"/>
        </w:rPr>
        <w:t>编号：</w:t>
      </w:r>
      <w:r>
        <w:rPr>
          <w:rFonts w:hint="eastAsia" w:asciiTheme="minorEastAsia" w:hAnsiTheme="minorEastAsia" w:eastAsiaTheme="minorEastAsia" w:cstheme="minorEastAsia"/>
          <w:b/>
          <w:color w:val="auto"/>
          <w:spacing w:val="0"/>
          <w:sz w:val="24"/>
          <w:szCs w:val="24"/>
          <w:lang w:eastAsia="zh-CN"/>
        </w:rPr>
        <w:t>TGKX2023-022</w:t>
      </w:r>
      <w:r>
        <w:rPr>
          <w:rFonts w:hint="eastAsia" w:asciiTheme="minorEastAsia" w:hAnsiTheme="minorEastAsia" w:eastAsiaTheme="minorEastAsia" w:cstheme="minorEastAsia"/>
          <w:b/>
          <w:color w:val="auto"/>
          <w:spacing w:val="0"/>
          <w:sz w:val="24"/>
          <w:szCs w:val="24"/>
          <w:lang w:val="en-US" w:eastAsia="zh-CN"/>
        </w:rPr>
        <w:t xml:space="preserve">              包号：第七</w:t>
      </w:r>
      <w:bookmarkStart w:id="272" w:name="_GoBack"/>
      <w:bookmarkEnd w:id="272"/>
      <w:r>
        <w:rPr>
          <w:rFonts w:hint="eastAsia" w:asciiTheme="minorEastAsia" w:hAnsiTheme="minorEastAsia" w:eastAsiaTheme="minorEastAsia" w:cstheme="minorEastAsia"/>
          <w:b/>
          <w:color w:val="auto"/>
          <w:spacing w:val="0"/>
          <w:sz w:val="24"/>
          <w:szCs w:val="24"/>
          <w:lang w:val="en-US" w:eastAsia="zh-CN"/>
        </w:rPr>
        <w:t>包</w:t>
      </w:r>
    </w:p>
    <w:tbl>
      <w:tblPr>
        <w:tblStyle w:val="39"/>
        <w:tblpPr w:leftFromText="180" w:rightFromText="180" w:vertAnchor="text" w:horzAnchor="page" w:tblpX="1161" w:tblpY="568"/>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45"/>
        <w:gridCol w:w="211"/>
        <w:gridCol w:w="1645"/>
        <w:gridCol w:w="1051"/>
        <w:gridCol w:w="714"/>
        <w:gridCol w:w="1016"/>
        <w:gridCol w:w="1146"/>
        <w:gridCol w:w="672"/>
        <w:gridCol w:w="1232"/>
        <w:gridCol w:w="763"/>
        <w:gridCol w:w="1140"/>
        <w:gridCol w:w="1123"/>
        <w:gridCol w:w="1202"/>
        <w:gridCol w:w="93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车型</w:t>
            </w:r>
          </w:p>
        </w:tc>
        <w:tc>
          <w:tcPr>
            <w:tcW w:w="445" w:type="dxa"/>
            <w:vMerge w:val="restart"/>
            <w:noWrap w:val="0"/>
            <w:vAlign w:val="center"/>
          </w:tcPr>
          <w:p>
            <w:pPr>
              <w:spacing w:line="360" w:lineRule="auto"/>
              <w:jc w:val="center"/>
              <w:rPr>
                <w:rFonts w:hint="eastAsia" w:ascii="宋体" w:hAnsi="宋体"/>
                <w:color w:val="auto"/>
                <w:sz w:val="21"/>
                <w:szCs w:val="21"/>
                <w:vertAlign w:val="baseline"/>
              </w:rPr>
            </w:pPr>
            <w:r>
              <w:rPr>
                <w:rFonts w:hint="default" w:ascii="宋体" w:hAnsi="宋体"/>
                <w:snapToGrid/>
                <w:sz w:val="21"/>
                <w:szCs w:val="21"/>
              </w:rPr>
              <w:t>序号</w:t>
            </w:r>
          </w:p>
        </w:tc>
        <w:tc>
          <w:tcPr>
            <w:tcW w:w="1856" w:type="dxa"/>
            <w:gridSpan w:val="2"/>
            <w:vMerge w:val="restart"/>
            <w:noWrap w:val="0"/>
            <w:vAlign w:val="center"/>
          </w:tcPr>
          <w:p>
            <w:pPr>
              <w:spacing w:line="360" w:lineRule="auto"/>
              <w:jc w:val="center"/>
              <w:rPr>
                <w:rFonts w:hint="eastAsia" w:ascii="宋体" w:hAnsi="宋体" w:eastAsia="宋体"/>
                <w:color w:val="auto"/>
                <w:sz w:val="21"/>
                <w:szCs w:val="21"/>
                <w:vertAlign w:val="baseline"/>
                <w:lang w:eastAsia="zh-CN"/>
              </w:rPr>
            </w:pPr>
            <w:r>
              <w:rPr>
                <w:rFonts w:hint="eastAsia" w:ascii="宋体" w:hAnsi="宋体"/>
                <w:snapToGrid/>
                <w:sz w:val="21"/>
                <w:szCs w:val="21"/>
                <w:lang w:val="en-US" w:eastAsia="zh-CN"/>
              </w:rPr>
              <w:t>类别</w:t>
            </w:r>
          </w:p>
        </w:tc>
        <w:tc>
          <w:tcPr>
            <w:tcW w:w="1051" w:type="dxa"/>
            <w:vMerge w:val="restart"/>
            <w:noWrap w:val="0"/>
            <w:vAlign w:val="center"/>
          </w:tcPr>
          <w:p>
            <w:pPr>
              <w:spacing w:line="360" w:lineRule="auto"/>
              <w:jc w:val="center"/>
              <w:rPr>
                <w:rFonts w:hint="default" w:ascii="宋体" w:hAnsi="宋体"/>
                <w:snapToGrid/>
                <w:sz w:val="21"/>
                <w:szCs w:val="21"/>
              </w:rPr>
            </w:pPr>
            <w:r>
              <w:rPr>
                <w:rFonts w:hint="default" w:ascii="宋体" w:hAnsi="宋体"/>
                <w:snapToGrid/>
                <w:sz w:val="21"/>
                <w:szCs w:val="21"/>
              </w:rPr>
              <w:t>最</w:t>
            </w:r>
            <w:r>
              <w:rPr>
                <w:rFonts w:hint="eastAsia" w:ascii="宋体" w:hAnsi="宋体"/>
                <w:snapToGrid/>
                <w:sz w:val="21"/>
                <w:szCs w:val="21"/>
                <w:lang w:val="en-US" w:eastAsia="zh-CN"/>
              </w:rPr>
              <w:t xml:space="preserve">  </w:t>
            </w:r>
            <w:r>
              <w:rPr>
                <w:rFonts w:hint="default" w:ascii="宋体" w:hAnsi="宋体"/>
                <w:snapToGrid/>
                <w:sz w:val="21"/>
                <w:szCs w:val="21"/>
              </w:rPr>
              <w:t>高</w:t>
            </w:r>
          </w:p>
          <w:p>
            <w:pPr>
              <w:spacing w:line="360" w:lineRule="auto"/>
              <w:jc w:val="center"/>
              <w:rPr>
                <w:rFonts w:hint="eastAsia" w:ascii="宋体" w:hAnsi="宋体"/>
                <w:color w:val="auto"/>
                <w:sz w:val="21"/>
                <w:szCs w:val="21"/>
                <w:vertAlign w:val="baseline"/>
              </w:rPr>
            </w:pPr>
            <w:r>
              <w:rPr>
                <w:rFonts w:hint="default" w:ascii="宋体" w:hAnsi="宋体"/>
                <w:snapToGrid/>
                <w:sz w:val="21"/>
                <w:szCs w:val="21"/>
              </w:rPr>
              <w:t>限</w:t>
            </w:r>
            <w:r>
              <w:rPr>
                <w:rFonts w:hint="eastAsia" w:ascii="宋体" w:hAnsi="宋体"/>
                <w:snapToGrid/>
                <w:sz w:val="21"/>
                <w:szCs w:val="21"/>
                <w:lang w:val="en-US" w:eastAsia="zh-CN"/>
              </w:rPr>
              <w:t xml:space="preserve">  </w:t>
            </w:r>
            <w:r>
              <w:rPr>
                <w:rFonts w:hint="default" w:ascii="宋体" w:hAnsi="宋体"/>
                <w:snapToGrid/>
                <w:sz w:val="21"/>
                <w:szCs w:val="21"/>
              </w:rPr>
              <w:t>价</w:t>
            </w:r>
          </w:p>
        </w:tc>
        <w:tc>
          <w:tcPr>
            <w:tcW w:w="714"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生产厂家</w:t>
            </w:r>
          </w:p>
        </w:tc>
        <w:tc>
          <w:tcPr>
            <w:tcW w:w="101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品牌</w:t>
            </w:r>
          </w:p>
        </w:tc>
        <w:tc>
          <w:tcPr>
            <w:tcW w:w="114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型号</w:t>
            </w:r>
          </w:p>
        </w:tc>
        <w:tc>
          <w:tcPr>
            <w:tcW w:w="67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数量</w:t>
            </w:r>
          </w:p>
        </w:tc>
        <w:tc>
          <w:tcPr>
            <w:tcW w:w="123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厂家指 导价（万 元）</w:t>
            </w:r>
          </w:p>
        </w:tc>
        <w:tc>
          <w:tcPr>
            <w:tcW w:w="763"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优惠率（%）</w:t>
            </w:r>
          </w:p>
        </w:tc>
        <w:tc>
          <w:tcPr>
            <w:tcW w:w="1140"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投标报价（万 元）</w:t>
            </w:r>
          </w:p>
        </w:tc>
        <w:tc>
          <w:tcPr>
            <w:tcW w:w="2325" w:type="dxa"/>
            <w:gridSpan w:val="2"/>
            <w:noWrap w:val="0"/>
            <w:vAlign w:val="top"/>
          </w:tcPr>
          <w:p>
            <w:pPr>
              <w:spacing w:line="360" w:lineRule="auto"/>
              <w:jc w:val="center"/>
              <w:rPr>
                <w:rFonts w:hint="eastAsia" w:ascii="宋体" w:hAnsi="宋体"/>
                <w:color w:val="auto"/>
                <w:sz w:val="21"/>
                <w:szCs w:val="21"/>
                <w:vertAlign w:val="baseline"/>
              </w:rPr>
            </w:pPr>
            <w:r>
              <w:rPr>
                <w:rFonts w:hint="default" w:ascii="宋体" w:hAnsi="宋体"/>
                <w:snapToGrid/>
                <w:sz w:val="21"/>
                <w:szCs w:val="21"/>
              </w:rPr>
              <w:t>质保</w:t>
            </w:r>
          </w:p>
        </w:tc>
        <w:tc>
          <w:tcPr>
            <w:tcW w:w="930" w:type="dxa"/>
            <w:vMerge w:val="restart"/>
            <w:noWrap w:val="0"/>
            <w:vAlign w:val="top"/>
          </w:tcPr>
          <w:p>
            <w:pPr>
              <w:spacing w:line="360" w:lineRule="auto"/>
              <w:rPr>
                <w:rFonts w:hint="eastAsia" w:ascii="宋体" w:hAnsi="宋体"/>
                <w:color w:val="auto"/>
                <w:sz w:val="21"/>
                <w:szCs w:val="21"/>
                <w:vertAlign w:val="baseline"/>
              </w:rPr>
            </w:pPr>
            <w:r>
              <w:rPr>
                <w:rFonts w:hint="eastAsia" w:ascii="宋体" w:hAnsi="宋体"/>
                <w:snapToGrid/>
                <w:sz w:val="21"/>
                <w:szCs w:val="21"/>
                <w:lang w:eastAsia="zh-CN"/>
              </w:rPr>
              <w:t>最长</w:t>
            </w:r>
            <w:r>
              <w:rPr>
                <w:rFonts w:hint="default" w:ascii="宋体" w:hAnsi="宋体"/>
                <w:snapToGrid/>
                <w:sz w:val="21"/>
                <w:szCs w:val="21"/>
              </w:rPr>
              <w:t>供货时间</w:t>
            </w:r>
          </w:p>
        </w:tc>
        <w:tc>
          <w:tcPr>
            <w:tcW w:w="83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vMerge w:val="continue"/>
            <w:noWrap w:val="0"/>
            <w:vAlign w:val="top"/>
          </w:tcPr>
          <w:p>
            <w:pPr>
              <w:spacing w:line="360" w:lineRule="auto"/>
              <w:rPr>
                <w:rFonts w:hint="eastAsia" w:ascii="宋体" w:hAnsi="宋体"/>
                <w:color w:val="auto"/>
                <w:sz w:val="24"/>
                <w:szCs w:val="24"/>
                <w:vertAlign w:val="baseline"/>
              </w:rPr>
            </w:pPr>
          </w:p>
        </w:tc>
        <w:tc>
          <w:tcPr>
            <w:tcW w:w="1856" w:type="dxa"/>
            <w:gridSpan w:val="2"/>
            <w:vMerge w:val="continue"/>
            <w:noWrap w:val="0"/>
            <w:vAlign w:val="top"/>
          </w:tcPr>
          <w:p>
            <w:pPr>
              <w:spacing w:line="360" w:lineRule="auto"/>
              <w:rPr>
                <w:rFonts w:hint="eastAsia" w:ascii="宋体" w:hAnsi="宋体"/>
                <w:color w:val="auto"/>
                <w:sz w:val="24"/>
                <w:szCs w:val="24"/>
                <w:vertAlign w:val="baseline"/>
              </w:rPr>
            </w:pPr>
          </w:p>
        </w:tc>
        <w:tc>
          <w:tcPr>
            <w:tcW w:w="1051" w:type="dxa"/>
            <w:vMerge w:val="continue"/>
            <w:noWrap w:val="0"/>
            <w:vAlign w:val="top"/>
          </w:tcPr>
          <w:p>
            <w:pPr>
              <w:spacing w:line="360" w:lineRule="auto"/>
              <w:rPr>
                <w:rFonts w:hint="eastAsia" w:ascii="宋体" w:hAnsi="宋体"/>
                <w:color w:val="auto"/>
                <w:sz w:val="24"/>
                <w:szCs w:val="24"/>
                <w:vertAlign w:val="baseline"/>
              </w:rPr>
            </w:pPr>
          </w:p>
        </w:tc>
        <w:tc>
          <w:tcPr>
            <w:tcW w:w="714" w:type="dxa"/>
            <w:vMerge w:val="continue"/>
            <w:noWrap w:val="0"/>
            <w:vAlign w:val="top"/>
          </w:tcPr>
          <w:p>
            <w:pPr>
              <w:spacing w:line="360" w:lineRule="auto"/>
              <w:rPr>
                <w:rFonts w:hint="eastAsia" w:ascii="宋体" w:hAnsi="宋体"/>
                <w:color w:val="auto"/>
                <w:sz w:val="24"/>
                <w:szCs w:val="24"/>
                <w:vertAlign w:val="baseline"/>
              </w:rPr>
            </w:pPr>
          </w:p>
        </w:tc>
        <w:tc>
          <w:tcPr>
            <w:tcW w:w="1016" w:type="dxa"/>
            <w:vMerge w:val="continue"/>
            <w:noWrap w:val="0"/>
            <w:vAlign w:val="top"/>
          </w:tcPr>
          <w:p>
            <w:pPr>
              <w:spacing w:line="360" w:lineRule="auto"/>
              <w:rPr>
                <w:rFonts w:hint="eastAsia" w:ascii="宋体" w:hAnsi="宋体"/>
                <w:color w:val="auto"/>
                <w:sz w:val="24"/>
                <w:szCs w:val="24"/>
                <w:vertAlign w:val="baseline"/>
              </w:rPr>
            </w:pPr>
          </w:p>
        </w:tc>
        <w:tc>
          <w:tcPr>
            <w:tcW w:w="1146" w:type="dxa"/>
            <w:vMerge w:val="continue"/>
            <w:noWrap w:val="0"/>
            <w:vAlign w:val="top"/>
          </w:tcPr>
          <w:p>
            <w:pPr>
              <w:spacing w:line="360" w:lineRule="auto"/>
              <w:rPr>
                <w:rFonts w:hint="eastAsia" w:ascii="宋体" w:hAnsi="宋体"/>
                <w:color w:val="auto"/>
                <w:sz w:val="24"/>
                <w:szCs w:val="24"/>
                <w:vertAlign w:val="baseline"/>
              </w:rPr>
            </w:pPr>
          </w:p>
        </w:tc>
        <w:tc>
          <w:tcPr>
            <w:tcW w:w="672" w:type="dxa"/>
            <w:vMerge w:val="continue"/>
            <w:noWrap w:val="0"/>
            <w:vAlign w:val="top"/>
          </w:tcPr>
          <w:p>
            <w:pPr>
              <w:spacing w:line="360" w:lineRule="auto"/>
              <w:rPr>
                <w:rFonts w:hint="eastAsia" w:ascii="宋体" w:hAnsi="宋体"/>
                <w:color w:val="auto"/>
                <w:sz w:val="24"/>
                <w:szCs w:val="24"/>
                <w:vertAlign w:val="baseline"/>
              </w:rPr>
            </w:pPr>
          </w:p>
        </w:tc>
        <w:tc>
          <w:tcPr>
            <w:tcW w:w="1232" w:type="dxa"/>
            <w:vMerge w:val="continue"/>
            <w:noWrap w:val="0"/>
            <w:vAlign w:val="top"/>
          </w:tcPr>
          <w:p>
            <w:pPr>
              <w:spacing w:line="360" w:lineRule="auto"/>
              <w:rPr>
                <w:rFonts w:hint="eastAsia" w:ascii="宋体" w:hAnsi="宋体"/>
                <w:color w:val="auto"/>
                <w:sz w:val="24"/>
                <w:szCs w:val="24"/>
                <w:vertAlign w:val="baseline"/>
              </w:rPr>
            </w:pPr>
          </w:p>
        </w:tc>
        <w:tc>
          <w:tcPr>
            <w:tcW w:w="763" w:type="dxa"/>
            <w:vMerge w:val="continue"/>
            <w:noWrap w:val="0"/>
            <w:vAlign w:val="top"/>
          </w:tcPr>
          <w:p>
            <w:pPr>
              <w:spacing w:line="360" w:lineRule="auto"/>
              <w:rPr>
                <w:rFonts w:hint="eastAsia" w:ascii="宋体" w:hAnsi="宋体"/>
                <w:color w:val="auto"/>
                <w:sz w:val="24"/>
                <w:szCs w:val="24"/>
                <w:vertAlign w:val="baseline"/>
              </w:rPr>
            </w:pPr>
          </w:p>
        </w:tc>
        <w:tc>
          <w:tcPr>
            <w:tcW w:w="1140" w:type="dxa"/>
            <w:vMerge w:val="continue"/>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质保年限</w:t>
            </w:r>
          </w:p>
        </w:tc>
        <w:tc>
          <w:tcPr>
            <w:tcW w:w="1202" w:type="dxa"/>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质保里程</w:t>
            </w:r>
          </w:p>
        </w:tc>
        <w:tc>
          <w:tcPr>
            <w:tcW w:w="930" w:type="dxa"/>
            <w:vMerge w:val="continue"/>
            <w:noWrap w:val="0"/>
            <w:vAlign w:val="top"/>
          </w:tcPr>
          <w:p>
            <w:pPr>
              <w:spacing w:line="360" w:lineRule="auto"/>
              <w:rPr>
                <w:rFonts w:hint="eastAsia" w:ascii="宋体" w:hAnsi="宋体"/>
                <w:color w:val="auto"/>
                <w:sz w:val="24"/>
                <w:szCs w:val="24"/>
                <w:vertAlign w:val="baseline"/>
              </w:rPr>
            </w:pPr>
          </w:p>
        </w:tc>
        <w:tc>
          <w:tcPr>
            <w:tcW w:w="835" w:type="dxa"/>
            <w:vMerge w:val="continue"/>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restart"/>
            <w:noWrap w:val="0"/>
            <w:vAlign w:val="top"/>
          </w:tcPr>
          <w:p>
            <w:pPr>
              <w:spacing w:line="360" w:lineRule="auto"/>
              <w:rPr>
                <w:rFonts w:hint="eastAsia" w:ascii="宋体" w:hAnsi="宋体"/>
                <w:color w:val="auto"/>
                <w:sz w:val="24"/>
                <w:szCs w:val="24"/>
                <w:vertAlign w:val="baseline"/>
                <w:lang w:eastAsia="zh-CN"/>
              </w:rPr>
            </w:pPr>
          </w:p>
          <w:p>
            <w:pPr>
              <w:spacing w:line="360" w:lineRule="auto"/>
              <w:rPr>
                <w:rFonts w:hint="eastAsia" w:ascii="宋体" w:hAnsi="宋体"/>
                <w:color w:val="auto"/>
                <w:sz w:val="24"/>
                <w:szCs w:val="24"/>
                <w:vertAlign w:val="baseline"/>
                <w:lang w:eastAsia="zh-CN"/>
              </w:rPr>
            </w:pPr>
          </w:p>
          <w:p>
            <w:pPr>
              <w:spacing w:line="360" w:lineRule="auto"/>
              <w:rPr>
                <w:rFonts w:hint="default"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救护车</w:t>
            </w: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w:t>
            </w:r>
          </w:p>
        </w:tc>
        <w:tc>
          <w:tcPr>
            <w:tcW w:w="1856" w:type="dxa"/>
            <w:gridSpan w:val="2"/>
            <w:noWrap w:val="0"/>
            <w:vAlign w:val="top"/>
          </w:tcPr>
          <w:p>
            <w:pPr>
              <w:spacing w:line="360" w:lineRule="auto"/>
              <w:jc w:val="center"/>
              <w:rPr>
                <w:rFonts w:hint="eastAsia" w:ascii="宋体" w:hAnsi="宋体" w:eastAsia="宋体"/>
                <w:color w:val="auto"/>
                <w:sz w:val="24"/>
                <w:szCs w:val="24"/>
                <w:vertAlign w:val="baseline"/>
                <w:lang w:eastAsia="zh-CN"/>
              </w:rPr>
            </w:pPr>
            <w:r>
              <w:rPr>
                <w:rFonts w:hint="default" w:ascii="宋体" w:hAnsi="宋体"/>
                <w:snapToGrid/>
                <w:sz w:val="24"/>
              </w:rPr>
              <w:t>插电或纯电动</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2</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插电或纯电动</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3</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插电或纯电动</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4</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插电或纯电动</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5</w:t>
            </w:r>
          </w:p>
        </w:tc>
        <w:tc>
          <w:tcPr>
            <w:tcW w:w="1856" w:type="dxa"/>
            <w:gridSpan w:val="2"/>
            <w:noWrap w:val="0"/>
            <w:vAlign w:val="top"/>
          </w:tcPr>
          <w:p>
            <w:pPr>
              <w:spacing w:line="360" w:lineRule="auto"/>
              <w:jc w:val="center"/>
              <w:rPr>
                <w:rFonts w:hint="eastAsia" w:ascii="宋体" w:hAnsi="宋体"/>
                <w:color w:val="auto"/>
                <w:sz w:val="24"/>
                <w:szCs w:val="24"/>
                <w:vertAlign w:val="baseline"/>
              </w:rPr>
            </w:pPr>
            <w:r>
              <w:rPr>
                <w:rFonts w:hint="default" w:ascii="宋体" w:hAnsi="宋体"/>
                <w:snapToGrid/>
                <w:sz w:val="24"/>
              </w:rPr>
              <w:t>插电或纯电动</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316" w:type="dxa"/>
            <w:gridSpan w:val="4"/>
            <w:noWrap w:val="0"/>
            <w:vAlign w:val="top"/>
          </w:tcPr>
          <w:p>
            <w:pPr>
              <w:spacing w:line="360" w:lineRule="auto"/>
              <w:rPr>
                <w:rFonts w:hint="eastAsia" w:ascii="宋体" w:hAnsi="宋体"/>
                <w:color w:val="auto"/>
                <w:sz w:val="24"/>
                <w:szCs w:val="24"/>
                <w:vertAlign w:val="baseline"/>
              </w:rPr>
            </w:pPr>
            <w:r>
              <w:rPr>
                <w:rFonts w:hint="eastAsia" w:ascii="宋体" w:hAnsi="宋体"/>
                <w:snapToGrid/>
                <w:sz w:val="24"/>
                <w:lang w:val="en-US" w:eastAsia="zh-CN"/>
              </w:rPr>
              <w:t>最高</w:t>
            </w:r>
            <w:r>
              <w:rPr>
                <w:rFonts w:hint="default" w:ascii="宋体" w:hAnsi="宋体"/>
                <w:snapToGrid/>
                <w:sz w:val="24"/>
              </w:rPr>
              <w:t>优惠率</w:t>
            </w:r>
          </w:p>
        </w:tc>
        <w:tc>
          <w:tcPr>
            <w:tcW w:w="11824" w:type="dxa"/>
            <w:gridSpan w:val="12"/>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71" w:type="dxa"/>
            <w:gridSpan w:val="3"/>
            <w:noWrap w:val="0"/>
            <w:vAlign w:val="center"/>
          </w:tcPr>
          <w:p>
            <w:pPr>
              <w:spacing w:line="360" w:lineRule="auto"/>
              <w:jc w:val="center"/>
              <w:rPr>
                <w:rFonts w:hint="eastAsia" w:ascii="宋体" w:hAnsi="宋体"/>
                <w:color w:val="auto"/>
                <w:sz w:val="24"/>
                <w:szCs w:val="24"/>
                <w:vertAlign w:val="baseline"/>
              </w:rPr>
            </w:pPr>
            <w:r>
              <w:rPr>
                <w:rFonts w:hint="default" w:ascii="宋体" w:hAnsi="宋体"/>
                <w:snapToGrid/>
                <w:sz w:val="24"/>
              </w:rPr>
              <w:t>备注：</w:t>
            </w:r>
          </w:p>
        </w:tc>
        <w:tc>
          <w:tcPr>
            <w:tcW w:w="13469" w:type="dxa"/>
            <w:gridSpan w:val="13"/>
            <w:noWrap w:val="0"/>
            <w:vAlign w:val="center"/>
          </w:tcPr>
          <w:p>
            <w:pPr>
              <w:spacing w:line="360" w:lineRule="auto"/>
              <w:jc w:val="center"/>
              <w:rPr>
                <w:rFonts w:hint="eastAsia" w:ascii="宋体" w:hAnsi="宋体" w:eastAsia="宋体"/>
                <w:color w:val="auto"/>
                <w:sz w:val="24"/>
                <w:szCs w:val="24"/>
                <w:vertAlign w:val="baseline"/>
                <w:lang w:val="en-US" w:eastAsia="zh-CN"/>
              </w:rPr>
            </w:pPr>
            <w:r>
              <w:rPr>
                <w:rFonts w:hint="eastAsia" w:ascii="宋体" w:hAnsi="宋体"/>
                <w:b/>
                <w:bCs/>
                <w:snapToGrid/>
                <w:sz w:val="21"/>
                <w:szCs w:val="21"/>
                <w:lang w:val="en-US" w:eastAsia="zh-CN"/>
              </w:rPr>
              <w:t>1</w:t>
            </w:r>
            <w:r>
              <w:rPr>
                <w:rFonts w:hint="default" w:ascii="宋体" w:hAnsi="宋体"/>
                <w:b/>
                <w:bCs/>
                <w:snapToGrid/>
                <w:sz w:val="21"/>
                <w:szCs w:val="21"/>
              </w:rPr>
              <w:t>、投标报价=厂家指导价×（1-优惠率）</w:t>
            </w:r>
            <w:r>
              <w:rPr>
                <w:rFonts w:hint="eastAsia" w:ascii="宋体" w:hAnsi="宋体"/>
                <w:b/>
                <w:bCs/>
                <w:snapToGrid/>
                <w:sz w:val="21"/>
                <w:szCs w:val="21"/>
                <w:lang w:val="en-US" w:eastAsia="zh-CN"/>
              </w:rPr>
              <w:t>2、</w:t>
            </w:r>
            <w:r>
              <w:rPr>
                <w:rFonts w:hint="default" w:ascii="宋体" w:hAnsi="宋体"/>
                <w:b/>
                <w:bCs/>
                <w:snapToGrid/>
                <w:sz w:val="21"/>
                <w:szCs w:val="21"/>
              </w:rPr>
              <w:t>本包采购产品新能源形式仅接受：插电或纯电动，</w:t>
            </w:r>
            <w:r>
              <w:rPr>
                <w:rFonts w:hint="eastAsia" w:ascii="宋体" w:hAnsi="宋体"/>
                <w:b/>
                <w:bCs/>
                <w:snapToGrid/>
                <w:sz w:val="21"/>
                <w:szCs w:val="21"/>
                <w:lang w:eastAsia="zh-CN"/>
              </w:rPr>
              <w:t>上绿色牌照。</w:t>
            </w:r>
            <w:r>
              <w:rPr>
                <w:rFonts w:hint="default" w:ascii="宋体" w:hAnsi="宋体"/>
                <w:b/>
                <w:bCs/>
                <w:snapToGrid/>
                <w:sz w:val="21"/>
                <w:szCs w:val="21"/>
              </w:rPr>
              <w:t>投标人根据投标产品填写</w:t>
            </w:r>
          </w:p>
        </w:tc>
      </w:tr>
    </w:tbl>
    <w:p>
      <w:pPr>
        <w:rPr>
          <w:rFonts w:hint="eastAsia" w:ascii="宋体" w:hAnsi="宋体"/>
          <w:snapToGrid/>
          <w:sz w:val="24"/>
          <w:lang w:val="en-US" w:eastAsia="zh-CN"/>
        </w:rPr>
      </w:pPr>
      <w:r>
        <w:rPr>
          <w:rFonts w:hint="eastAsia" w:ascii="宋体" w:hAnsi="宋体"/>
          <w:snapToGrid/>
          <w:sz w:val="24"/>
          <w:lang w:val="en-US" w:eastAsia="zh-CN"/>
        </w:rPr>
        <w:t xml:space="preserve">   </w:t>
      </w:r>
      <w:r>
        <w:rPr>
          <w:rFonts w:hint="default" w:ascii="宋体" w:hAnsi="宋体"/>
          <w:snapToGrid/>
          <w:sz w:val="24"/>
        </w:rPr>
        <w:t>盖章：</w:t>
      </w:r>
      <w:r>
        <w:rPr>
          <w:rFonts w:hint="eastAsia" w:ascii="宋体" w:hAnsi="宋体"/>
          <w:snapToGrid/>
          <w:sz w:val="24"/>
          <w:u w:val="single" w:color="auto"/>
          <w:lang w:val="en-US" w:eastAsia="zh-CN"/>
        </w:rPr>
        <w:t xml:space="preserve">                  </w:t>
      </w:r>
      <w:r>
        <w:rPr>
          <w:rFonts w:hint="default" w:ascii="宋体" w:hAnsi="宋体"/>
          <w:snapToGrid/>
          <w:sz w:val="24"/>
        </w:rPr>
        <w:t xml:space="preserve"> （） </w:t>
      </w:r>
      <w:r>
        <w:rPr>
          <w:rFonts w:hint="eastAsia" w:ascii="宋体" w:hAnsi="宋体"/>
          <w:snapToGrid/>
          <w:sz w:val="24"/>
          <w:lang w:val="en-US" w:eastAsia="zh-CN"/>
        </w:rPr>
        <w:t xml:space="preserve"> </w:t>
      </w:r>
    </w:p>
    <w:p>
      <w:pPr>
        <w:rPr>
          <w:rFonts w:hint="eastAsia" w:ascii="宋体" w:hAnsi="宋体"/>
          <w:snapToGrid/>
          <w:sz w:val="24"/>
          <w:lang w:val="en-US" w:eastAsia="zh-CN"/>
        </w:rPr>
      </w:pPr>
      <w:r>
        <w:rPr>
          <w:rFonts w:hint="eastAsia" w:ascii="宋体" w:hAnsi="宋体"/>
          <w:snapToGrid/>
          <w:sz w:val="24"/>
          <w:lang w:val="en-US" w:eastAsia="zh-CN"/>
        </w:rPr>
        <w:t xml:space="preserve">    </w:t>
      </w: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法定代表人或委托代理人（签字）：</w:t>
      </w:r>
    </w:p>
    <w:p>
      <w:pPr>
        <w:rPr>
          <w:rFonts w:hint="default" w:ascii="宋体" w:hAnsi="宋体"/>
          <w:snapToGrid/>
          <w:sz w:val="24"/>
        </w:rPr>
      </w:pP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日 期： 年 月 日 </w:t>
      </w:r>
    </w:p>
    <w:p>
      <w:p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说明：1. 投标报价应是最终用户验收合格后的总价，包括招标文件规定、要求和涵盖全部费用。 </w:t>
      </w:r>
    </w:p>
    <w:p>
      <w:pPr>
        <w:numPr>
          <w:ilvl w:val="0"/>
          <w:numId w:val="15"/>
        </w:num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“开标一览表”以包号为单位填写，必须签字盖章，否则为无效投标，可以逐页签字盖章也可以在落款处签字盖章。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3</w:t>
      </w:r>
      <w:r>
        <w:rPr>
          <w:rFonts w:hint="eastAsia" w:ascii="仿宋" w:hAnsi="仿宋" w:eastAsia="仿宋" w:cs="仿宋"/>
          <w:b/>
          <w:bCs/>
          <w:snapToGrid/>
          <w:sz w:val="24"/>
          <w:szCs w:val="24"/>
        </w:rPr>
        <w:t xml:space="preserve">.发动机排气量≤1.6 升且最高限价为 12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4</w:t>
      </w:r>
      <w:r>
        <w:rPr>
          <w:rFonts w:hint="eastAsia" w:ascii="仿宋" w:hAnsi="仿宋" w:eastAsia="仿宋" w:cs="仿宋"/>
          <w:b/>
          <w:bCs/>
          <w:snapToGrid/>
          <w:sz w:val="24"/>
          <w:szCs w:val="24"/>
        </w:rPr>
        <w:t xml:space="preserve">.发动机排气量≤1.8 升且最高限价为 18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5</w:t>
      </w:r>
      <w:r>
        <w:rPr>
          <w:rFonts w:hint="eastAsia" w:ascii="仿宋" w:hAnsi="仿宋" w:eastAsia="仿宋" w:cs="仿宋"/>
          <w:b/>
          <w:bCs/>
          <w:snapToGrid/>
          <w:sz w:val="24"/>
          <w:szCs w:val="24"/>
        </w:rPr>
        <w:t xml:space="preserve">.允许投标人：仅投标发动机排气量≤1.6 升且最高限价为 12 万元的小型轿车或发动机排气量≤1.8 升且最高限价为 18 万元的小型轿车；也允许投标人：同时投标发动机排气量≤1.6 升且最高限价为 12 万元的小型轿车和发动机排气量≤1.8 升且最高限价为 18 万元的小型轿车。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6</w:t>
      </w:r>
      <w:r>
        <w:rPr>
          <w:rFonts w:hint="eastAsia" w:ascii="仿宋" w:hAnsi="仿宋" w:eastAsia="仿宋" w:cs="仿宋"/>
          <w:b/>
          <w:bCs/>
          <w:snapToGrid/>
          <w:sz w:val="24"/>
          <w:szCs w:val="24"/>
        </w:rPr>
        <w:t>.发动机排气量≤3.0 升且最高限价为 25 万元的越野车：投标人可投≤5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7</w:t>
      </w:r>
      <w:r>
        <w:rPr>
          <w:rFonts w:hint="eastAsia" w:ascii="仿宋" w:hAnsi="仿宋" w:eastAsia="仿宋" w:cs="仿宋"/>
          <w:b/>
          <w:bCs/>
          <w:snapToGrid/>
          <w:sz w:val="24"/>
          <w:szCs w:val="24"/>
        </w:rPr>
        <w:t>.发动机排气量≤3.0 升且最高限价为 25 万元的商务车：投标人可投≤5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8</w:t>
      </w:r>
      <w:r>
        <w:rPr>
          <w:rFonts w:hint="eastAsia" w:ascii="仿宋" w:hAnsi="仿宋" w:eastAsia="仿宋" w:cs="仿宋"/>
          <w:b/>
          <w:bCs/>
          <w:snapToGrid/>
          <w:sz w:val="24"/>
          <w:szCs w:val="24"/>
        </w:rPr>
        <w:t>.发动机排气量≤3.0 升且最高限价为 25 万元的中型客车：投标人可投≤5 种产品，如投标人投≥6 种产品的为无效投标。</w:t>
      </w:r>
    </w:p>
    <w:p>
      <w:pPr>
        <w:keepNext w:val="0"/>
        <w:keepLines w:val="0"/>
        <w:widowControl/>
        <w:suppressLineNumbers w:val="0"/>
        <w:jc w:val="left"/>
        <w:rPr>
          <w:rFonts w:hint="default"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9、</w:t>
      </w:r>
      <w:r>
        <w:rPr>
          <w:rFonts w:hint="eastAsia" w:ascii="宋体" w:hAnsi="宋体" w:eastAsia="宋体" w:cs="宋体"/>
          <w:b/>
          <w:color w:val="0C0C0C"/>
          <w:kern w:val="0"/>
          <w:sz w:val="24"/>
          <w:szCs w:val="24"/>
          <w:lang w:val="en-US" w:eastAsia="zh-CN" w:bidi="ar"/>
        </w:rPr>
        <w:t>最高限价为 45 万元的大型客车：投标人可投≤5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10</w:t>
      </w:r>
      <w:r>
        <w:rPr>
          <w:rFonts w:hint="eastAsia" w:ascii="仿宋" w:hAnsi="仿宋" w:eastAsia="仿宋" w:cs="仿宋"/>
          <w:b/>
          <w:bCs/>
          <w:snapToGrid/>
          <w:sz w:val="24"/>
          <w:szCs w:val="24"/>
        </w:rPr>
        <w:t>.最高限价为 18 万元的新能源汽车：投标人可投≤5 种产品，如投标人投≥6 种产品的为无效投标。</w:t>
      </w:r>
    </w:p>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10"/>
          <w:sz w:val="24"/>
          <w:szCs w:val="24"/>
          <w:lang w:eastAsia="zh-CN"/>
        </w:rPr>
        <w:t>供应商</w:t>
      </w:r>
      <w:r>
        <w:rPr>
          <w:rFonts w:hint="eastAsia" w:asciiTheme="minorEastAsia" w:hAnsiTheme="minorEastAsia" w:eastAsiaTheme="minorEastAsia" w:cstheme="minorEastAsia"/>
          <w:color w:val="auto"/>
          <w:spacing w:val="10"/>
          <w:sz w:val="24"/>
          <w:szCs w:val="24"/>
        </w:rPr>
        <w:t>（签字、盖章）</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eastAsia="zh-CN"/>
        </w:rPr>
        <w:sectPr>
          <w:pgSz w:w="16840" w:h="11910" w:orient="landscape"/>
          <w:pgMar w:top="1531" w:right="1871" w:bottom="1531" w:left="1757" w:header="1209" w:footer="1459"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auto"/>
          <w:spacing w:val="10"/>
          <w:sz w:val="24"/>
          <w:szCs w:val="24"/>
        </w:rPr>
        <w:t>日期：</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年</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月</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日</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商务条款偏离表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应根据其提供的货物和服务，对照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除“</w:t>
      </w:r>
      <w:r>
        <w:rPr>
          <w:rFonts w:hint="eastAsia" w:asciiTheme="minorEastAsia" w:hAnsiTheme="minorEastAsia" w:eastAsiaTheme="minorEastAsia" w:cstheme="minorEastAsia"/>
          <w:b w:val="0"/>
          <w:bCs/>
          <w:color w:val="auto"/>
          <w:sz w:val="24"/>
          <w:szCs w:val="24"/>
          <w:lang w:val="en-US" w:eastAsia="zh-CN"/>
        </w:rPr>
        <w:t>采购需求</w:t>
      </w:r>
      <w:r>
        <w:rPr>
          <w:rFonts w:hint="eastAsia" w:asciiTheme="minorEastAsia" w:hAnsiTheme="minorEastAsia" w:eastAsiaTheme="minorEastAsia" w:cstheme="minorEastAsia"/>
          <w:b w:val="0"/>
          <w:bCs/>
          <w:color w:val="auto"/>
          <w:sz w:val="24"/>
          <w:szCs w:val="24"/>
        </w:rPr>
        <w:t>”外的要求，有差异的，则在差异表中写明实际响应的具体内容。</w:t>
      </w:r>
    </w:p>
    <w:tbl>
      <w:tblPr>
        <w:tblStyle w:val="39"/>
        <w:tblW w:w="8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043"/>
        <w:gridCol w:w="244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w:t>
            </w:r>
          </w:p>
        </w:tc>
        <w:tc>
          <w:tcPr>
            <w:tcW w:w="2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内容</w:t>
            </w:r>
          </w:p>
        </w:tc>
        <w:tc>
          <w:tcPr>
            <w:tcW w:w="2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供统一社会信用代码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未被列入</w:t>
            </w:r>
            <w:r>
              <w:rPr>
                <w:rFonts w:hint="eastAsia" w:asciiTheme="minorEastAsia" w:hAnsiTheme="minorEastAsia" w:eastAsiaTheme="minorEastAsia" w:cstheme="minorEastAsia"/>
                <w:color w:val="auto"/>
                <w:sz w:val="24"/>
                <w:szCs w:val="24"/>
              </w:rPr>
              <w:t>“中国裁判文书网”记录综合查询被执行人</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未被列入失信行为记录</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社保缴纳证明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完税证明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审计</w:t>
            </w:r>
            <w:r>
              <w:rPr>
                <w:rFonts w:hint="eastAsia" w:asciiTheme="minorEastAsia" w:hAnsiTheme="minorEastAsia" w:eastAsiaTheme="minorEastAsia" w:cstheme="minorEastAsia"/>
                <w:bCs/>
                <w:color w:val="auto"/>
                <w:sz w:val="24"/>
                <w:szCs w:val="24"/>
              </w:rPr>
              <w:t>报告</w:t>
            </w:r>
            <w:r>
              <w:rPr>
                <w:rFonts w:hint="eastAsia" w:asciiTheme="minorEastAsia" w:hAnsiTheme="minorEastAsia" w:eastAsiaTheme="minorEastAsia" w:cstheme="minorEastAsia"/>
                <w:bCs/>
                <w:color w:val="auto"/>
                <w:sz w:val="24"/>
                <w:szCs w:val="24"/>
                <w:lang w:val="en-US" w:eastAsia="zh-CN"/>
              </w:rPr>
              <w:t>或银行资信证明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法人授权函</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（法人公章）：</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授权代表（签名或盖章）：</w:t>
      </w:r>
    </w:p>
    <w:p>
      <w:pPr>
        <w:keepNext w:val="0"/>
        <w:keepLines w:val="0"/>
        <w:pageBreakBefore w:val="0"/>
        <w:widowControl w:val="0"/>
        <w:kinsoku w:val="0"/>
        <w:wordWrap/>
        <w:overflowPunct/>
        <w:topLinePunct w:val="0"/>
        <w:autoSpaceDE w:val="0"/>
        <w:bidi w:val="0"/>
        <w:snapToGrid/>
        <w:spacing w:line="500" w:lineRule="exact"/>
        <w:ind w:left="0" w:leftChars="0" w:right="0" w:rightChars="0"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售后服务承诺</w:t>
      </w:r>
    </w:p>
    <w:p>
      <w:pPr>
        <w:pStyle w:val="9"/>
        <w:keepNext w:val="0"/>
        <w:keepLines w:val="0"/>
        <w:pageBreakBefore w:val="0"/>
        <w:overflowPunct/>
        <w:topLinePunct w:val="0"/>
        <w:bidi w:val="0"/>
        <w:outlineLvl w:val="9"/>
        <w:rPr>
          <w:rFonts w:hint="eastAsia" w:asciiTheme="minorEastAsia" w:hAnsiTheme="minorEastAsia" w:eastAsiaTheme="minorEastAsia" w:cstheme="minorEastAsia"/>
          <w:color w:val="auto"/>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4"/>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质量承诺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符合国家及相关行业标准、三包等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价格承诺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（包括不高于征集文件最高限价等）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质保期承诺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（包括质量保证期限等）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4</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维修安装承诺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（包括安装运输过程中可能出现的问题，运送地点，专人安装调试，运输安装费用等）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供货期限承诺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（包括供货期限等）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售后响应承诺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（包括售后服务电话，质保期内、外的时限、服务承诺等）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使用承诺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包括</w:t>
            </w:r>
            <w:r>
              <w:rPr>
                <w:rFonts w:hint="eastAsia" w:asciiTheme="minorEastAsia" w:hAnsiTheme="minorEastAsia" w:eastAsiaTheme="minorEastAsia" w:cstheme="minorEastAsia"/>
                <w:bCs/>
                <w:color w:val="auto"/>
                <w:sz w:val="24"/>
                <w:szCs w:val="24"/>
                <w:highlight w:val="none"/>
                <w:lang w:val="en-US" w:eastAsia="zh-CN"/>
              </w:rPr>
              <w:t>车辆的</w:t>
            </w:r>
            <w:r>
              <w:rPr>
                <w:rFonts w:hint="eastAsia" w:asciiTheme="minorEastAsia" w:hAnsiTheme="minorEastAsia" w:eastAsiaTheme="minorEastAsia" w:cstheme="minorEastAsia"/>
                <w:bCs/>
                <w:color w:val="auto"/>
                <w:sz w:val="24"/>
                <w:szCs w:val="24"/>
                <w:lang w:val="en-US" w:eastAsia="zh-CN"/>
              </w:rPr>
              <w:t>使用、保养等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其他</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（包括采购项目本身所涉及的事项</w:t>
            </w:r>
            <w:r>
              <w:rPr>
                <w:rFonts w:hint="eastAsia" w:asciiTheme="minorEastAsia" w:hAnsiTheme="minorEastAsia" w:eastAsiaTheme="minorEastAsia" w:cstheme="minorEastAsia"/>
                <w:bCs/>
                <w:color w:val="auto"/>
                <w:sz w:val="24"/>
                <w:szCs w:val="24"/>
                <w:lang w:val="en-US" w:eastAsia="zh-CN"/>
              </w:rPr>
              <w:t>等</w:t>
            </w:r>
            <w:r>
              <w:rPr>
                <w:rFonts w:hint="eastAsia" w:asciiTheme="minorEastAsia" w:hAnsiTheme="minorEastAsia" w:eastAsiaTheme="minorEastAsia" w:cstheme="minorEastAsia"/>
                <w:bCs/>
                <w:color w:val="auto"/>
                <w:sz w:val="24"/>
                <w:szCs w:val="24"/>
                <w:lang w:eastAsia="zh-CN"/>
              </w:rPr>
              <w:t>）</w:t>
            </w:r>
          </w:p>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pStyle w:val="31"/>
        <w:ind w:left="0" w:leftChars="0" w:firstLine="0" w:firstLineChars="0"/>
        <w:jc w:val="both"/>
        <w:rPr>
          <w:rFonts w:hint="eastAsia"/>
          <w:color w:val="auto"/>
          <w:lang w:eastAsia="zh-CN"/>
        </w:rPr>
      </w:pPr>
    </w:p>
    <w:p>
      <w:pPr>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val="0"/>
          <w:bCs/>
          <w:color w:val="auto"/>
          <w:sz w:val="32"/>
          <w:szCs w:val="32"/>
          <w:lang w:val="en-US" w:eastAsia="zh-CN"/>
        </w:rPr>
      </w:pPr>
      <w:r>
        <w:rPr>
          <w:rFonts w:hint="eastAsia" w:asciiTheme="minorEastAsia" w:hAnsiTheme="minorEastAsia" w:eastAsiaTheme="minorEastAsia" w:cstheme="minorEastAsia"/>
          <w:b w:val="0"/>
          <w:bCs/>
          <w:color w:val="auto"/>
          <w:sz w:val="32"/>
          <w:szCs w:val="32"/>
        </w:rPr>
        <w:t>具备法律、行政法规规定的其他条件的证明</w:t>
      </w:r>
      <w:r>
        <w:rPr>
          <w:rFonts w:hint="eastAsia" w:asciiTheme="minorEastAsia" w:hAnsiTheme="minorEastAsia" w:eastAsiaTheme="minorEastAsia" w:cstheme="minorEastAsia"/>
          <w:b w:val="0"/>
          <w:bCs/>
          <w:color w:val="auto"/>
          <w:sz w:val="32"/>
          <w:szCs w:val="32"/>
          <w:lang w:val="en-US" w:eastAsia="zh-CN"/>
        </w:rPr>
        <w:t>材料</w:t>
      </w:r>
    </w:p>
    <w:bookmarkEnd w:id="225"/>
    <w:bookmarkEnd w:id="226"/>
    <w:bookmarkEnd w:id="227"/>
    <w:bookmarkEnd w:id="228"/>
    <w:bookmarkEnd w:id="229"/>
    <w:p>
      <w:pPr>
        <w:keepNext w:val="0"/>
        <w:keepLines w:val="0"/>
        <w:pageBreakBefore w:val="0"/>
        <w:widowControl w:val="0"/>
        <w:tabs>
          <w:tab w:val="left" w:pos="360"/>
        </w:tabs>
        <w:kinsoku/>
        <w:wordWrap/>
        <w:overflowPunct/>
        <w:topLinePunct w:val="0"/>
        <w:autoSpaceDE/>
        <w:autoSpaceDN/>
        <w:bidi w:val="0"/>
        <w:adjustRightInd/>
        <w:snapToGrid/>
        <w:spacing w:line="500" w:lineRule="exact"/>
        <w:ind w:firstLine="562" w:firstLineChars="200"/>
        <w:textAlignment w:val="auto"/>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afterLines="50" w:line="360" w:lineRule="auto"/>
        <w:outlineLvl w:val="9"/>
        <w:rPr>
          <w:rFonts w:hint="eastAsia" w:asciiTheme="minorEastAsia" w:hAnsiTheme="minorEastAsia" w:eastAsiaTheme="minorEastAsia" w:cstheme="minorEastAsia"/>
          <w:b w:val="0"/>
          <w:bCs/>
          <w:color w:val="auto"/>
          <w:sz w:val="28"/>
          <w:szCs w:val="28"/>
        </w:rPr>
      </w:pPr>
    </w:p>
    <w:p>
      <w:pPr>
        <w:jc w:val="both"/>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九</w:t>
      </w:r>
    </w:p>
    <w:p>
      <w:pPr>
        <w:jc w:val="both"/>
        <w:rPr>
          <w:rFonts w:hint="eastAsia" w:asciiTheme="minorEastAsia" w:hAnsiTheme="minorEastAsia" w:eastAsiaTheme="minorEastAsia" w:cstheme="minorEastAsia"/>
          <w:b w:val="0"/>
          <w:bCs/>
          <w:color w:val="auto"/>
          <w:sz w:val="28"/>
          <w:szCs w:val="28"/>
          <w:lang w:val="en-US" w:eastAsia="zh-CN"/>
        </w:rPr>
      </w:pPr>
    </w:p>
    <w:p>
      <w:pPr>
        <w:ind w:firstLine="2249" w:firstLineChars="800"/>
        <w:jc w:val="both"/>
        <w:rPr>
          <w:rFonts w:hint="eastAsia"/>
          <w:b/>
          <w:color w:val="auto"/>
          <w:sz w:val="28"/>
          <w:szCs w:val="28"/>
        </w:rPr>
      </w:pPr>
      <w:r>
        <w:rPr>
          <w:rFonts w:hint="eastAsia"/>
          <w:b/>
          <w:color w:val="auto"/>
          <w:sz w:val="28"/>
          <w:szCs w:val="28"/>
        </w:rPr>
        <w:t>中小企业声明函（工程、服务）</w:t>
      </w:r>
    </w:p>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1. （标的名称） ，属于（采购文件中明确的所属行业）；承建（承接）企业为（企业名称），从业人员人，营业收入为万元，资产总额为万元1，属于（中型企业、小型企业、微型企业）；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2. （标的名称） ，属于（采购文件中明确的所属行业）；承建（承接）企业为（企业名称），从业人员人，营业收入为万元，资产总额为万元，属于（中型企业、小型企业、微型企业）；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rPr>
      </w:pP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20" w:lineRule="exact"/>
        <w:ind w:firstLine="4080" w:firstLineChars="17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日期：</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jc w:val="right"/>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overflowPunct/>
        <w:topLinePunct w:val="0"/>
        <w:autoSpaceDE/>
        <w:autoSpaceDN/>
        <w:bidi w:val="0"/>
        <w:adjustRightInd/>
        <w:spacing w:line="700" w:lineRule="exact"/>
        <w:jc w:val="right"/>
        <w:textAlignment w:val="auto"/>
        <w:outlineLvl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b/>
          <w:bCs/>
          <w:color w:val="auto"/>
          <w:sz w:val="30"/>
          <w:szCs w:val="30"/>
        </w:rPr>
      </w:pPr>
      <w:bookmarkStart w:id="230" w:name="OLE_LINK14"/>
      <w:bookmarkStart w:id="231" w:name="OLE_LINK13"/>
      <w:r>
        <w:rPr>
          <w:rFonts w:hint="eastAsia" w:asciiTheme="minorEastAsia" w:hAnsiTheme="minorEastAsia" w:eastAsiaTheme="minorEastAsia" w:cstheme="minorEastAsia"/>
          <w:b/>
          <w:bCs/>
          <w:color w:val="auto"/>
          <w:sz w:val="30"/>
          <w:szCs w:val="30"/>
        </w:rPr>
        <w:t>残疾人福利性单位声明函</w:t>
      </w:r>
    </w:p>
    <w:bookmarkEnd w:id="230"/>
    <w:bookmarkEnd w:id="231"/>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z w:val="24"/>
          <w:szCs w:val="24"/>
        </w:rPr>
        <w:t>〔2017〕 141</w:t>
      </w:r>
      <w:r>
        <w:rPr>
          <w:rFonts w:hint="eastAsia" w:asciiTheme="minorEastAsia" w:hAnsiTheme="minorEastAsia" w:eastAsiaTheme="minorEastAsia" w:cs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单位名称（</w:t>
      </w:r>
      <w:r>
        <w:rPr>
          <w:rFonts w:hint="eastAsia" w:asciiTheme="minorEastAsia" w:hAnsiTheme="minorEastAsia" w:eastAsiaTheme="minorEastAsia" w:cstheme="minorEastAsia"/>
          <w:color w:val="auto"/>
          <w:spacing w:val="6"/>
          <w:sz w:val="24"/>
          <w:szCs w:val="24"/>
          <w:lang w:val="en-US" w:eastAsia="zh-CN"/>
        </w:rPr>
        <w:t>盖章</w:t>
      </w:r>
      <w:r>
        <w:rPr>
          <w:rFonts w:hint="eastAsia" w:asciiTheme="minorEastAsia" w:hAnsiTheme="minorEastAsia" w:eastAsiaTheme="minorEastAsia" w:cstheme="minorEastAsia"/>
          <w:color w:val="auto"/>
          <w:spacing w:val="6"/>
          <w:sz w:val="24"/>
          <w:szCs w:val="24"/>
        </w:rPr>
        <w:t>）：</w:t>
      </w: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日</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期：</w:t>
      </w:r>
    </w:p>
    <w:p>
      <w:pPr>
        <w:pStyle w:val="9"/>
        <w:keepNext w:val="0"/>
        <w:keepLines w:val="0"/>
        <w:pageBreakBefore w:val="0"/>
        <w:overflowPunct/>
        <w:topLinePunct w:val="0"/>
        <w:bidi w:val="0"/>
        <w:ind w:firstLine="482"/>
        <w:outlineLvl w:val="9"/>
        <w:rPr>
          <w:rFonts w:hint="eastAsia" w:asciiTheme="minorEastAsia" w:hAnsiTheme="minorEastAsia" w:eastAsiaTheme="minorEastAsia" w:cstheme="minorEastAsia"/>
          <w:b/>
          <w:bCs/>
          <w:color w:val="auto"/>
          <w:szCs w:val="24"/>
        </w:rPr>
      </w:pPr>
    </w:p>
    <w:p>
      <w:pPr>
        <w:pStyle w:val="9"/>
        <w:rPr>
          <w:rFonts w:hint="eastAsia" w:ascii="宋体" w:hAnsi="宋体"/>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left="0" w:leftChars="0" w:firstLine="0" w:firstLineChars="0"/>
        <w:outlineLvl w:val="0"/>
        <w:rPr>
          <w:rFonts w:hint="default" w:asciiTheme="minorEastAsia" w:hAnsiTheme="minorEastAsia" w:eastAsiaTheme="minorEastAsia" w:cstheme="minorEastAsia"/>
          <w:b/>
          <w:bCs w:val="0"/>
          <w:color w:val="auto"/>
          <w:sz w:val="44"/>
          <w:szCs w:val="44"/>
          <w:lang w:val="en-US"/>
        </w:rPr>
      </w:pPr>
      <w:bookmarkStart w:id="232" w:name="_Toc30602"/>
      <w:r>
        <w:rPr>
          <w:rFonts w:hint="eastAsia" w:asciiTheme="minorEastAsia" w:hAnsiTheme="minorEastAsia" w:eastAsiaTheme="minorEastAsia" w:cstheme="minorEastAsia"/>
          <w:b/>
          <w:bCs w:val="0"/>
          <w:color w:val="auto"/>
          <w:sz w:val="44"/>
          <w:szCs w:val="44"/>
          <w:lang w:val="en-US" w:eastAsia="zh-CN"/>
        </w:rPr>
        <w:t>第八部分       不见面开标大厅</w:t>
      </w:r>
      <w:r>
        <w:rPr>
          <w:rFonts w:hint="eastAsia" w:asciiTheme="minorEastAsia" w:hAnsiTheme="minorEastAsia" w:eastAsiaTheme="minorEastAsia" w:cstheme="minorEastAsia"/>
          <w:b/>
          <w:bCs w:val="0"/>
          <w:color w:val="auto"/>
          <w:spacing w:val="-3"/>
          <w:sz w:val="44"/>
          <w:szCs w:val="44"/>
        </w:rPr>
        <w:t>操作手册</w:t>
      </w:r>
      <w:bookmarkEnd w:id="232"/>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bookmarkStart w:id="233" w:name="_Toc8270_WPSOffice_Level1"/>
      <w:bookmarkStart w:id="234" w:name="_Toc14441_WPSOffice_Level1"/>
      <w:bookmarkStart w:id="235" w:name="_Toc7392_WPSOffice_Level1"/>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pacing w:val="-4"/>
          <w:sz w:val="52"/>
          <w:szCs w:val="52"/>
        </w:rPr>
        <w:t>甘肃</w:t>
      </w:r>
      <w:r>
        <w:rPr>
          <w:rFonts w:hint="eastAsia" w:asciiTheme="minorEastAsia" w:hAnsiTheme="minorEastAsia" w:eastAsiaTheme="minorEastAsia" w:cstheme="minorEastAsia"/>
          <w:color w:val="auto"/>
          <w:spacing w:val="-3"/>
          <w:sz w:val="52"/>
          <w:szCs w:val="52"/>
        </w:rPr>
        <w:t>中</w:t>
      </w:r>
      <w:r>
        <w:rPr>
          <w:rFonts w:hint="eastAsia" w:asciiTheme="minorEastAsia" w:hAnsiTheme="minorEastAsia" w:eastAsiaTheme="minorEastAsia" w:cstheme="minorEastAsia"/>
          <w:color w:val="auto"/>
          <w:spacing w:val="-2"/>
          <w:sz w:val="52"/>
          <w:szCs w:val="52"/>
        </w:rPr>
        <w:t>工电子开评标系统运营项目</w:t>
      </w:r>
      <w:r>
        <w:rPr>
          <w:rFonts w:hint="eastAsia" w:asciiTheme="minorEastAsia" w:hAnsiTheme="minorEastAsia" w:eastAsiaTheme="minorEastAsia" w:cstheme="minorEastAsia"/>
          <w:color w:val="auto"/>
          <w:spacing w:val="-4"/>
          <w:sz w:val="52"/>
          <w:szCs w:val="52"/>
        </w:rPr>
        <w:t>不</w:t>
      </w:r>
      <w:r>
        <w:rPr>
          <w:rFonts w:hint="eastAsia" w:asciiTheme="minorEastAsia" w:hAnsiTheme="minorEastAsia" w:eastAsiaTheme="minorEastAsia" w:cstheme="minorEastAsia"/>
          <w:color w:val="auto"/>
          <w:spacing w:val="-3"/>
          <w:sz w:val="52"/>
          <w:szCs w:val="52"/>
        </w:rPr>
        <w:t>见面开标大厅操作手册</w:t>
      </w:r>
      <w:bookmarkEnd w:id="233"/>
      <w:bookmarkEnd w:id="234"/>
      <w:bookmarkEnd w:id="235"/>
    </w:p>
    <w:p>
      <w:pPr>
        <w:rPr>
          <w:rFonts w:asciiTheme="minorEastAsia" w:hAnsiTheme="minorEastAsia" w:eastAsiaTheme="minorEastAsia" w:cstheme="minorEastAsia"/>
          <w:color w:val="auto"/>
        </w:rPr>
        <w:sectPr>
          <w:pgSz w:w="11906" w:h="16839"/>
          <w:pgMar w:top="1524" w:right="1717" w:bottom="0" w:left="1785" w:header="1521" w:footer="0"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4" w:lineRule="auto"/>
        <w:rPr>
          <w:rFonts w:asciiTheme="minorEastAsia" w:hAnsiTheme="minorEastAsia" w:eastAsiaTheme="minorEastAsia" w:cstheme="minorEastAsia"/>
          <w:color w:val="auto"/>
          <w:sz w:val="24"/>
          <w:szCs w:val="24"/>
        </w:rPr>
      </w:pPr>
    </w:p>
    <w:sdt>
      <w:sdtPr>
        <w:rPr>
          <w:rFonts w:ascii="宋体" w:hAnsi="宋体" w:eastAsia="宋体" w:cs="Times New Roman"/>
          <w:kern w:val="2"/>
          <w:sz w:val="21"/>
          <w:szCs w:val="24"/>
          <w:lang w:val="en-US" w:eastAsia="zh-CN" w:bidi="ar-SA"/>
        </w:rPr>
        <w:id w:val="14745285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236" w:name="_Toc28349_WPSOffice_Type1"/>
          <w:r>
            <w:rPr>
              <w:rFonts w:ascii="宋体" w:hAnsi="宋体" w:eastAsia="宋体"/>
              <w:sz w:val="21"/>
            </w:rPr>
            <w:t>目录</w:t>
          </w:r>
        </w:p>
        <w:p>
          <w:pPr>
            <w:pStyle w:val="174"/>
            <w:tabs>
              <w:tab w:val="right" w:leader="dot" w:pos="8336"/>
            </w:tabs>
          </w:pPr>
          <w:r>
            <w:fldChar w:fldCharType="begin"/>
          </w:r>
          <w:r>
            <w:instrText xml:space="preserve"> HYPERLINK \l _Toc9433_WPSOffice_Level1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0ac01040-9767-4216-8dac-fe57afca8cce}"/>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一、开标大厅</w:t>
              </w:r>
            </w:sdtContent>
          </w:sdt>
          <w:r>
            <w:tab/>
          </w:r>
          <w:bookmarkStart w:id="237" w:name="_Toc9433_WPSOffice_Level1Page"/>
          <w:r>
            <w:t>61</w:t>
          </w:r>
          <w:bookmarkEnd w:id="237"/>
          <w:r>
            <w:fldChar w:fldCharType="end"/>
          </w:r>
        </w:p>
        <w:p>
          <w:pPr>
            <w:pStyle w:val="174"/>
            <w:tabs>
              <w:tab w:val="right" w:leader="dot" w:pos="8336"/>
            </w:tabs>
          </w:pPr>
          <w:r>
            <w:fldChar w:fldCharType="begin"/>
          </w:r>
          <w:r>
            <w:instrText xml:space="preserve"> HYPERLINK \l _Toc28349_WPSOffice_Level1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a86a3844-1fa9-4310-9c20-55262b9bb8f2}"/>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二、电脑环境准备</w:t>
              </w:r>
            </w:sdtContent>
          </w:sdt>
          <w:r>
            <w:tab/>
          </w:r>
          <w:bookmarkStart w:id="238" w:name="_Toc28349_WPSOffice_Level1Page"/>
          <w:r>
            <w:t>61</w:t>
          </w:r>
          <w:bookmarkEnd w:id="238"/>
          <w:r>
            <w:fldChar w:fldCharType="end"/>
          </w:r>
        </w:p>
        <w:p>
          <w:pPr>
            <w:pStyle w:val="174"/>
            <w:tabs>
              <w:tab w:val="right" w:leader="dot" w:pos="8336"/>
            </w:tabs>
          </w:pPr>
          <w:r>
            <w:fldChar w:fldCharType="begin"/>
          </w:r>
          <w:r>
            <w:instrText xml:space="preserve"> HYPERLINK \l _Toc9792_WPSOffice_Level1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c3e525db-fa86-429f-b4e3-aed5c815cd46}"/>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三、招标代理</w:t>
              </w:r>
            </w:sdtContent>
          </w:sdt>
          <w:r>
            <w:tab/>
          </w:r>
          <w:bookmarkStart w:id="239" w:name="_Toc9792_WPSOffice_Level1Page"/>
          <w:r>
            <w:t>66</w:t>
          </w:r>
          <w:bookmarkEnd w:id="239"/>
          <w:r>
            <w:fldChar w:fldCharType="end"/>
          </w:r>
          <w:bookmarkEnd w:id="236"/>
        </w:p>
      </w:sdtContent>
    </w:sdt>
    <w:p>
      <w:pPr>
        <w:rPr>
          <w:rFonts w:asciiTheme="minorEastAsia" w:hAnsiTheme="minorEastAsia" w:eastAsiaTheme="minorEastAsia" w:cstheme="minorEastAsia"/>
          <w:color w:val="auto"/>
        </w:rPr>
        <w:sectPr>
          <w:headerReference r:id="rId6" w:type="default"/>
          <w:footerReference r:id="rId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133" w:line="545" w:lineRule="exact"/>
        <w:ind w:left="484"/>
        <w:outlineLvl w:val="0"/>
        <w:rPr>
          <w:rFonts w:asciiTheme="minorEastAsia" w:hAnsiTheme="minorEastAsia" w:eastAsiaTheme="minorEastAsia" w:cstheme="minorEastAsia"/>
          <w:color w:val="auto"/>
          <w:sz w:val="31"/>
          <w:szCs w:val="31"/>
        </w:rPr>
      </w:pPr>
      <w:bookmarkStart w:id="240" w:name="_Toc24186"/>
      <w:bookmarkStart w:id="241" w:name="_Toc1205"/>
      <w:bookmarkStart w:id="242" w:name="_Toc1003_WPSOffice_Level1"/>
      <w:bookmarkStart w:id="243" w:name="_Toc9433_WPSOffice_Level1"/>
      <w:bookmarkStart w:id="244" w:name="_Toc31176_WPSOffice_Level1"/>
      <w:bookmarkStart w:id="245" w:name="_Toc22673_WPSOffice_Level1"/>
      <w:r>
        <w:rPr>
          <w:rFonts w:hint="eastAsia" w:asciiTheme="minorEastAsia" w:hAnsiTheme="minorEastAsia" w:eastAsiaTheme="minorEastAsia" w:cstheme="minorEastAsia"/>
          <w:color w:val="auto"/>
          <w:spacing w:val="6"/>
          <w:position w:val="5"/>
          <w:sz w:val="31"/>
          <w:szCs w:val="31"/>
        </w:rPr>
        <w:t>一</w:t>
      </w:r>
      <w:r>
        <w:rPr>
          <w:rFonts w:hint="eastAsia" w:asciiTheme="minorEastAsia" w:hAnsiTheme="minorEastAsia" w:eastAsiaTheme="minorEastAsia" w:cstheme="minorEastAsia"/>
          <w:color w:val="auto"/>
          <w:spacing w:val="3"/>
          <w:position w:val="5"/>
          <w:sz w:val="31"/>
          <w:szCs w:val="31"/>
        </w:rPr>
        <w:t>、开标大厅</w:t>
      </w:r>
      <w:bookmarkEnd w:id="240"/>
      <w:bookmarkEnd w:id="241"/>
      <w:bookmarkEnd w:id="242"/>
      <w:bookmarkEnd w:id="243"/>
      <w:bookmarkEnd w:id="244"/>
      <w:bookmarkEnd w:id="245"/>
    </w:p>
    <w:p>
      <w:pPr>
        <w:spacing w:before="248" w:line="423" w:lineRule="auto"/>
        <w:ind w:left="26" w:firstLine="41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开标大厅主要是用于在网上开标 ，减少投标人的出差成本 ；只要在有稳定网络的地方</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3"/>
          <w:sz w:val="20"/>
          <w:szCs w:val="20"/>
        </w:rPr>
        <w:t>登</w:t>
      </w:r>
      <w:r>
        <w:rPr>
          <w:rFonts w:hint="eastAsia" w:asciiTheme="minorEastAsia" w:hAnsiTheme="minorEastAsia" w:eastAsiaTheme="minorEastAsia" w:cstheme="minorEastAsia"/>
          <w:color w:val="auto"/>
          <w:spacing w:val="9"/>
          <w:sz w:val="20"/>
          <w:szCs w:val="20"/>
        </w:rPr>
        <w:t>录不见面开标大厅就可以实现网上开标。有效的提高工作效率。</w:t>
      </w:r>
    </w:p>
    <w:p>
      <w:pPr>
        <w:spacing w:line="618"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7"/>
          <w:position w:val="29"/>
          <w:sz w:val="20"/>
          <w:szCs w:val="20"/>
        </w:rPr>
        <w:t>开</w:t>
      </w:r>
      <w:r>
        <w:rPr>
          <w:rFonts w:hint="eastAsia" w:asciiTheme="minorEastAsia" w:hAnsiTheme="minorEastAsia" w:eastAsiaTheme="minorEastAsia" w:cstheme="minorEastAsia"/>
          <w:color w:val="auto"/>
          <w:spacing w:val="9"/>
          <w:position w:val="29"/>
          <w:sz w:val="20"/>
          <w:szCs w:val="20"/>
        </w:rPr>
        <w:t>标大厅地址 ：</w:t>
      </w:r>
      <w:r>
        <w:rPr>
          <w:rFonts w:hint="eastAsia" w:asciiTheme="minorEastAsia" w:hAnsiTheme="minorEastAsia" w:eastAsiaTheme="minorEastAsia" w:cstheme="minorEastAsia"/>
          <w:color w:val="auto"/>
          <w:position w:val="29"/>
          <w:sz w:val="20"/>
          <w:szCs w:val="20"/>
        </w:rPr>
        <w:t>http</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gsztb</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cn</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BidOpeningHall</w:t>
      </w:r>
    </w:p>
    <w:p>
      <w:pPr>
        <w:spacing w:line="351"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position w:val="4"/>
          <w:sz w:val="20"/>
          <w:szCs w:val="20"/>
        </w:rPr>
        <w:t>开</w:t>
      </w:r>
      <w:r>
        <w:rPr>
          <w:rFonts w:hint="eastAsia" w:asciiTheme="minorEastAsia" w:hAnsiTheme="minorEastAsia" w:eastAsiaTheme="minorEastAsia" w:cstheme="minorEastAsia"/>
          <w:color w:val="auto"/>
          <w:spacing w:val="8"/>
          <w:position w:val="4"/>
          <w:sz w:val="20"/>
          <w:szCs w:val="20"/>
        </w:rPr>
        <w:t>标</w:t>
      </w:r>
      <w:r>
        <w:rPr>
          <w:rFonts w:hint="eastAsia" w:asciiTheme="minorEastAsia" w:hAnsiTheme="minorEastAsia" w:eastAsiaTheme="minorEastAsia" w:cstheme="minorEastAsia"/>
          <w:color w:val="auto"/>
          <w:spacing w:val="7"/>
          <w:position w:val="4"/>
          <w:sz w:val="20"/>
          <w:szCs w:val="20"/>
        </w:rPr>
        <w:t>大厅页面 ( 如下图 )  ：</w:t>
      </w:r>
    </w:p>
    <w:p>
      <w:pPr>
        <w:spacing w:before="153"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5266944" cy="2308859"/>
                    </a:xfrm>
                    <a:prstGeom prst="rect">
                      <a:avLst/>
                    </a:prstGeom>
                  </pic:spPr>
                </pic:pic>
              </a:graphicData>
            </a:graphic>
          </wp:inline>
        </w:drawing>
      </w:r>
    </w:p>
    <w:p>
      <w:pPr>
        <w:spacing w:before="272"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点击右上角的登录按钮 </w:t>
      </w:r>
      <w:r>
        <w:rPr>
          <w:rFonts w:hint="eastAsia" w:asciiTheme="minorEastAsia" w:hAnsiTheme="minorEastAsia" w:eastAsiaTheme="minorEastAsia" w:cstheme="minorEastAsia"/>
          <w:color w:val="auto"/>
          <w:spacing w:val="1"/>
          <w:sz w:val="20"/>
          <w:szCs w:val="20"/>
        </w:rPr>
        <w:t>，显示登录界面。页面主要分为六个登录分类 ，分别是招标代理、</w:t>
      </w:r>
    </w:p>
    <w:p>
      <w:pPr>
        <w:spacing w:line="264" w:lineRule="auto"/>
        <w:rPr>
          <w:rFonts w:asciiTheme="minorEastAsia" w:hAnsiTheme="minorEastAsia" w:eastAsiaTheme="minorEastAsia" w:cstheme="minorEastAsia"/>
          <w:color w:val="auto"/>
        </w:rPr>
      </w:pPr>
    </w:p>
    <w:p>
      <w:pPr>
        <w:spacing w:before="87" w:line="190" w:lineRule="auto"/>
        <w:ind w:left="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投</w:t>
      </w:r>
      <w:r>
        <w:rPr>
          <w:rFonts w:hint="eastAsia" w:asciiTheme="minorEastAsia" w:hAnsiTheme="minorEastAsia" w:eastAsiaTheme="minorEastAsia" w:cstheme="minorEastAsia"/>
          <w:color w:val="auto"/>
          <w:spacing w:val="7"/>
          <w:sz w:val="20"/>
          <w:szCs w:val="20"/>
        </w:rPr>
        <w:t xml:space="preserve">标人、招标人、监管人、公证人和交易中心 ；可以通过 </w:t>
      </w:r>
      <w:r>
        <w:rPr>
          <w:rFonts w:hint="eastAsia" w:asciiTheme="minorEastAsia" w:hAnsiTheme="minorEastAsia" w:eastAsiaTheme="minorEastAsia" w:cstheme="minorEastAsia"/>
          <w:color w:val="auto"/>
          <w:sz w:val="20"/>
          <w:szCs w:val="20"/>
        </w:rPr>
        <w:t>CA</w:t>
      </w:r>
      <w:r>
        <w:rPr>
          <w:rFonts w:hint="eastAsia" w:asciiTheme="minorEastAsia" w:hAnsiTheme="minorEastAsia" w:eastAsiaTheme="minorEastAsia" w:cstheme="minorEastAsia"/>
          <w:color w:val="auto"/>
          <w:spacing w:val="7"/>
          <w:sz w:val="20"/>
          <w:szCs w:val="20"/>
        </w:rPr>
        <w:t xml:space="preserve"> 登录和用户名登录。</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266944" cy="2308859"/>
                    </a:xfrm>
                    <a:prstGeom prst="rect">
                      <a:avLst/>
                    </a:prstGeom>
                  </pic:spPr>
                </pic:pic>
              </a:graphicData>
            </a:graphic>
          </wp:inline>
        </w:drawing>
      </w:r>
    </w:p>
    <w:p>
      <w:pPr>
        <w:spacing w:before="339" w:line="181" w:lineRule="auto"/>
        <w:ind w:left="478"/>
        <w:outlineLvl w:val="0"/>
        <w:rPr>
          <w:rFonts w:asciiTheme="minorEastAsia" w:hAnsiTheme="minorEastAsia" w:eastAsiaTheme="minorEastAsia" w:cstheme="minorEastAsia"/>
          <w:color w:val="auto"/>
          <w:sz w:val="31"/>
          <w:szCs w:val="31"/>
        </w:rPr>
      </w:pPr>
      <w:bookmarkStart w:id="246" w:name="_Toc9162"/>
      <w:bookmarkStart w:id="247" w:name="_Toc1704_WPSOffice_Level1"/>
      <w:bookmarkStart w:id="248" w:name="_Toc22599_WPSOffice_Level1"/>
      <w:bookmarkStart w:id="249" w:name="_Toc4517"/>
      <w:bookmarkStart w:id="250" w:name="_Toc30647_WPSOffice_Level1"/>
      <w:bookmarkStart w:id="251" w:name="_Toc28349_WPSOffice_Level1"/>
      <w:r>
        <w:rPr>
          <w:rFonts w:hint="eastAsia" w:asciiTheme="minorEastAsia" w:hAnsiTheme="minorEastAsia" w:eastAsiaTheme="minorEastAsia" w:cstheme="minorEastAsia"/>
          <w:color w:val="auto"/>
          <w:spacing w:val="-18"/>
          <w:sz w:val="31"/>
          <w:szCs w:val="31"/>
        </w:rPr>
        <w:t>二</w:t>
      </w:r>
      <w:r>
        <w:rPr>
          <w:rFonts w:hint="eastAsia" w:asciiTheme="minorEastAsia" w:hAnsiTheme="minorEastAsia" w:eastAsiaTheme="minorEastAsia" w:cstheme="minorEastAsia"/>
          <w:color w:val="auto"/>
          <w:spacing w:val="-13"/>
          <w:sz w:val="31"/>
          <w:szCs w:val="31"/>
        </w:rPr>
        <w:t>、电脑环境准备</w:t>
      </w:r>
      <w:bookmarkEnd w:id="246"/>
      <w:bookmarkEnd w:id="247"/>
      <w:bookmarkEnd w:id="248"/>
      <w:bookmarkEnd w:id="249"/>
      <w:bookmarkEnd w:id="250"/>
      <w:bookmarkEnd w:id="251"/>
    </w:p>
    <w:p>
      <w:pPr>
        <w:spacing w:line="268" w:lineRule="auto"/>
        <w:rPr>
          <w:rFonts w:asciiTheme="minorEastAsia" w:hAnsiTheme="minorEastAsia" w:eastAsiaTheme="minorEastAsia" w:cstheme="minorEastAsia"/>
          <w:color w:val="auto"/>
        </w:rPr>
      </w:pPr>
    </w:p>
    <w:p>
      <w:pPr>
        <w:spacing w:before="87" w:line="24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 xml:space="preserve">1 、   </w:t>
      </w:r>
      <w:r>
        <w:rPr>
          <w:rFonts w:hint="eastAsia" w:asciiTheme="minorEastAsia" w:hAnsiTheme="minorEastAsia" w:eastAsiaTheme="minorEastAsia" w:cstheme="minorEastAsia"/>
          <w:color w:val="auto"/>
          <w:sz w:val="20"/>
          <w:szCs w:val="20"/>
        </w:rPr>
        <w:t xml:space="preserve"> 为保证视频直播流畅度 ，请在电脑上安装 windows10 系统 ，并使用 IE11 浏览器。</w:t>
      </w:r>
    </w:p>
    <w:p>
      <w:pPr>
        <w:rPr>
          <w:rFonts w:asciiTheme="minorEastAsia" w:hAnsiTheme="minorEastAsia" w:eastAsiaTheme="minorEastAsia" w:cstheme="minorEastAsia"/>
          <w:color w:val="auto"/>
        </w:rPr>
        <w:sectPr>
          <w:headerReference r:id="rId8" w:type="default"/>
          <w:footerReference r:id="rId9" w:type="default"/>
          <w:pgSz w:w="11906" w:h="16839"/>
          <w:pgMar w:top="991" w:right="1701"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1"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2" w:lineRule="auto"/>
        <w:ind w:left="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电脑要求内</w:t>
      </w:r>
      <w:r>
        <w:rPr>
          <w:rFonts w:hint="eastAsia" w:asciiTheme="minorEastAsia" w:hAnsiTheme="minorEastAsia" w:eastAsiaTheme="minorEastAsia" w:cstheme="minorEastAsia"/>
          <w:color w:val="auto"/>
          <w:spacing w:val="6"/>
          <w:sz w:val="20"/>
          <w:szCs w:val="20"/>
        </w:rPr>
        <w:t>存</w:t>
      </w:r>
      <w:r>
        <w:rPr>
          <w:rFonts w:hint="eastAsia" w:asciiTheme="minorEastAsia" w:hAnsiTheme="minorEastAsia" w:eastAsiaTheme="minorEastAsia" w:cstheme="minorEastAsia"/>
          <w:color w:val="auto"/>
          <w:spacing w:val="4"/>
          <w:sz w:val="20"/>
          <w:szCs w:val="20"/>
        </w:rPr>
        <w:t xml:space="preserve"> 4</w:t>
      </w:r>
      <w:r>
        <w:rPr>
          <w:rFonts w:hint="eastAsia" w:asciiTheme="minorEastAsia" w:hAnsiTheme="minorEastAsia" w:eastAsiaTheme="minorEastAsia" w:cstheme="minorEastAsia"/>
          <w:color w:val="auto"/>
          <w:sz w:val="20"/>
          <w:szCs w:val="20"/>
        </w:rPr>
        <w:t>G</w:t>
      </w:r>
      <w:r>
        <w:rPr>
          <w:rFonts w:hint="eastAsia" w:asciiTheme="minorEastAsia" w:hAnsiTheme="minorEastAsia" w:eastAsiaTheme="minorEastAsia" w:cstheme="minorEastAsia"/>
          <w:color w:val="auto"/>
          <w:spacing w:val="4"/>
          <w:sz w:val="20"/>
          <w:szCs w:val="20"/>
        </w:rPr>
        <w:t xml:space="preserve"> 及以上 ，且需配套麦克风、音箱等 ，并确保其均能正常运转。</w:t>
      </w:r>
    </w:p>
    <w:p>
      <w:pPr>
        <w:spacing w:line="262" w:lineRule="auto"/>
        <w:rPr>
          <w:rFonts w:asciiTheme="minorEastAsia" w:hAnsiTheme="minorEastAsia" w:eastAsiaTheme="minorEastAsia" w:cstheme="minorEastAsia"/>
          <w:color w:val="auto"/>
        </w:rPr>
      </w:pPr>
    </w:p>
    <w:p>
      <w:pPr>
        <w:spacing w:before="85" w:line="421" w:lineRule="auto"/>
        <w:ind w:left="27" w:right="75" w:firstLine="41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2 、    网络使用有线连接 ，带宽 100</w:t>
      </w:r>
      <w:r>
        <w:rPr>
          <w:rFonts w:hint="eastAsia" w:asciiTheme="minorEastAsia" w:hAnsiTheme="minorEastAsia" w:eastAsiaTheme="minorEastAsia" w:cstheme="minorEastAsia"/>
          <w:color w:val="auto"/>
          <w:spacing w:val="-1"/>
          <w:sz w:val="20"/>
          <w:szCs w:val="20"/>
        </w:rPr>
        <w:t>M 以上 ，开标过程中确保网络稳定通畅 ，不建议使用</w:t>
      </w:r>
      <w:r>
        <w:rPr>
          <w:rFonts w:hint="eastAsia" w:asciiTheme="minorEastAsia" w:hAnsiTheme="minorEastAsia" w:eastAsiaTheme="minorEastAsia" w:cstheme="minorEastAsia"/>
          <w:color w:val="auto"/>
          <w:spacing w:val="12"/>
          <w:sz w:val="20"/>
          <w:szCs w:val="20"/>
        </w:rPr>
        <w:t>无</w:t>
      </w:r>
      <w:r>
        <w:rPr>
          <w:rFonts w:hint="eastAsia" w:asciiTheme="minorEastAsia" w:hAnsiTheme="minorEastAsia" w:eastAsiaTheme="minorEastAsia" w:cstheme="minorEastAsia"/>
          <w:color w:val="auto"/>
          <w:spacing w:val="7"/>
          <w:sz w:val="20"/>
          <w:szCs w:val="20"/>
        </w:rPr>
        <w:t>线网络或手机热点。</w:t>
      </w:r>
    </w:p>
    <w:p>
      <w:pPr>
        <w:spacing w:line="445" w:lineRule="auto"/>
        <w:ind w:left="23" w:firstLine="41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3 、    安装甘肃省</w:t>
      </w:r>
      <w:r>
        <w:rPr>
          <w:rFonts w:hint="eastAsia" w:asciiTheme="minorEastAsia" w:hAnsiTheme="minorEastAsia" w:eastAsiaTheme="minorEastAsia" w:cstheme="minorEastAsia"/>
          <w:color w:val="auto"/>
          <w:spacing w:val="2"/>
          <w:sz w:val="20"/>
          <w:szCs w:val="20"/>
        </w:rPr>
        <w:t>互联互通版驱动( 直接在甘肃中工官网下载即可 )  ，驱动下载及相关注</w:t>
      </w:r>
      <w:r>
        <w:rPr>
          <w:rFonts w:hint="eastAsia" w:asciiTheme="minorEastAsia" w:hAnsiTheme="minorEastAsia" w:eastAsiaTheme="minorEastAsia" w:cstheme="minorEastAsia"/>
          <w:color w:val="auto"/>
          <w:spacing w:val="10"/>
          <w:sz w:val="20"/>
          <w:szCs w:val="20"/>
        </w:rPr>
        <w:t>意事</w:t>
      </w:r>
      <w:r>
        <w:rPr>
          <w:rFonts w:hint="eastAsia" w:asciiTheme="minorEastAsia" w:hAnsiTheme="minorEastAsia" w:eastAsiaTheme="minorEastAsia" w:cstheme="minorEastAsia"/>
          <w:color w:val="auto"/>
          <w:spacing w:val="5"/>
          <w:sz w:val="20"/>
          <w:szCs w:val="20"/>
        </w:rPr>
        <w:t xml:space="preserve">项查看地址 ( 注意按照提示添加兼容性视图、  可信任站点和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5"/>
          <w:sz w:val="20"/>
          <w:szCs w:val="20"/>
        </w:rPr>
        <w:t xml:space="preserve"> 访问权限设置 )  ：</w:t>
      </w:r>
    </w:p>
    <w:p>
      <w:pPr>
        <w:spacing w:before="22"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兼容性视图 ：</w:t>
      </w:r>
    </w:p>
    <w:p>
      <w:pPr>
        <w:spacing w:before="321" w:line="436" w:lineRule="auto"/>
        <w:ind w:left="37" w:right="75" w:firstLine="40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打开</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2"/>
          <w:sz w:val="20"/>
          <w:szCs w:val="20"/>
        </w:rPr>
        <w:t xml:space="preserve"> 浏览器进入甘肃中工不见面开标系统 ，在浏览器“工具(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2"/>
          <w:sz w:val="20"/>
          <w:szCs w:val="20"/>
        </w:rPr>
        <w:t xml:space="preserve"> ) ”下点击“兼容性视</w:t>
      </w:r>
      <w:r>
        <w:rPr>
          <w:rFonts w:hint="eastAsia" w:asciiTheme="minorEastAsia" w:hAnsiTheme="minorEastAsia" w:eastAsiaTheme="minorEastAsia" w:cstheme="minorEastAsia"/>
          <w:color w:val="auto"/>
          <w:spacing w:val="-14"/>
          <w:sz w:val="20"/>
          <w:szCs w:val="20"/>
        </w:rPr>
        <w:t>图设置 (</w:t>
      </w:r>
      <w:r>
        <w:rPr>
          <w:rFonts w:hint="eastAsia" w:asciiTheme="minorEastAsia" w:hAnsiTheme="minorEastAsia" w:eastAsiaTheme="minorEastAsia" w:cstheme="minorEastAsia"/>
          <w:color w:val="auto"/>
          <w:spacing w:val="-7"/>
          <w:sz w:val="20"/>
          <w:szCs w:val="20"/>
        </w:rPr>
        <w:t xml:space="preserve"> B ) ”。在弹出的“兼容性视图设置”界面 ，点击“添加”按钮 ，将甘肃中工不见面开标</w:t>
      </w:r>
    </w:p>
    <w:p>
      <w:pPr>
        <w:spacing w:line="352" w:lineRule="exact"/>
        <w:ind w:left="27"/>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position w:val="4"/>
          <w:sz w:val="20"/>
          <w:szCs w:val="20"/>
        </w:rPr>
        <w:t xml:space="preserve">系统地址添加至“已添加到兼容性视图中的网站 ( </w:t>
      </w:r>
      <w:r>
        <w:rPr>
          <w:rFonts w:hint="eastAsia" w:asciiTheme="minorEastAsia" w:hAnsiTheme="minorEastAsia" w:eastAsiaTheme="minorEastAsia" w:cstheme="minorEastAsia"/>
          <w:color w:val="auto"/>
          <w:position w:val="4"/>
          <w:sz w:val="20"/>
          <w:szCs w:val="20"/>
        </w:rPr>
        <w:t>W ) ”区域内。</w:t>
      </w:r>
    </w:p>
    <w:p>
      <w:pPr>
        <w:spacing w:before="155" w:line="7361" w:lineRule="exact"/>
        <w:ind w:firstLine="1017"/>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98595" cy="4673600"/>
            <wp:effectExtent l="0" t="0" r="1905"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0"/>
                    <a:stretch>
                      <a:fillRect/>
                    </a:stretch>
                  </pic:blipFill>
                  <pic:spPr>
                    <a:xfrm>
                      <a:off x="0" y="0"/>
                      <a:ext cx="3998975" cy="4674108"/>
                    </a:xfrm>
                    <a:prstGeom prst="rect">
                      <a:avLst/>
                    </a:prstGeom>
                  </pic:spPr>
                </pic:pic>
              </a:graphicData>
            </a:graphic>
          </wp:inline>
        </w:drawing>
      </w:r>
    </w:p>
    <w:p>
      <w:pPr>
        <w:rPr>
          <w:rFonts w:asciiTheme="minorEastAsia" w:hAnsiTheme="minorEastAsia" w:eastAsiaTheme="minorEastAsia" w:cstheme="minorEastAsia"/>
          <w:color w:val="auto"/>
        </w:rPr>
        <w:sectPr>
          <w:headerReference r:id="rId10" w:type="default"/>
          <w:footerReference r:id="rId11" w:type="default"/>
          <w:pgSz w:w="11906" w:h="16839"/>
          <w:pgMar w:top="991" w:right="172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8820" w:lineRule="exact"/>
        <w:ind w:firstLine="88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181475" cy="5600700"/>
            <wp:effectExtent l="0" t="0" r="9525"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31"/>
                    <a:stretch>
                      <a:fillRect/>
                    </a:stretch>
                  </pic:blipFill>
                  <pic:spPr>
                    <a:xfrm>
                      <a:off x="0" y="0"/>
                      <a:ext cx="4181855" cy="5600700"/>
                    </a:xfrm>
                    <a:prstGeom prst="rect">
                      <a:avLst/>
                    </a:prstGeom>
                  </pic:spPr>
                </pic:pic>
              </a:graphicData>
            </a:graphic>
          </wp:inline>
        </w:drawing>
      </w:r>
    </w:p>
    <w:p>
      <w:pPr>
        <w:spacing w:line="245" w:lineRule="auto"/>
        <w:rPr>
          <w:rFonts w:asciiTheme="minorEastAsia" w:hAnsiTheme="minorEastAsia" w:eastAsiaTheme="minorEastAsia" w:cstheme="minorEastAsia"/>
          <w:color w:val="auto"/>
        </w:rPr>
      </w:pPr>
    </w:p>
    <w:p>
      <w:pPr>
        <w:spacing w:before="86" w:line="180" w:lineRule="auto"/>
        <w:ind w:left="45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可</w:t>
      </w:r>
      <w:r>
        <w:rPr>
          <w:rFonts w:hint="eastAsia" w:asciiTheme="minorEastAsia" w:hAnsiTheme="minorEastAsia" w:eastAsiaTheme="minorEastAsia" w:cstheme="minorEastAsia"/>
          <w:color w:val="auto"/>
          <w:spacing w:val="4"/>
          <w:sz w:val="20"/>
          <w:szCs w:val="20"/>
        </w:rPr>
        <w:t>信</w:t>
      </w:r>
      <w:r>
        <w:rPr>
          <w:rFonts w:hint="eastAsia" w:asciiTheme="minorEastAsia" w:hAnsiTheme="minorEastAsia" w:eastAsiaTheme="minorEastAsia" w:cstheme="minorEastAsia"/>
          <w:color w:val="auto"/>
          <w:spacing w:val="3"/>
          <w:sz w:val="20"/>
          <w:szCs w:val="20"/>
        </w:rPr>
        <w:t>任站点 ：</w:t>
      </w:r>
    </w:p>
    <w:p>
      <w:pPr>
        <w:spacing w:before="318" w:line="445" w:lineRule="auto"/>
        <w:ind w:left="19" w:right="96"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 xml:space="preserve">打开 </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3"/>
          <w:sz w:val="20"/>
          <w:szCs w:val="20"/>
        </w:rPr>
        <w:t xml:space="preserve"> 浏览器进入甘肃中工不见面开标系统 ，在浏览器“工具 (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3"/>
          <w:sz w:val="20"/>
          <w:szCs w:val="20"/>
        </w:rPr>
        <w:t xml:space="preserve"> ) ”下点击“</w:t>
      </w:r>
      <w:r>
        <w:rPr>
          <w:rFonts w:hint="eastAsia" w:asciiTheme="minorEastAsia" w:hAnsiTheme="minorEastAsia" w:eastAsiaTheme="minorEastAsia" w:cstheme="minorEastAsia"/>
          <w:color w:val="auto"/>
          <w:sz w:val="20"/>
          <w:szCs w:val="20"/>
        </w:rPr>
        <w:t xml:space="preserve">Internet </w:t>
      </w:r>
      <w:r>
        <w:rPr>
          <w:rFonts w:hint="eastAsia" w:asciiTheme="minorEastAsia" w:hAnsiTheme="minorEastAsia" w:eastAsiaTheme="minorEastAsia" w:cstheme="minorEastAsia"/>
          <w:color w:val="auto"/>
          <w:spacing w:val="-3"/>
          <w:sz w:val="20"/>
          <w:szCs w:val="20"/>
        </w:rPr>
        <w:t>选项 ( O ) ”。</w:t>
      </w:r>
    </w:p>
    <w:p>
      <w:pPr>
        <w:rPr>
          <w:rFonts w:asciiTheme="minorEastAsia" w:hAnsiTheme="minorEastAsia" w:eastAsiaTheme="minorEastAsia" w:cstheme="minorEastAsia"/>
          <w:color w:val="auto"/>
        </w:rPr>
        <w:sectPr>
          <w:headerReference r:id="rId12" w:type="default"/>
          <w:footerReference r:id="rId1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7236" w:lineRule="exact"/>
        <w:ind w:firstLine="106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42080" cy="4594860"/>
            <wp:effectExtent l="0" t="0" r="1270" b="1524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32"/>
                    <a:stretch>
                      <a:fillRect/>
                    </a:stretch>
                  </pic:blipFill>
                  <pic:spPr>
                    <a:xfrm>
                      <a:off x="0" y="0"/>
                      <a:ext cx="3942588" cy="4594860"/>
                    </a:xfrm>
                    <a:prstGeom prst="rect">
                      <a:avLst/>
                    </a:prstGeom>
                  </pic:spPr>
                </pic:pic>
              </a:graphicData>
            </a:graphic>
          </wp:inline>
        </w:drawing>
      </w:r>
    </w:p>
    <w:p>
      <w:pPr>
        <w:spacing w:before="302" w:line="445" w:lineRule="auto"/>
        <w:ind w:left="19"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在弹出的“</w:t>
      </w:r>
      <w:r>
        <w:rPr>
          <w:rFonts w:hint="eastAsia" w:asciiTheme="minorEastAsia" w:hAnsiTheme="minorEastAsia" w:eastAsiaTheme="minorEastAsia" w:cstheme="minorEastAsia"/>
          <w:color w:val="auto"/>
          <w:sz w:val="20"/>
          <w:szCs w:val="20"/>
        </w:rPr>
        <w:t>Internet</w:t>
      </w:r>
      <w:r>
        <w:rPr>
          <w:rFonts w:hint="eastAsia" w:asciiTheme="minorEastAsia" w:hAnsiTheme="minorEastAsia" w:eastAsiaTheme="minorEastAsia" w:cstheme="minorEastAsia"/>
          <w:color w:val="auto"/>
          <w:spacing w:val="4"/>
          <w:sz w:val="20"/>
          <w:szCs w:val="20"/>
        </w:rPr>
        <w:t xml:space="preserve"> 选项”弹框页面 ，进入“安全”页签 ，选择“受信任的站点” ，点击“站点</w:t>
      </w:r>
      <w:r>
        <w:rPr>
          <w:rFonts w:hint="eastAsia" w:asciiTheme="minorEastAsia" w:hAnsiTheme="minorEastAsia" w:eastAsiaTheme="minorEastAsia" w:cstheme="minorEastAsia"/>
          <w:color w:val="auto"/>
          <w:spacing w:val="1"/>
          <w:sz w:val="20"/>
          <w:szCs w:val="20"/>
        </w:rPr>
        <w:t>”</w:t>
      </w:r>
      <w:r>
        <w:rPr>
          <w:rFonts w:hint="eastAsia" w:asciiTheme="minorEastAsia" w:hAnsiTheme="minorEastAsia" w:eastAsiaTheme="minorEastAsia" w:cstheme="minorEastAsia"/>
          <w:color w:val="auto"/>
          <w:spacing w:val="10"/>
          <w:sz w:val="20"/>
          <w:szCs w:val="20"/>
        </w:rPr>
        <w:t>按</w:t>
      </w:r>
      <w:r>
        <w:rPr>
          <w:rFonts w:hint="eastAsia" w:asciiTheme="minorEastAsia" w:hAnsiTheme="minorEastAsia" w:eastAsiaTheme="minorEastAsia" w:cstheme="minorEastAsia"/>
          <w:color w:val="auto"/>
          <w:spacing w:val="5"/>
          <w:sz w:val="20"/>
          <w:szCs w:val="20"/>
        </w:rPr>
        <w:t>钮 ，在弹出的“受信任的站点”页面点击“添加”按钮 ，将甘肃中工不见面开标系统地址添加</w:t>
      </w:r>
      <w:r>
        <w:rPr>
          <w:rFonts w:hint="eastAsia" w:asciiTheme="minorEastAsia" w:hAnsiTheme="minorEastAsia" w:eastAsiaTheme="minorEastAsia" w:cstheme="minorEastAsia"/>
          <w:color w:val="auto"/>
          <w:spacing w:val="8"/>
          <w:sz w:val="20"/>
          <w:szCs w:val="20"/>
        </w:rPr>
        <w:t>进</w:t>
      </w:r>
      <w:r>
        <w:rPr>
          <w:rFonts w:hint="eastAsia" w:asciiTheme="minorEastAsia" w:hAnsiTheme="minorEastAsia" w:eastAsiaTheme="minorEastAsia" w:cstheme="minorEastAsia"/>
          <w:color w:val="auto"/>
          <w:spacing w:val="7"/>
          <w:sz w:val="20"/>
          <w:szCs w:val="20"/>
        </w:rPr>
        <w:t>可信任区。</w:t>
      </w:r>
    </w:p>
    <w:p>
      <w:pPr>
        <w:rPr>
          <w:rFonts w:asciiTheme="minorEastAsia" w:hAnsiTheme="minorEastAsia" w:eastAsiaTheme="minorEastAsia" w:cstheme="minorEastAsia"/>
          <w:color w:val="auto"/>
        </w:rPr>
        <w:sectPr>
          <w:headerReference r:id="rId14" w:type="default"/>
          <w:footerReference r:id="rId15" w:type="default"/>
          <w:pgSz w:w="11906" w:h="16839"/>
          <w:pgMar w:top="991" w:right="175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5" w:lineRule="auto"/>
        <w:rPr>
          <w:rFonts w:asciiTheme="minorEastAsia" w:hAnsiTheme="minorEastAsia" w:eastAsiaTheme="minorEastAsia" w:cstheme="minorEastAsia"/>
          <w:color w:val="auto"/>
        </w:rPr>
      </w:pPr>
    </w:p>
    <w:p>
      <w:pPr>
        <w:spacing w:line="9840" w:lineRule="exact"/>
        <w:ind w:firstLine="86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210685" cy="6248400"/>
            <wp:effectExtent l="0" t="0" r="18415"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33"/>
                    <a:stretch>
                      <a:fillRect/>
                    </a:stretch>
                  </pic:blipFill>
                  <pic:spPr>
                    <a:xfrm>
                      <a:off x="0" y="0"/>
                      <a:ext cx="4210811" cy="6248400"/>
                    </a:xfrm>
                    <a:prstGeom prst="rect">
                      <a:avLst/>
                    </a:prstGeom>
                  </pic:spPr>
                </pic:pic>
              </a:graphicData>
            </a:graphic>
          </wp:inline>
        </w:drawing>
      </w:r>
    </w:p>
    <w:p>
      <w:pPr>
        <w:spacing w:before="246" w:line="353" w:lineRule="exact"/>
        <w:ind w:left="43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position w:val="4"/>
          <w:sz w:val="20"/>
          <w:szCs w:val="20"/>
        </w:rPr>
        <w:t>ActiveX</w:t>
      </w:r>
      <w:r>
        <w:rPr>
          <w:rFonts w:hint="eastAsia" w:asciiTheme="minorEastAsia" w:hAnsiTheme="minorEastAsia" w:eastAsiaTheme="minorEastAsia" w:cstheme="minorEastAsia"/>
          <w:color w:val="auto"/>
          <w:spacing w:val="13"/>
          <w:position w:val="4"/>
          <w:sz w:val="20"/>
          <w:szCs w:val="20"/>
        </w:rPr>
        <w:t>访问权限设置</w:t>
      </w:r>
    </w:p>
    <w:p>
      <w:pPr>
        <w:spacing w:before="273" w:line="442" w:lineRule="auto"/>
        <w:ind w:left="21" w:right="15" w:firstLine="42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8"/>
          <w:sz w:val="20"/>
          <w:szCs w:val="20"/>
        </w:rPr>
        <w:t>在</w:t>
      </w:r>
      <w:r>
        <w:rPr>
          <w:rFonts w:hint="eastAsia" w:asciiTheme="minorEastAsia" w:hAnsiTheme="minorEastAsia" w:eastAsiaTheme="minorEastAsia" w:cstheme="minorEastAsia"/>
          <w:color w:val="auto"/>
          <w:spacing w:val="-17"/>
          <w:sz w:val="20"/>
          <w:szCs w:val="20"/>
        </w:rPr>
        <w:t>弹</w:t>
      </w:r>
      <w:r>
        <w:rPr>
          <w:rFonts w:hint="eastAsia" w:asciiTheme="minorEastAsia" w:hAnsiTheme="minorEastAsia" w:eastAsiaTheme="minorEastAsia" w:cstheme="minorEastAsia"/>
          <w:color w:val="auto"/>
          <w:spacing w:val="-14"/>
          <w:sz w:val="20"/>
          <w:szCs w:val="20"/>
        </w:rPr>
        <w:t>出的“Internet 选项”弹框页面 ，进入“安全”页签 ，选择“受信任的站点”，点击“自定义</w:t>
      </w:r>
      <w:r>
        <w:rPr>
          <w:rFonts w:hint="eastAsia" w:asciiTheme="minorEastAsia" w:hAnsiTheme="minorEastAsia" w:eastAsiaTheme="minorEastAsia" w:cstheme="minorEastAsia"/>
          <w:color w:val="auto"/>
          <w:spacing w:val="-8"/>
          <w:sz w:val="20"/>
          <w:szCs w:val="20"/>
        </w:rPr>
        <w:t xml:space="preserve">级别 ( </w:t>
      </w:r>
      <w:r>
        <w:rPr>
          <w:rFonts w:hint="eastAsia" w:asciiTheme="minorEastAsia" w:hAnsiTheme="minorEastAsia" w:eastAsiaTheme="minorEastAsia" w:cstheme="minorEastAsia"/>
          <w:color w:val="auto"/>
          <w:spacing w:val="-4"/>
          <w:sz w:val="20"/>
          <w:szCs w:val="20"/>
        </w:rPr>
        <w:t>C</w:t>
      </w:r>
      <w:r>
        <w:rPr>
          <w:rFonts w:hint="eastAsia" w:asciiTheme="minorEastAsia" w:hAnsiTheme="minorEastAsia" w:eastAsiaTheme="minorEastAsia" w:cstheme="minorEastAsia"/>
          <w:color w:val="auto"/>
          <w:spacing w:val="-8"/>
          <w:sz w:val="20"/>
          <w:szCs w:val="20"/>
        </w:rPr>
        <w:t xml:space="preserve"> ) ..</w:t>
      </w:r>
      <w:r>
        <w:rPr>
          <w:rFonts w:hint="eastAsia" w:asciiTheme="minorEastAsia" w:hAnsiTheme="minorEastAsia" w:eastAsiaTheme="minorEastAsia" w:cstheme="minorEastAsia"/>
          <w:color w:val="auto"/>
          <w:spacing w:val="-4"/>
          <w:sz w:val="20"/>
          <w:szCs w:val="20"/>
        </w:rPr>
        <w:t>.”按钮 ，在弹出的“安全设置-受信任的站点区域”页面 ，将“ActiveX 控件和插件”</w:t>
      </w:r>
      <w:r>
        <w:rPr>
          <w:rFonts w:hint="eastAsia" w:asciiTheme="minorEastAsia" w:hAnsiTheme="minorEastAsia" w:eastAsiaTheme="minorEastAsia" w:cstheme="minorEastAsia"/>
          <w:color w:val="auto"/>
          <w:spacing w:val="13"/>
          <w:sz w:val="20"/>
          <w:szCs w:val="20"/>
        </w:rPr>
        <w:t>项</w:t>
      </w:r>
      <w:r>
        <w:rPr>
          <w:rFonts w:hint="eastAsia" w:asciiTheme="minorEastAsia" w:hAnsiTheme="minorEastAsia" w:eastAsiaTheme="minorEastAsia" w:cstheme="minorEastAsia"/>
          <w:color w:val="auto"/>
          <w:spacing w:val="9"/>
          <w:sz w:val="20"/>
          <w:szCs w:val="20"/>
        </w:rPr>
        <w:t xml:space="preserve">下的所有含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9"/>
          <w:sz w:val="20"/>
          <w:szCs w:val="20"/>
        </w:rPr>
        <w:t xml:space="preserve"> 的子项启用。</w:t>
      </w:r>
    </w:p>
    <w:p>
      <w:pPr>
        <w:rPr>
          <w:rFonts w:asciiTheme="minorEastAsia" w:hAnsiTheme="minorEastAsia" w:eastAsiaTheme="minorEastAsia" w:cstheme="minorEastAsia"/>
          <w:color w:val="auto"/>
        </w:rPr>
        <w:sectPr>
          <w:headerReference r:id="rId16" w:type="default"/>
          <w:footerReference r:id="rId1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1" w:lineRule="auto"/>
        <w:rPr>
          <w:rFonts w:asciiTheme="minorEastAsia" w:hAnsiTheme="minorEastAsia" w:eastAsiaTheme="minorEastAsia" w:cstheme="minorEastAsia"/>
          <w:color w:val="auto"/>
        </w:rPr>
      </w:pPr>
    </w:p>
    <w:p>
      <w:pPr>
        <w:spacing w:line="4845"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5420" cy="3076575"/>
            <wp:effectExtent l="0" t="0" r="11430" b="9525"/>
            <wp:docPr id="12" name="IM 7"/>
            <wp:cNvGraphicFramePr/>
            <a:graphic xmlns:a="http://schemas.openxmlformats.org/drawingml/2006/main">
              <a:graphicData uri="http://schemas.openxmlformats.org/drawingml/2006/picture">
                <pic:pic xmlns:pic="http://schemas.openxmlformats.org/drawingml/2006/picture">
                  <pic:nvPicPr>
                    <pic:cNvPr id="12" name="IM 7"/>
                    <pic:cNvPicPr/>
                  </pic:nvPicPr>
                  <pic:blipFill>
                    <a:blip r:embed="rId34"/>
                    <a:stretch>
                      <a:fillRect/>
                    </a:stretch>
                  </pic:blipFill>
                  <pic:spPr>
                    <a:xfrm>
                      <a:off x="0" y="0"/>
                      <a:ext cx="5265420" cy="3076956"/>
                    </a:xfrm>
                    <a:prstGeom prst="rect">
                      <a:avLst/>
                    </a:prstGeom>
                  </pic:spPr>
                </pic:pic>
              </a:graphicData>
            </a:graphic>
          </wp:inline>
        </w:drawing>
      </w:r>
    </w:p>
    <w:p>
      <w:pPr>
        <w:spacing w:before="368" w:line="190" w:lineRule="auto"/>
        <w:ind w:left="477"/>
        <w:outlineLvl w:val="0"/>
        <w:rPr>
          <w:rFonts w:asciiTheme="minorEastAsia" w:hAnsiTheme="minorEastAsia" w:eastAsiaTheme="minorEastAsia" w:cstheme="minorEastAsia"/>
          <w:color w:val="auto"/>
          <w:sz w:val="31"/>
          <w:szCs w:val="31"/>
        </w:rPr>
      </w:pPr>
      <w:bookmarkStart w:id="252" w:name="_Toc2425"/>
      <w:bookmarkStart w:id="253" w:name="_Toc12647_WPSOffice_Level1"/>
      <w:bookmarkStart w:id="254" w:name="_Toc14926"/>
      <w:bookmarkStart w:id="255" w:name="_Toc10263_WPSOffice_Level1"/>
      <w:bookmarkStart w:id="256" w:name="_Toc3481_WPSOffice_Level1"/>
      <w:bookmarkStart w:id="257" w:name="_Toc9792_WPSOffice_Level1"/>
      <w:r>
        <w:rPr>
          <w:rFonts w:hint="eastAsia" w:asciiTheme="minorEastAsia" w:hAnsiTheme="minorEastAsia" w:eastAsiaTheme="minorEastAsia" w:cstheme="minorEastAsia"/>
          <w:color w:val="auto"/>
          <w:spacing w:val="8"/>
          <w:sz w:val="31"/>
          <w:szCs w:val="31"/>
        </w:rPr>
        <w:t>三</w:t>
      </w:r>
      <w:r>
        <w:rPr>
          <w:rFonts w:hint="eastAsia" w:asciiTheme="minorEastAsia" w:hAnsiTheme="minorEastAsia" w:eastAsiaTheme="minorEastAsia" w:cstheme="minorEastAsia"/>
          <w:color w:val="auto"/>
          <w:spacing w:val="4"/>
          <w:sz w:val="31"/>
          <w:szCs w:val="31"/>
        </w:rPr>
        <w:t>、招标代理</w:t>
      </w:r>
      <w:bookmarkEnd w:id="252"/>
      <w:bookmarkEnd w:id="253"/>
      <w:bookmarkEnd w:id="254"/>
      <w:bookmarkEnd w:id="255"/>
      <w:bookmarkEnd w:id="256"/>
      <w:bookmarkEnd w:id="257"/>
    </w:p>
    <w:p>
      <w:pPr>
        <w:spacing w:line="285" w:lineRule="auto"/>
        <w:rPr>
          <w:rFonts w:asciiTheme="minorEastAsia" w:hAnsiTheme="minorEastAsia" w:eastAsiaTheme="minorEastAsia" w:cstheme="minorEastAsia"/>
          <w:color w:val="auto"/>
        </w:rPr>
      </w:pPr>
    </w:p>
    <w:p>
      <w:pPr>
        <w:spacing w:before="85" w:line="420" w:lineRule="auto"/>
        <w:ind w:left="21" w:right="15" w:firstLine="42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招标代理使用账号密码</w:t>
      </w:r>
      <w:r>
        <w:rPr>
          <w:rFonts w:hint="eastAsia" w:asciiTheme="minorEastAsia" w:hAnsiTheme="minorEastAsia" w:eastAsiaTheme="minorEastAsia" w:cstheme="minorEastAsia"/>
          <w:color w:val="auto"/>
          <w:spacing w:val="4"/>
          <w:sz w:val="20"/>
          <w:szCs w:val="20"/>
        </w:rPr>
        <w:t>登</w:t>
      </w:r>
      <w:r>
        <w:rPr>
          <w:rFonts w:hint="eastAsia" w:asciiTheme="minorEastAsia" w:hAnsiTheme="minorEastAsia" w:eastAsiaTheme="minorEastAsia" w:cstheme="minorEastAsia"/>
          <w:color w:val="auto"/>
          <w:spacing w:val="3"/>
          <w:sz w:val="20"/>
          <w:szCs w:val="20"/>
        </w:rPr>
        <w:t>录 ，登录到系统后 ，主要显示登录信息、今日开标项目和历史</w:t>
      </w:r>
      <w:r>
        <w:rPr>
          <w:rFonts w:hint="eastAsia" w:asciiTheme="minorEastAsia" w:hAnsiTheme="minorEastAsia" w:eastAsiaTheme="minorEastAsia" w:cstheme="minorEastAsia"/>
          <w:color w:val="auto"/>
          <w:spacing w:val="12"/>
          <w:sz w:val="20"/>
          <w:szCs w:val="20"/>
        </w:rPr>
        <w:t>开</w:t>
      </w:r>
      <w:r>
        <w:rPr>
          <w:rFonts w:hint="eastAsia" w:asciiTheme="minorEastAsia" w:hAnsiTheme="minorEastAsia" w:eastAsiaTheme="minorEastAsia" w:cstheme="minorEastAsia"/>
          <w:color w:val="auto"/>
          <w:spacing w:val="7"/>
          <w:sz w:val="20"/>
          <w:szCs w:val="20"/>
        </w:rPr>
        <w:t>标项目等内容。</w:t>
      </w:r>
    </w:p>
    <w:p>
      <w:pPr>
        <w:spacing w:line="352" w:lineRule="exact"/>
        <w:ind w:left="44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position w:val="4"/>
          <w:sz w:val="20"/>
          <w:szCs w:val="20"/>
        </w:rPr>
        <w:t>登</w:t>
      </w:r>
      <w:r>
        <w:rPr>
          <w:rFonts w:hint="eastAsia" w:asciiTheme="minorEastAsia" w:hAnsiTheme="minorEastAsia" w:eastAsiaTheme="minorEastAsia" w:cstheme="minorEastAsia"/>
          <w:color w:val="auto"/>
          <w:spacing w:val="4"/>
          <w:position w:val="4"/>
          <w:sz w:val="20"/>
          <w:szCs w:val="20"/>
        </w:rPr>
        <w:t>录信息 ：  ( 右上角 ) 显示当前用户信息 ；可以点击退出按钮退出登录状态。</w:t>
      </w:r>
    </w:p>
    <w:p>
      <w:pPr>
        <w:spacing w:before="278" w:line="664" w:lineRule="exact"/>
        <w:ind w:left="44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position w:val="32"/>
          <w:sz w:val="20"/>
          <w:szCs w:val="20"/>
        </w:rPr>
        <w:t>今</w:t>
      </w:r>
      <w:r>
        <w:rPr>
          <w:rFonts w:hint="eastAsia" w:asciiTheme="minorEastAsia" w:hAnsiTheme="minorEastAsia" w:eastAsiaTheme="minorEastAsia" w:cstheme="minorEastAsia"/>
          <w:color w:val="auto"/>
          <w:spacing w:val="6"/>
          <w:position w:val="32"/>
          <w:sz w:val="20"/>
          <w:szCs w:val="20"/>
        </w:rPr>
        <w:t>日开标项目/历史开标项目 ：显示所有需要开标和开标结束的项目内容 ；可根据关键</w:t>
      </w:r>
    </w:p>
    <w:p>
      <w:pPr>
        <w:spacing w:line="182" w:lineRule="auto"/>
        <w:ind w:left="3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字在搜索区进行搜索</w:t>
      </w:r>
      <w:r>
        <w:rPr>
          <w:rFonts w:hint="eastAsia" w:asciiTheme="minorEastAsia" w:hAnsiTheme="minorEastAsia" w:eastAsiaTheme="minorEastAsia" w:cstheme="minorEastAsia"/>
          <w:color w:val="auto"/>
          <w:spacing w:val="6"/>
          <w:sz w:val="20"/>
          <w:szCs w:val="20"/>
        </w:rPr>
        <w:t>。</w:t>
      </w:r>
    </w:p>
    <w:p>
      <w:pPr>
        <w:spacing w:before="199"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35"/>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18"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2" w:lineRule="auto"/>
        <w:rPr>
          <w:rFonts w:asciiTheme="minorEastAsia" w:hAnsiTheme="minorEastAsia" w:eastAsiaTheme="minorEastAsia" w:cstheme="minorEastAsia"/>
          <w:color w:val="auto"/>
        </w:rPr>
      </w:pPr>
    </w:p>
    <w:p>
      <w:pPr>
        <w:spacing w:before="124" w:line="756" w:lineRule="exact"/>
        <w:ind w:left="1019"/>
        <w:rPr>
          <w:rFonts w:asciiTheme="minorEastAsia" w:hAnsiTheme="minorEastAsia" w:eastAsiaTheme="minorEastAsia" w:cstheme="minorEastAsia"/>
          <w:color w:val="auto"/>
          <w:sz w:val="29"/>
          <w:szCs w:val="29"/>
        </w:rPr>
      </w:pPr>
      <w:r>
        <w:rPr>
          <w:rFonts w:hint="eastAsia" w:asciiTheme="minorEastAsia" w:hAnsiTheme="minorEastAsia" w:eastAsiaTheme="minorEastAsia" w:cstheme="minorEastAsia"/>
          <w:b/>
          <w:bCs/>
          <w:color w:val="auto"/>
          <w:spacing w:val="8"/>
          <w:position w:val="38"/>
          <w:sz w:val="29"/>
          <w:szCs w:val="29"/>
        </w:rPr>
        <w:t>3</w:t>
      </w:r>
      <w:r>
        <w:rPr>
          <w:rFonts w:hint="eastAsia" w:asciiTheme="minorEastAsia" w:hAnsiTheme="minorEastAsia" w:eastAsiaTheme="minorEastAsia" w:cstheme="minorEastAsia"/>
          <w:b/>
          <w:bCs/>
          <w:color w:val="auto"/>
          <w:spacing w:val="7"/>
          <w:position w:val="38"/>
          <w:sz w:val="29"/>
          <w:szCs w:val="29"/>
        </w:rPr>
        <w:t>.1</w:t>
      </w:r>
      <w:r>
        <w:rPr>
          <w:rFonts w:hint="eastAsia" w:asciiTheme="minorEastAsia" w:hAnsiTheme="minorEastAsia" w:eastAsiaTheme="minorEastAsia" w:cstheme="minorEastAsia"/>
          <w:color w:val="auto"/>
          <w:spacing w:val="7"/>
          <w:position w:val="38"/>
          <w:sz w:val="29"/>
          <w:szCs w:val="29"/>
        </w:rPr>
        <w:t>、操作流程</w:t>
      </w:r>
    </w:p>
    <w:p>
      <w:pPr>
        <w:spacing w:line="178" w:lineRule="auto"/>
        <w:ind w:left="18"/>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color w:val="auto"/>
          <w:sz w:val="28"/>
          <w:szCs w:val="28"/>
        </w:rPr>
        <w:t>、准备阶段</w:t>
      </w:r>
    </w:p>
    <w:p>
      <w:pPr>
        <w:spacing w:line="334" w:lineRule="auto"/>
        <w:rPr>
          <w:rFonts w:asciiTheme="minorEastAsia" w:hAnsiTheme="minorEastAsia" w:eastAsiaTheme="minorEastAsia" w:cstheme="minorEastAsia"/>
          <w:color w:val="auto"/>
        </w:rPr>
      </w:pPr>
    </w:p>
    <w:p>
      <w:pPr>
        <w:spacing w:before="85" w:line="623"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position w:val="33"/>
          <w:sz w:val="20"/>
          <w:szCs w:val="20"/>
        </w:rPr>
        <w:t>点击今日开标项目 ，找到正在开标项目 ，点击进入到网上开标大厅</w:t>
      </w:r>
      <w:r>
        <w:rPr>
          <w:rFonts w:hint="eastAsia" w:asciiTheme="minorEastAsia" w:hAnsiTheme="minorEastAsia" w:eastAsiaTheme="minorEastAsia" w:cstheme="minorEastAsia"/>
          <w:color w:val="auto"/>
          <w:spacing w:val="4"/>
          <w:position w:val="33"/>
          <w:sz w:val="20"/>
          <w:szCs w:val="20"/>
        </w:rPr>
        <w:t>。</w:t>
      </w:r>
    </w:p>
    <w:p>
      <w:pPr>
        <w:spacing w:before="1"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6"/>
          <w:sz w:val="20"/>
          <w:szCs w:val="20"/>
        </w:rPr>
        <w:t>根</w:t>
      </w:r>
      <w:r>
        <w:rPr>
          <w:rFonts w:hint="eastAsia" w:asciiTheme="minorEastAsia" w:hAnsiTheme="minorEastAsia" w:eastAsiaTheme="minorEastAsia" w:cstheme="minorEastAsia"/>
          <w:color w:val="auto"/>
          <w:spacing w:val="15"/>
          <w:sz w:val="20"/>
          <w:szCs w:val="20"/>
        </w:rPr>
        <w:t>据</w:t>
      </w:r>
      <w:r>
        <w:rPr>
          <w:rFonts w:hint="eastAsia" w:asciiTheme="minorEastAsia" w:hAnsiTheme="minorEastAsia" w:eastAsiaTheme="minorEastAsia" w:cstheme="minorEastAsia"/>
          <w:color w:val="auto"/>
          <w:spacing w:val="8"/>
          <w:sz w:val="20"/>
          <w:szCs w:val="20"/>
        </w:rPr>
        <w:t>投标人签到情况显示投标人是否在席。</w:t>
      </w:r>
    </w:p>
    <w:p>
      <w:pPr>
        <w:spacing w:before="201"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14" name="IM 9"/>
            <wp:cNvGraphicFramePr/>
            <a:graphic xmlns:a="http://schemas.openxmlformats.org/drawingml/2006/main">
              <a:graphicData uri="http://schemas.openxmlformats.org/drawingml/2006/picture">
                <pic:pic xmlns:pic="http://schemas.openxmlformats.org/drawingml/2006/picture">
                  <pic:nvPicPr>
                    <pic:cNvPr id="14" name="IM 9"/>
                    <pic:cNvPicPr/>
                  </pic:nvPicPr>
                  <pic:blipFill>
                    <a:blip r:embed="rId36"/>
                    <a:stretch>
                      <a:fillRect/>
                    </a:stretch>
                  </pic:blipFill>
                  <pic:spPr>
                    <a:xfrm>
                      <a:off x="0" y="0"/>
                      <a:ext cx="5266944" cy="2308860"/>
                    </a:xfrm>
                    <a:prstGeom prst="rect">
                      <a:avLst/>
                    </a:prstGeom>
                  </pic:spPr>
                </pic:pic>
              </a:graphicData>
            </a:graphic>
          </wp:inline>
        </w:drawing>
      </w:r>
    </w:p>
    <w:p>
      <w:pPr>
        <w:spacing w:before="108"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5" name="IM 10"/>
            <wp:cNvGraphicFramePr/>
            <a:graphic xmlns:a="http://schemas.openxmlformats.org/drawingml/2006/main">
              <a:graphicData uri="http://schemas.openxmlformats.org/drawingml/2006/picture">
                <pic:pic xmlns:pic="http://schemas.openxmlformats.org/drawingml/2006/picture">
                  <pic:nvPicPr>
                    <pic:cNvPr id="15" name="IM 10"/>
                    <pic:cNvPicPr/>
                  </pic:nvPicPr>
                  <pic:blipFill>
                    <a:blip r:embed="rId37"/>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58" w:name="_Toc17993"/>
      <w:bookmarkStart w:id="259" w:name="_Toc2962"/>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.2</w:t>
      </w:r>
      <w:r>
        <w:rPr>
          <w:rFonts w:hint="eastAsia" w:asciiTheme="minorEastAsia" w:hAnsiTheme="minorEastAsia" w:eastAsiaTheme="minorEastAsia" w:cstheme="minorEastAsia"/>
          <w:color w:val="auto"/>
          <w:sz w:val="28"/>
          <w:szCs w:val="28"/>
        </w:rPr>
        <w:t>、公布投标人</w:t>
      </w:r>
      <w:bookmarkEnd w:id="258"/>
      <w:bookmarkEnd w:id="259"/>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所有投标单位在</w:t>
      </w:r>
      <w:r>
        <w:rPr>
          <w:rFonts w:hint="eastAsia" w:asciiTheme="minorEastAsia" w:hAnsiTheme="minorEastAsia" w:eastAsiaTheme="minorEastAsia" w:cstheme="minorEastAsia"/>
          <w:color w:val="auto"/>
          <w:spacing w:val="-1"/>
          <w:sz w:val="20"/>
          <w:szCs w:val="20"/>
        </w:rPr>
        <w:t>席后 ，招标代理点击公布投标人 ，显示所有投标人内容 ，页面显示如下 ：</w:t>
      </w:r>
    </w:p>
    <w:p>
      <w:pPr>
        <w:rPr>
          <w:rFonts w:asciiTheme="minorEastAsia" w:hAnsiTheme="minorEastAsia" w:eastAsiaTheme="minorEastAsia" w:cstheme="minorEastAsia"/>
          <w:color w:val="auto"/>
        </w:rPr>
        <w:sectPr>
          <w:headerReference r:id="rId19" w:type="default"/>
          <w:footerReference r:id="rId20" w:type="default"/>
          <w:pgSz w:w="11906" w:h="16839"/>
          <w:pgMar w:top="991" w:right="1690"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6" name="IM 11"/>
            <wp:cNvGraphicFramePr/>
            <a:graphic xmlns:a="http://schemas.openxmlformats.org/drawingml/2006/main">
              <a:graphicData uri="http://schemas.openxmlformats.org/drawingml/2006/picture">
                <pic:pic xmlns:pic="http://schemas.openxmlformats.org/drawingml/2006/picture">
                  <pic:nvPicPr>
                    <pic:cNvPr id="16" name="IM 11"/>
                    <pic:cNvPicPr/>
                  </pic:nvPicPr>
                  <pic:blipFill>
                    <a:blip r:embed="rId38"/>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60" w:name="_Toc14345"/>
      <w:bookmarkStart w:id="261" w:name="_Toc2742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color w:val="auto"/>
          <w:sz w:val="28"/>
          <w:szCs w:val="28"/>
        </w:rPr>
        <w:t>、查看投标人</w:t>
      </w:r>
      <w:bookmarkEnd w:id="260"/>
      <w:bookmarkEnd w:id="261"/>
    </w:p>
    <w:p>
      <w:pPr>
        <w:spacing w:line="333" w:lineRule="auto"/>
        <w:rPr>
          <w:rFonts w:asciiTheme="minorEastAsia" w:hAnsiTheme="minorEastAsia" w:eastAsiaTheme="minorEastAsia" w:cstheme="minorEastAsia"/>
          <w:color w:val="auto"/>
        </w:rPr>
      </w:pPr>
    </w:p>
    <w:p>
      <w:pPr>
        <w:spacing w:before="86" w:line="190" w:lineRule="auto"/>
        <w:ind w:left="44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该</w:t>
      </w:r>
      <w:r>
        <w:rPr>
          <w:rFonts w:hint="eastAsia" w:asciiTheme="minorEastAsia" w:hAnsiTheme="minorEastAsia" w:eastAsiaTheme="minorEastAsia" w:cstheme="minorEastAsia"/>
          <w:color w:val="auto"/>
          <w:spacing w:val="7"/>
          <w:sz w:val="20"/>
          <w:szCs w:val="20"/>
        </w:rPr>
        <w:t>模块可查看投标人情况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7" name="IM 12"/>
            <wp:cNvGraphicFramePr/>
            <a:graphic xmlns:a="http://schemas.openxmlformats.org/drawingml/2006/main">
              <a:graphicData uri="http://schemas.openxmlformats.org/drawingml/2006/picture">
                <pic:pic xmlns:pic="http://schemas.openxmlformats.org/drawingml/2006/picture">
                  <pic:nvPicPr>
                    <pic:cNvPr id="17" name="IM 12"/>
                    <pic:cNvPicPr/>
                  </pic:nvPicPr>
                  <pic:blipFill>
                    <a:blip r:embed="rId39"/>
                    <a:stretch>
                      <a:fillRect/>
                    </a:stretch>
                  </pic:blipFill>
                  <pic:spPr>
                    <a:xfrm>
                      <a:off x="0" y="0"/>
                      <a:ext cx="5266944" cy="2308859"/>
                    </a:xfrm>
                    <a:prstGeom prst="rect">
                      <a:avLst/>
                    </a:prstGeom>
                  </pic:spPr>
                </pic:pic>
              </a:graphicData>
            </a:graphic>
          </wp:inline>
        </w:drawing>
      </w:r>
    </w:p>
    <w:p>
      <w:pPr>
        <w:spacing w:before="361" w:line="178" w:lineRule="auto"/>
        <w:ind w:left="18"/>
        <w:outlineLvl w:val="1"/>
        <w:rPr>
          <w:rFonts w:asciiTheme="minorEastAsia" w:hAnsiTheme="minorEastAsia" w:eastAsiaTheme="minorEastAsia" w:cstheme="minorEastAsia"/>
          <w:color w:val="auto"/>
          <w:sz w:val="28"/>
          <w:szCs w:val="28"/>
        </w:rPr>
      </w:pPr>
      <w:bookmarkStart w:id="262" w:name="_Toc30162"/>
      <w:bookmarkStart w:id="263" w:name="_Toc21026"/>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.4</w:t>
      </w:r>
      <w:r>
        <w:rPr>
          <w:rFonts w:hint="eastAsia" w:asciiTheme="minorEastAsia" w:hAnsiTheme="minorEastAsia" w:eastAsiaTheme="minorEastAsia" w:cstheme="minorEastAsia"/>
          <w:color w:val="auto"/>
          <w:sz w:val="28"/>
          <w:szCs w:val="28"/>
        </w:rPr>
        <w:t>、投标人解密</w:t>
      </w:r>
      <w:bookmarkEnd w:id="262"/>
      <w:bookmarkEnd w:id="263"/>
    </w:p>
    <w:p>
      <w:pPr>
        <w:spacing w:line="332" w:lineRule="auto"/>
        <w:rPr>
          <w:rFonts w:asciiTheme="minorEastAsia" w:hAnsiTheme="minorEastAsia" w:eastAsiaTheme="minorEastAsia" w:cstheme="minorEastAsia"/>
          <w:color w:val="auto"/>
        </w:rPr>
      </w:pPr>
    </w:p>
    <w:p>
      <w:pPr>
        <w:spacing w:before="85" w:line="191"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代理点击下一阶段后 </w:t>
      </w:r>
      <w:r>
        <w:rPr>
          <w:rFonts w:hint="eastAsia" w:asciiTheme="minorEastAsia" w:hAnsiTheme="minorEastAsia" w:eastAsiaTheme="minorEastAsia" w:cstheme="minorEastAsia"/>
          <w:color w:val="auto"/>
          <w:spacing w:val="1"/>
          <w:sz w:val="20"/>
          <w:szCs w:val="20"/>
        </w:rPr>
        <w:t>，投标人进行文件解密。  如下图 ：</w:t>
      </w:r>
    </w:p>
    <w:p>
      <w:pPr>
        <w:rPr>
          <w:rFonts w:asciiTheme="minorEastAsia" w:hAnsiTheme="minorEastAsia" w:eastAsiaTheme="minorEastAsia" w:cstheme="minorEastAsia"/>
          <w:color w:val="auto"/>
        </w:rPr>
        <w:sectPr>
          <w:headerReference r:id="rId21" w:type="default"/>
          <w:footerReference r:id="rId22"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8" name="IM 13"/>
            <wp:cNvGraphicFramePr/>
            <a:graphic xmlns:a="http://schemas.openxmlformats.org/drawingml/2006/main">
              <a:graphicData uri="http://schemas.openxmlformats.org/drawingml/2006/picture">
                <pic:pic xmlns:pic="http://schemas.openxmlformats.org/drawingml/2006/picture">
                  <pic:nvPicPr>
                    <pic:cNvPr id="18" name="IM 13"/>
                    <pic:cNvPicPr/>
                  </pic:nvPicPr>
                  <pic:blipFill>
                    <a:blip r:embed="rId40"/>
                    <a:stretch>
                      <a:fillRect/>
                    </a:stretch>
                  </pic:blipFill>
                  <pic:spPr>
                    <a:xfrm>
                      <a:off x="0" y="0"/>
                      <a:ext cx="5266944" cy="2308859"/>
                    </a:xfrm>
                    <a:prstGeom prst="rect">
                      <a:avLst/>
                    </a:prstGeom>
                  </pic:spPr>
                </pic:pic>
              </a:graphicData>
            </a:graphic>
          </wp:inline>
        </w:drawing>
      </w:r>
    </w:p>
    <w:p>
      <w:pPr>
        <w:spacing w:before="226" w:line="445" w:lineRule="auto"/>
        <w:ind w:left="19" w:right="15"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解</w:t>
      </w:r>
      <w:r>
        <w:rPr>
          <w:rFonts w:hint="eastAsia" w:asciiTheme="minorEastAsia" w:hAnsiTheme="minorEastAsia" w:eastAsiaTheme="minorEastAsia" w:cstheme="minorEastAsia"/>
          <w:color w:val="auto"/>
          <w:spacing w:val="4"/>
          <w:sz w:val="20"/>
          <w:szCs w:val="20"/>
        </w:rPr>
        <w:t>密阶段 ，若解密时长到了 ，可以进行解密延时( 一般不启用 ，只要在特殊情况时需要</w:t>
      </w:r>
      <w:r>
        <w:rPr>
          <w:rFonts w:hint="eastAsia" w:asciiTheme="minorEastAsia" w:hAnsiTheme="minorEastAsia" w:eastAsiaTheme="minorEastAsia" w:cstheme="minorEastAsia"/>
          <w:color w:val="auto"/>
          <w:spacing w:val="8"/>
          <w:sz w:val="20"/>
          <w:szCs w:val="20"/>
        </w:rPr>
        <w:t xml:space="preserve">进行延时 ) </w:t>
      </w:r>
      <w:r>
        <w:rPr>
          <w:rFonts w:hint="eastAsia" w:asciiTheme="minorEastAsia" w:hAnsiTheme="minorEastAsia" w:eastAsiaTheme="minorEastAsia" w:cstheme="minorEastAsia"/>
          <w:color w:val="auto"/>
          <w:spacing w:val="7"/>
          <w:sz w:val="20"/>
          <w:szCs w:val="20"/>
        </w:rPr>
        <w:t>。</w:t>
      </w:r>
    </w:p>
    <w:p>
      <w:pPr>
        <w:spacing w:before="113" w:line="176" w:lineRule="auto"/>
        <w:ind w:left="18"/>
        <w:outlineLvl w:val="1"/>
        <w:rPr>
          <w:rFonts w:asciiTheme="minorEastAsia" w:hAnsiTheme="minorEastAsia" w:eastAsiaTheme="minorEastAsia" w:cstheme="minorEastAsia"/>
          <w:color w:val="auto"/>
          <w:sz w:val="28"/>
          <w:szCs w:val="28"/>
        </w:rPr>
      </w:pPr>
      <w:bookmarkStart w:id="264" w:name="_Toc19628"/>
      <w:bookmarkStart w:id="265" w:name="_Toc1095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5</w:t>
      </w:r>
      <w:r>
        <w:rPr>
          <w:rFonts w:hint="eastAsia" w:asciiTheme="minorEastAsia" w:hAnsiTheme="minorEastAsia" w:eastAsiaTheme="minorEastAsia" w:cstheme="minorEastAsia"/>
          <w:color w:val="auto"/>
          <w:sz w:val="28"/>
          <w:szCs w:val="28"/>
        </w:rPr>
        <w:t>、批量导入</w:t>
      </w:r>
      <w:bookmarkEnd w:id="264"/>
      <w:bookmarkEnd w:id="265"/>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所有投</w:t>
      </w:r>
      <w:r>
        <w:rPr>
          <w:rFonts w:hint="eastAsia" w:asciiTheme="minorEastAsia" w:hAnsiTheme="minorEastAsia" w:eastAsiaTheme="minorEastAsia" w:cstheme="minorEastAsia"/>
          <w:color w:val="auto"/>
          <w:spacing w:val="10"/>
          <w:sz w:val="20"/>
          <w:szCs w:val="20"/>
        </w:rPr>
        <w:t>标</w:t>
      </w:r>
      <w:r>
        <w:rPr>
          <w:rFonts w:hint="eastAsia" w:asciiTheme="minorEastAsia" w:hAnsiTheme="minorEastAsia" w:eastAsiaTheme="minorEastAsia" w:cstheme="minorEastAsia"/>
          <w:color w:val="auto"/>
          <w:spacing w:val="6"/>
          <w:sz w:val="20"/>
          <w:szCs w:val="20"/>
        </w:rPr>
        <w:t>单位解密完成后 ，招标代理点击批量导入按钮。如下图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9" name="IM 14"/>
            <wp:cNvGraphicFramePr/>
            <a:graphic xmlns:a="http://schemas.openxmlformats.org/drawingml/2006/main">
              <a:graphicData uri="http://schemas.openxmlformats.org/drawingml/2006/picture">
                <pic:pic xmlns:pic="http://schemas.openxmlformats.org/drawingml/2006/picture">
                  <pic:nvPicPr>
                    <pic:cNvPr id="19" name="IM 14"/>
                    <pic:cNvPicPr/>
                  </pic:nvPicPr>
                  <pic:blipFill>
                    <a:blip r:embed="rId41"/>
                    <a:stretch>
                      <a:fillRect/>
                    </a:stretch>
                  </pic:blipFill>
                  <pic:spPr>
                    <a:xfrm>
                      <a:off x="0" y="0"/>
                      <a:ext cx="5266944" cy="2308859"/>
                    </a:xfrm>
                    <a:prstGeom prst="rect">
                      <a:avLst/>
                    </a:prstGeom>
                  </pic:spPr>
                </pic:pic>
              </a:graphicData>
            </a:graphic>
          </wp:inline>
        </w:drawing>
      </w:r>
    </w:p>
    <w:p>
      <w:pPr>
        <w:spacing w:before="356" w:line="178" w:lineRule="auto"/>
        <w:ind w:left="18"/>
        <w:outlineLvl w:val="1"/>
        <w:rPr>
          <w:rFonts w:asciiTheme="minorEastAsia" w:hAnsiTheme="minorEastAsia" w:eastAsiaTheme="minorEastAsia" w:cstheme="minorEastAsia"/>
          <w:color w:val="auto"/>
          <w:sz w:val="28"/>
          <w:szCs w:val="28"/>
        </w:rPr>
      </w:pPr>
      <w:bookmarkStart w:id="266" w:name="_Toc32240"/>
      <w:bookmarkStart w:id="267" w:name="_Toc1978"/>
      <w:r>
        <w:rPr>
          <w:rFonts w:hint="eastAsia" w:asciiTheme="minorEastAsia" w:hAnsiTheme="minorEastAsia" w:eastAsiaTheme="minorEastAsia" w:cstheme="minorEastAsia"/>
          <w:b/>
          <w:bCs/>
          <w:color w:val="auto"/>
          <w:spacing w:val="-16"/>
          <w:sz w:val="28"/>
          <w:szCs w:val="28"/>
        </w:rPr>
        <w:t>3</w:t>
      </w:r>
      <w:r>
        <w:rPr>
          <w:rFonts w:hint="eastAsia" w:asciiTheme="minorEastAsia" w:hAnsiTheme="minorEastAsia" w:eastAsiaTheme="minorEastAsia" w:cstheme="minorEastAsia"/>
          <w:b/>
          <w:bCs/>
          <w:color w:val="auto"/>
          <w:spacing w:val="-14"/>
          <w:sz w:val="28"/>
          <w:szCs w:val="28"/>
        </w:rPr>
        <w:t>.1.6</w:t>
      </w:r>
      <w:r>
        <w:rPr>
          <w:rFonts w:hint="eastAsia" w:asciiTheme="minorEastAsia" w:hAnsiTheme="minorEastAsia" w:eastAsiaTheme="minorEastAsia" w:cstheme="minorEastAsia"/>
          <w:color w:val="auto"/>
          <w:spacing w:val="-14"/>
          <w:sz w:val="28"/>
          <w:szCs w:val="28"/>
        </w:rPr>
        <w:t>、唱标确认</w:t>
      </w:r>
      <w:bookmarkEnd w:id="266"/>
      <w:bookmarkEnd w:id="267"/>
    </w:p>
    <w:p>
      <w:pPr>
        <w:spacing w:line="335" w:lineRule="auto"/>
        <w:rPr>
          <w:rFonts w:asciiTheme="minorEastAsia" w:hAnsiTheme="minorEastAsia" w:eastAsiaTheme="minorEastAsia" w:cstheme="minorEastAsia"/>
          <w:color w:val="auto"/>
        </w:rPr>
      </w:pPr>
    </w:p>
    <w:p>
      <w:pPr>
        <w:spacing w:before="86" w:line="626"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position w:val="33"/>
          <w:sz w:val="20"/>
          <w:szCs w:val="20"/>
        </w:rPr>
        <w:t>点击“唱标确认”进行唱标 ；</w:t>
      </w:r>
    </w:p>
    <w:p>
      <w:pPr>
        <w:spacing w:before="1" w:line="18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唱</w:t>
      </w:r>
      <w:r>
        <w:rPr>
          <w:rFonts w:hint="eastAsia" w:asciiTheme="minorEastAsia" w:hAnsiTheme="minorEastAsia" w:eastAsiaTheme="minorEastAsia" w:cstheme="minorEastAsia"/>
          <w:color w:val="auto"/>
          <w:spacing w:val="5"/>
          <w:sz w:val="20"/>
          <w:szCs w:val="20"/>
        </w:rPr>
        <w:t>标结束后如下图 ：</w:t>
      </w:r>
    </w:p>
    <w:p>
      <w:pPr>
        <w:rPr>
          <w:rFonts w:asciiTheme="minorEastAsia" w:hAnsiTheme="minorEastAsia" w:eastAsiaTheme="minorEastAsia" w:cstheme="minorEastAsia"/>
          <w:color w:val="auto"/>
        </w:rPr>
        <w:sectPr>
          <w:footerReference r:id="rId2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0" name="IM 15"/>
            <wp:cNvGraphicFramePr/>
            <a:graphic xmlns:a="http://schemas.openxmlformats.org/drawingml/2006/main">
              <a:graphicData uri="http://schemas.openxmlformats.org/drawingml/2006/picture">
                <pic:pic xmlns:pic="http://schemas.openxmlformats.org/drawingml/2006/picture">
                  <pic:nvPicPr>
                    <pic:cNvPr id="20" name="IM 15"/>
                    <pic:cNvPicPr/>
                  </pic:nvPicPr>
                  <pic:blipFill>
                    <a:blip r:embed="rId42"/>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pPr>
    </w:p>
    <w:p>
      <w:pPr>
        <w:spacing w:before="120" w:line="177" w:lineRule="auto"/>
        <w:ind w:left="18"/>
        <w:outlineLvl w:val="1"/>
        <w:rPr>
          <w:rFonts w:asciiTheme="minorEastAsia" w:hAnsiTheme="minorEastAsia" w:eastAsiaTheme="minorEastAsia" w:cstheme="minorEastAsia"/>
          <w:color w:val="auto"/>
          <w:sz w:val="28"/>
          <w:szCs w:val="28"/>
        </w:rPr>
      </w:pPr>
      <w:bookmarkStart w:id="268" w:name="_Toc27851"/>
      <w:bookmarkStart w:id="269" w:name="_Toc14641"/>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.7</w:t>
      </w:r>
      <w:r>
        <w:rPr>
          <w:rFonts w:hint="eastAsia" w:asciiTheme="minorEastAsia" w:hAnsiTheme="minorEastAsia" w:eastAsiaTheme="minorEastAsia" w:cstheme="minorEastAsia"/>
          <w:color w:val="auto"/>
          <w:sz w:val="28"/>
          <w:szCs w:val="28"/>
        </w:rPr>
        <w:t>、异议与回复</w:t>
      </w:r>
      <w:bookmarkEnd w:id="268"/>
      <w:bookmarkEnd w:id="269"/>
    </w:p>
    <w:p>
      <w:pPr>
        <w:spacing w:line="331" w:lineRule="auto"/>
        <w:rPr>
          <w:rFonts w:asciiTheme="minorEastAsia" w:hAnsiTheme="minorEastAsia" w:eastAsiaTheme="minorEastAsia" w:cstheme="minorEastAsia"/>
          <w:color w:val="auto"/>
        </w:rPr>
      </w:pPr>
    </w:p>
    <w:p>
      <w:pPr>
        <w:spacing w:before="86" w:line="625" w:lineRule="exact"/>
        <w:ind w:left="4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position w:val="33"/>
          <w:sz w:val="20"/>
          <w:szCs w:val="20"/>
        </w:rPr>
        <w:t>投标人在开标阶段可以提出异议内容 ，投标人提出后 ，招标代理在右下角可以查看</w:t>
      </w:r>
      <w:r>
        <w:rPr>
          <w:rFonts w:hint="eastAsia" w:asciiTheme="minorEastAsia" w:hAnsiTheme="minorEastAsia" w:eastAsiaTheme="minorEastAsia" w:cstheme="minorEastAsia"/>
          <w:color w:val="auto"/>
          <w:spacing w:val="2"/>
          <w:position w:val="33"/>
          <w:sz w:val="20"/>
          <w:szCs w:val="20"/>
        </w:rPr>
        <w:t>投</w:t>
      </w:r>
      <w:r>
        <w:rPr>
          <w:rFonts w:hint="eastAsia" w:asciiTheme="minorEastAsia" w:hAnsiTheme="minorEastAsia" w:eastAsiaTheme="minorEastAsia" w:cstheme="minorEastAsia"/>
          <w:color w:val="auto"/>
          <w:position w:val="33"/>
          <w:sz w:val="20"/>
          <w:szCs w:val="20"/>
        </w:rPr>
        <w:t>标</w:t>
      </w:r>
    </w:p>
    <w:p>
      <w:pPr>
        <w:spacing w:before="1" w:line="181" w:lineRule="auto"/>
        <w:ind w:left="2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 xml:space="preserve">人提出的异议信息进行回复。如下图 </w:t>
      </w:r>
      <w:r>
        <w:rPr>
          <w:rFonts w:hint="eastAsia" w:asciiTheme="minorEastAsia" w:hAnsiTheme="minorEastAsia" w:eastAsiaTheme="minorEastAsia" w:cstheme="minorEastAsia"/>
          <w:color w:val="auto"/>
          <w:spacing w:val="6"/>
          <w:sz w:val="20"/>
          <w:szCs w:val="20"/>
        </w:rPr>
        <w:t>：</w:t>
      </w:r>
    </w:p>
    <w:p>
      <w:pPr>
        <w:spacing w:before="200"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1" name="IM 16"/>
            <wp:cNvGraphicFramePr/>
            <a:graphic xmlns:a="http://schemas.openxmlformats.org/drawingml/2006/main">
              <a:graphicData uri="http://schemas.openxmlformats.org/drawingml/2006/picture">
                <pic:pic xmlns:pic="http://schemas.openxmlformats.org/drawingml/2006/picture">
                  <pic:nvPicPr>
                    <pic:cNvPr id="21" name="IM 16"/>
                    <pic:cNvPicPr/>
                  </pic:nvPicPr>
                  <pic:blipFill>
                    <a:blip r:embed="rId43"/>
                    <a:stretch>
                      <a:fillRect/>
                    </a:stretch>
                  </pic:blipFill>
                  <pic:spPr>
                    <a:xfrm>
                      <a:off x="0" y="0"/>
                      <a:ext cx="5266944" cy="2308859"/>
                    </a:xfrm>
                    <a:prstGeom prst="rect">
                      <a:avLst/>
                    </a:prstGeom>
                  </pic:spPr>
                </pic:pic>
              </a:graphicData>
            </a:graphic>
          </wp:inline>
        </w:drawing>
      </w:r>
    </w:p>
    <w:p>
      <w:pPr>
        <w:spacing w:before="275" w:line="189"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点</w:t>
      </w:r>
      <w:r>
        <w:rPr>
          <w:rFonts w:hint="eastAsia" w:asciiTheme="minorEastAsia" w:hAnsiTheme="minorEastAsia" w:eastAsiaTheme="minorEastAsia" w:cstheme="minorEastAsia"/>
          <w:color w:val="auto"/>
          <w:spacing w:val="9"/>
          <w:sz w:val="20"/>
          <w:szCs w:val="20"/>
        </w:rPr>
        <w:t>击</w:t>
      </w:r>
      <w:r>
        <w:rPr>
          <w:rFonts w:hint="eastAsia" w:asciiTheme="minorEastAsia" w:hAnsiTheme="minorEastAsia" w:eastAsiaTheme="minorEastAsia" w:cstheme="minorEastAsia"/>
          <w:color w:val="auto"/>
          <w:spacing w:val="7"/>
          <w:sz w:val="20"/>
          <w:szCs w:val="20"/>
        </w:rPr>
        <w:t>查看按钮查看异议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2" name="IM 17"/>
            <wp:cNvGraphicFramePr/>
            <a:graphic xmlns:a="http://schemas.openxmlformats.org/drawingml/2006/main">
              <a:graphicData uri="http://schemas.openxmlformats.org/drawingml/2006/picture">
                <pic:pic xmlns:pic="http://schemas.openxmlformats.org/drawingml/2006/picture">
                  <pic:nvPicPr>
                    <pic:cNvPr id="22" name="IM 17"/>
                    <pic:cNvPicPr/>
                  </pic:nvPicPr>
                  <pic:blipFill>
                    <a:blip r:embed="rId44"/>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4"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1" w:lineRule="auto"/>
        <w:ind w:left="43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对</w:t>
      </w:r>
      <w:r>
        <w:rPr>
          <w:rFonts w:hint="eastAsia" w:asciiTheme="minorEastAsia" w:hAnsiTheme="minorEastAsia" w:eastAsiaTheme="minorEastAsia" w:cstheme="minorEastAsia"/>
          <w:color w:val="auto"/>
          <w:spacing w:val="-5"/>
          <w:sz w:val="20"/>
          <w:szCs w:val="20"/>
        </w:rPr>
        <w:t>异议进行恢复后点击“回复异议”即可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3" name="IM 18"/>
            <wp:cNvGraphicFramePr/>
            <a:graphic xmlns:a="http://schemas.openxmlformats.org/drawingml/2006/main">
              <a:graphicData uri="http://schemas.openxmlformats.org/drawingml/2006/picture">
                <pic:pic xmlns:pic="http://schemas.openxmlformats.org/drawingml/2006/picture">
                  <pic:nvPicPr>
                    <pic:cNvPr id="23" name="IM 18"/>
                    <pic:cNvPicPr/>
                  </pic:nvPicPr>
                  <pic:blipFill>
                    <a:blip r:embed="rId45"/>
                    <a:stretch>
                      <a:fillRect/>
                    </a:stretch>
                  </pic:blipFill>
                  <pic:spPr>
                    <a:xfrm>
                      <a:off x="0" y="0"/>
                      <a:ext cx="5266944" cy="2308859"/>
                    </a:xfrm>
                    <a:prstGeom prst="rect">
                      <a:avLst/>
                    </a:prstGeom>
                  </pic:spPr>
                </pic:pic>
              </a:graphicData>
            </a:graphic>
          </wp:inline>
        </w:drawing>
      </w:r>
    </w:p>
    <w:p>
      <w:pPr>
        <w:spacing w:before="273" w:line="190"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 xml:space="preserve">切换到“已回复”菜单可查看回复的异议情况 </w:t>
      </w:r>
      <w:r>
        <w:rPr>
          <w:rFonts w:hint="eastAsia" w:asciiTheme="minorEastAsia" w:hAnsiTheme="minorEastAsia" w:eastAsiaTheme="minorEastAsia" w:cstheme="minorEastAsia"/>
          <w:color w:val="auto"/>
          <w:spacing w:val="-3"/>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24" name="IM 19"/>
            <wp:cNvGraphicFramePr/>
            <a:graphic xmlns:a="http://schemas.openxmlformats.org/drawingml/2006/main">
              <a:graphicData uri="http://schemas.openxmlformats.org/drawingml/2006/picture">
                <pic:pic xmlns:pic="http://schemas.openxmlformats.org/drawingml/2006/picture">
                  <pic:nvPicPr>
                    <pic:cNvPr id="24" name="IM 19"/>
                    <pic:cNvPicPr/>
                  </pic:nvPicPr>
                  <pic:blipFill>
                    <a:blip r:embed="rId46"/>
                    <a:stretch>
                      <a:fillRect/>
                    </a:stretch>
                  </pic:blipFill>
                  <pic:spPr>
                    <a:xfrm>
                      <a:off x="0" y="0"/>
                      <a:ext cx="5266944" cy="2308860"/>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70" w:name="_Toc17714"/>
      <w:bookmarkStart w:id="271" w:name="_Toc16073"/>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color w:val="auto"/>
          <w:sz w:val="28"/>
          <w:szCs w:val="28"/>
        </w:rPr>
        <w:t>、结束开标</w:t>
      </w:r>
      <w:bookmarkEnd w:id="270"/>
      <w:bookmarkEnd w:id="271"/>
    </w:p>
    <w:p>
      <w:pPr>
        <w:spacing w:line="332" w:lineRule="auto"/>
        <w:rPr>
          <w:rFonts w:asciiTheme="minorEastAsia" w:hAnsiTheme="minorEastAsia" w:eastAsiaTheme="minorEastAsia" w:cstheme="minorEastAsia"/>
          <w:color w:val="auto"/>
        </w:rPr>
      </w:pPr>
    </w:p>
    <w:p>
      <w:pPr>
        <w:spacing w:before="86"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 xml:space="preserve">点击开标结束 ，进行“开标结束”操作 </w:t>
      </w:r>
      <w:r>
        <w:rPr>
          <w:rFonts w:hint="eastAsia" w:asciiTheme="minorEastAsia" w:hAnsiTheme="minorEastAsia" w:eastAsiaTheme="minorEastAsia" w:cstheme="minorEastAsia"/>
          <w:color w:val="auto"/>
          <w:spacing w:val="-7"/>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5" name="IM 20"/>
            <wp:cNvGraphicFramePr/>
            <a:graphic xmlns:a="http://schemas.openxmlformats.org/drawingml/2006/main">
              <a:graphicData uri="http://schemas.openxmlformats.org/drawingml/2006/picture">
                <pic:pic xmlns:pic="http://schemas.openxmlformats.org/drawingml/2006/picture">
                  <pic:nvPicPr>
                    <pic:cNvPr id="25" name="IM 20"/>
                    <pic:cNvPicPr/>
                  </pic:nvPicPr>
                  <pic:blipFill>
                    <a:blip r:embed="rId47"/>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5"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85" w:line="181" w:lineRule="auto"/>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开</w:t>
      </w:r>
      <w:r>
        <w:rPr>
          <w:rFonts w:hint="eastAsia" w:asciiTheme="minorEastAsia" w:hAnsiTheme="minorEastAsia" w:eastAsiaTheme="minorEastAsia" w:cstheme="minorEastAsia"/>
          <w:color w:val="auto"/>
          <w:spacing w:val="-5"/>
          <w:sz w:val="20"/>
          <w:szCs w:val="20"/>
        </w:rPr>
        <w:t>标结束后可点击“开标记录表”进行查看。</w:t>
      </w:r>
    </w:p>
    <w:p>
      <w:pPr>
        <w:spacing w:line="246" w:lineRule="auto"/>
        <w:rPr>
          <w:rFonts w:asciiTheme="minorEastAsia" w:hAnsiTheme="minorEastAsia" w:eastAsiaTheme="minorEastAsia" w:cstheme="minorEastAsia"/>
          <w:color w:val="auto"/>
        </w:rPr>
      </w:pPr>
    </w:p>
    <w:p>
      <w:pPr>
        <w:spacing w:line="4471"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7960" cy="2839085"/>
            <wp:effectExtent l="0" t="0" r="8890" b="18415"/>
            <wp:docPr id="26" name="IM 21"/>
            <wp:cNvGraphicFramePr/>
            <a:graphic xmlns:a="http://schemas.openxmlformats.org/drawingml/2006/main">
              <a:graphicData uri="http://schemas.openxmlformats.org/drawingml/2006/picture">
                <pic:pic xmlns:pic="http://schemas.openxmlformats.org/drawingml/2006/picture">
                  <pic:nvPicPr>
                    <pic:cNvPr id="26" name="IM 21"/>
                    <pic:cNvPicPr/>
                  </pic:nvPicPr>
                  <pic:blipFill>
                    <a:blip r:embed="rId48"/>
                    <a:stretch>
                      <a:fillRect/>
                    </a:stretch>
                  </pic:blipFill>
                  <pic:spPr>
                    <a:xfrm>
                      <a:off x="0" y="0"/>
                      <a:ext cx="5268467" cy="2839211"/>
                    </a:xfrm>
                    <a:prstGeom prst="rect">
                      <a:avLst/>
                    </a:prstGeom>
                  </pic:spPr>
                </pic:pic>
              </a:graphicData>
            </a:graphic>
          </wp:inline>
        </w:drawing>
      </w:r>
    </w:p>
    <w:p>
      <w:pPr>
        <w:spacing w:line="600" w:lineRule="exact"/>
        <w:rPr>
          <w:rFonts w:asciiTheme="minorEastAsia" w:hAnsiTheme="minorEastAsia" w:eastAsiaTheme="minorEastAsia" w:cstheme="minorEastAsia"/>
          <w:b/>
          <w:bCs/>
          <w:color w:val="auto"/>
          <w:sz w:val="36"/>
          <w:szCs w:val="36"/>
        </w:rPr>
      </w:pPr>
    </w:p>
    <w:p>
      <w:pPr>
        <w:pStyle w:val="9"/>
        <w:ind w:left="0" w:leftChars="0" w:firstLine="0" w:firstLineChars="0"/>
        <w:rPr>
          <w:rFonts w:hint="eastAsia" w:asciiTheme="minorEastAsia" w:hAnsiTheme="minorEastAsia" w:eastAsiaTheme="minorEastAsia" w:cstheme="minorEastAsia"/>
          <w:color w:val="auto"/>
          <w:sz w:val="24"/>
        </w:rPr>
      </w:pPr>
    </w:p>
    <w:sectPr>
      <w:footerReference r:id="rId26" w:type="default"/>
      <w:pgSz w:w="11906" w:h="16838"/>
      <w:pgMar w:top="2098" w:right="1531" w:bottom="2098" w:left="1531"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mp;#23435;&amp;#20307;">
    <w:altName w:val="Segoe Print"/>
    <w:panose1 w:val="00000000000000000000"/>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Univers LT St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inline distT="0" distB="0" distL="114300" distR="114300">
              <wp:extent cx="5274310" cy="36830"/>
              <wp:effectExtent l="0" t="0" r="2540" b="1270"/>
              <wp:docPr id="27" name="任意多边形 2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FsdmOs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bH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BbHZjr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9"/>
        <w:position w:val="1"/>
        <w:sz w:val="17"/>
        <w:szCs w:val="17"/>
      </w:rPr>
      <w:t>7</w:t>
    </w:r>
    <w:r>
      <w:rPr>
        <w:rFonts w:eastAsia="Times New Roman"/>
        <w:spacing w:val="-5"/>
        <w:position w:val="1"/>
        <w:sz w:val="17"/>
        <w:szCs w:val="17"/>
      </w:rPr>
      <w:t>/ 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inline distT="0" distB="0" distL="114300" distR="114300">
              <wp:extent cx="5274310" cy="36830"/>
              <wp:effectExtent l="0" t="0" r="2540" b="1270"/>
              <wp:docPr id="30" name="任意多边形 30"/>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o5bm8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UTsEQRCSf+&#10;4+Hh58dPT18///r+7enxC4IM2FQbNwf0nbm17cxBGDTvcivDCGrQLlq7761lO48oLE7Hly8nIyhB&#10;ITe5mDWcyWEz3Tr/hulIRKq3zjcnk0EUfc3a5l6NMMqlgEOqiECxM2ApOhwpu610p7rQEB+WA08I&#10;UZ1iaGCKUQmNzeK5SV2xex0R/kQE0B+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ijlub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07"/>
      <w:jc w:val="right"/>
      <w:rPr>
        <w:rFonts w:eastAsia="Times New Roman"/>
        <w:sz w:val="17"/>
        <w:szCs w:val="17"/>
      </w:rPr>
    </w:pPr>
    <w:r>
      <w:rPr>
        <w:rFonts w:eastAsia="Times New Roman"/>
        <w:spacing w:val="-9"/>
        <w:position w:val="1"/>
        <w:sz w:val="17"/>
        <w:szCs w:val="17"/>
      </w:rPr>
      <w:t>8</w:t>
    </w:r>
    <w:r>
      <w:rPr>
        <w:rFonts w:eastAsia="Times New Roman"/>
        <w:spacing w:val="-6"/>
        <w:position w:val="1"/>
        <w:sz w:val="17"/>
        <w:szCs w:val="17"/>
      </w:rPr>
      <w:t>/ 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inline distT="0" distB="0" distL="114300" distR="114300">
              <wp:extent cx="5274310" cy="36830"/>
              <wp:effectExtent l="0" t="0" r="2540" b="1270"/>
              <wp:docPr id="36" name="任意多边形 36"/>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L/1GEo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9/ 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1DA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UbUMD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inline distT="0" distB="0" distL="114300" distR="114300">
              <wp:extent cx="5274310" cy="36830"/>
              <wp:effectExtent l="0" t="0" r="2540" b="1270"/>
              <wp:docPr id="35" name="任意多边形 35"/>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UQG7U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hRAbtS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0/ 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0nnU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SedT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inline distT="0" distB="0" distL="114300" distR="114300">
              <wp:extent cx="5274310" cy="36830"/>
              <wp:effectExtent l="0" t="0" r="2540" b="1270"/>
              <wp:docPr id="34" name="任意多边形 34"/>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rLHKV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7"/>
        <w:position w:val="1"/>
        <w:sz w:val="17"/>
        <w:szCs w:val="17"/>
      </w:rPr>
      <w:t>1/ 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iQbo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ciQbo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inline distT="0" distB="0" distL="114300" distR="114300">
              <wp:extent cx="5274310" cy="36830"/>
              <wp:effectExtent l="0" t="0" r="2540" b="1270"/>
              <wp:docPr id="37" name="任意多边形 3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ZUyak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Yn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CWVMmp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2/ 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4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-172720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6pt;height:144pt;width:144pt;mso-position-horizontal:center;mso-position-horizontal-relative:margin;mso-wrap-style:none;z-index:251676672;mso-width-relative:page;mso-height-relative:page;" filled="f" stroked="f" coordsize="21600,21600" o:gfxdata="UEsDBAoAAAAAAIdO4kAAAAAAAAAAAAAAAAAEAAAAZHJzL1BLAwQUAAAACACHTuJAeA832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Sp/yEGwnBcFX048bLMC&#10;ZF3J/wXqH1BLAwQUAAAACACHTuJALsn3AD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DzfZ1QAAAAgBAAAPAAAAAAAAAAEAIAAAACIAAABkcnMvZG93bnJldi54bWxQ&#10;SwECFAAUAAAACACHTuJALsn3ADMCAABjBAAADgAAAAAAAAABACAAAAAkAQAAZHJzL2Uyb0RvYy54&#10;bWxQSwUGAAAAAAYABgBZAQAAyQU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ak9tIBAACo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OKbHM4MRPP3+cfv05/f5O&#10;5uXiKknUeaiw8t5jbew/uh4XZ4oDBhPzXgaT/siJYB4FPp4FFn0kPB1aLpbLElMcc5OD+MXjcR8g&#10;3gpnSDJqGnCCWVh2+ARxKJ1K0m3W3Sit8xS1JV1N319hy08yCK5tioi8DyNMojS0nqzYb/uR59Y1&#10;R6TZ4U7U1OIToETfWZQ8rc9khMnYjkbCB/9hH7Gf3GZCHaCQXnJwgJnouGxpQ/71c9XjA1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pqT20gEAAKgDAAAOAAAAAAAAAAEAIAAAAB4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2256"/>
        <w:tab w:val="clear" w:pos="4153"/>
      </w:tabs>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-142240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pt;height:144pt;width:144pt;mso-position-horizontal:center;mso-position-horizontal-relative:margin;mso-wrap-style:none;z-index:251677696;mso-width-relative:page;mso-height-relative:page;" filled="f" stroked="f" coordsize="21600,21600" o:gfxdata="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Lc6BN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inline distT="0" distB="0" distL="114300" distR="114300">
              <wp:extent cx="5274310" cy="36830"/>
              <wp:effectExtent l="0" t="0" r="2540" b="1270"/>
              <wp:docPr id="39" name="任意多边形 3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O+I9v8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OT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O+I9v8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8"/>
        <w:position w:val="1"/>
        <w:sz w:val="17"/>
        <w:szCs w:val="17"/>
      </w:rPr>
      <w:t>/ 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inline distT="0" distB="0" distL="114300" distR="114300">
              <wp:extent cx="5274310" cy="36830"/>
              <wp:effectExtent l="0" t="0" r="2540" b="1270"/>
              <wp:docPr id="28" name="任意多边形 28"/>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Atgdl4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VjOHdFJJz4&#10;j4eHnx8/PX39/Ov7t6fHLwgyYFNt3BzQd+bWtjMHYdC8y60MI6hBu2jtvreW7TyisDgdX76cjMB1&#10;CrnJxWwSrU8Om+nW+TdMRyJSvXW+OZkMouhr1jb3aoRRLgUcUkUE6liKDkfKbivdqS40xIflwBNC&#10;VKcYGphiVEJjs3huUlfsXkeEPxEBTR6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C2B2X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96"/>
      <w:jc w:val="right"/>
      <w:rPr>
        <w:rFonts w:eastAsia="Times New Roman"/>
        <w:sz w:val="17"/>
        <w:szCs w:val="17"/>
      </w:rPr>
    </w:pPr>
    <w:r>
      <w:rPr>
        <w:rFonts w:eastAsia="Times New Roman"/>
        <w:spacing w:val="-6"/>
        <w:position w:val="1"/>
        <w:sz w:val="17"/>
        <w:szCs w:val="17"/>
      </w:rPr>
      <w:t>2</w:t>
    </w:r>
    <w:r>
      <w:rPr>
        <w:rFonts w:eastAsia="Times New Roman"/>
        <w:spacing w:val="-5"/>
        <w:position w:val="1"/>
        <w:sz w:val="17"/>
        <w:szCs w:val="17"/>
      </w:rPr>
      <w:t>/ 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inline distT="0" distB="0" distL="114300" distR="114300">
              <wp:extent cx="5274310" cy="36830"/>
              <wp:effectExtent l="0" t="0" r="2540" b="1270"/>
              <wp:docPr id="29" name="任意多边形 2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CLBp70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Pj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CLBp70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71"/>
      <w:jc w:val="right"/>
      <w:rPr>
        <w:rFonts w:eastAsia="Times New Roman"/>
        <w:sz w:val="17"/>
        <w:szCs w:val="17"/>
      </w:rPr>
    </w:pPr>
    <w:r>
      <w:rPr>
        <w:rFonts w:eastAsia="Times New Roman"/>
        <w:spacing w:val="-6"/>
        <w:position w:val="1"/>
        <w:sz w:val="17"/>
        <w:szCs w:val="17"/>
      </w:rPr>
      <w:t>3/ 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Xys0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bXys0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inline distT="0" distB="0" distL="114300" distR="114300">
              <wp:extent cx="5274310" cy="36830"/>
              <wp:effectExtent l="0" t="0" r="2540" b="1270"/>
              <wp:docPr id="31" name="任意多边形 31"/>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o5i/j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5"/>
        <w:position w:val="1"/>
        <w:sz w:val="17"/>
        <w:szCs w:val="17"/>
      </w:rPr>
      <w:t>4/ 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inline distT="0" distB="0" distL="114300" distR="114300">
              <wp:extent cx="5274310" cy="36830"/>
              <wp:effectExtent l="0" t="0" r="2540" b="1270"/>
              <wp:docPr id="32" name="任意多边形 32"/>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l9vHM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mX28c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42"/>
      <w:jc w:val="right"/>
      <w:rPr>
        <w:rFonts w:eastAsia="Times New Roman"/>
        <w:sz w:val="17"/>
        <w:szCs w:val="17"/>
      </w:rPr>
    </w:pPr>
    <w:r>
      <w:rPr>
        <w:rFonts w:eastAsia="Times New Roman"/>
        <w:spacing w:val="-7"/>
        <w:position w:val="1"/>
        <w:sz w:val="17"/>
        <w:szCs w:val="17"/>
      </w:rPr>
      <w:t>5</w:t>
    </w:r>
    <w:r>
      <w:rPr>
        <w:rFonts w:eastAsia="Times New Roman"/>
        <w:spacing w:val="-6"/>
        <w:position w:val="1"/>
        <w:sz w:val="17"/>
        <w:szCs w:val="17"/>
      </w:rPr>
      <w:t>/ 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zX0c5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SzX0c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inline distT="0" distB="0" distL="114300" distR="114300">
              <wp:extent cx="5274310" cy="36830"/>
              <wp:effectExtent l="0" t="0" r="2540" b="1270"/>
              <wp:docPr id="33" name="任意多边形 33"/>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sNxtk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6/ 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620395</wp:posOffset>
              </wp:positionV>
              <wp:extent cx="5274310" cy="952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274310" cy="9525"/>
                      </a:xfrm>
                      <a:custGeom>
                        <a:avLst/>
                        <a:gdLst>
                          <a:gd name="A1" fmla="val 0"/>
                        </a:gdLst>
                        <a:ahLst/>
                        <a:cxnLst/>
                        <a:pathLst>
                          <a:path w="8305" h="15">
                            <a:moveTo>
                              <a:pt x="0" y="0"/>
                            </a:moveTo>
                            <a:lnTo>
                              <a:pt x="8305" y="0"/>
                            </a:lnTo>
                            <a:lnTo>
                              <a:pt x="8305" y="14"/>
                            </a:lnTo>
                            <a:lnTo>
                              <a:pt x="0" y="14"/>
                            </a:lnTo>
                            <a:lnTo>
                              <a:pt x="0" y="0"/>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90pt;margin-top:48.85pt;height:0.75pt;width:415.3pt;mso-position-horizontal-relative:page;mso-position-vertical-relative:page;z-index:251661312;mso-width-relative:page;mso-height-relative:page;" fillcolor="#FFFFFF" filled="t" stroked="f" coordsize="8305,15" o:allowincell="f" o:gfxdata="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N9WZNgAAAAKAQAADwAAAAAAAAABACAAAAAiAAAAZHJzL2Rvd25yZXYueG1sUEsBAhQAFAAA&#10;AAgAh07iQGTho2goAgAApAQAAA4AAAAAAAAAAQAgAAAAJwEAAGRycy9lMm9Eb2MueG1sUEsFBgAA&#10;AAAGAAYAWQEAAMEFAAAAAA==&#10;" path="m0,0l8305,0,830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D28B8"/>
    <w:multiLevelType w:val="singleLevel"/>
    <w:tmpl w:val="FFED28B8"/>
    <w:lvl w:ilvl="0" w:tentative="0">
      <w:start w:val="2"/>
      <w:numFmt w:val="chineseCounting"/>
      <w:suff w:val="space"/>
      <w:lvlText w:val="第%1部分"/>
      <w:lvlJc w:val="left"/>
      <w:rPr>
        <w:rFonts w:hint="eastAsia"/>
      </w:rPr>
    </w:lvl>
  </w:abstractNum>
  <w:abstractNum w:abstractNumId="1">
    <w:nsid w:val="1D5755D3"/>
    <w:multiLevelType w:val="multilevel"/>
    <w:tmpl w:val="1D5755D3"/>
    <w:lvl w:ilvl="0" w:tentative="0">
      <w:start w:val="1"/>
      <w:numFmt w:val="bullet"/>
      <w:pStyle w:val="163"/>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C57B5"/>
    <w:multiLevelType w:val="singleLevel"/>
    <w:tmpl w:val="204C57B5"/>
    <w:lvl w:ilvl="0" w:tentative="0">
      <w:start w:val="3"/>
      <w:numFmt w:val="chineseCounting"/>
      <w:suff w:val="nothing"/>
      <w:lvlText w:val="%1、"/>
      <w:lvlJc w:val="left"/>
      <w:pPr>
        <w:ind w:left="480" w:leftChars="0" w:firstLine="0" w:firstLineChars="0"/>
      </w:pPr>
      <w:rPr>
        <w:rFonts w:hint="eastAsia"/>
      </w:rPr>
    </w:lvl>
  </w:abstractNum>
  <w:abstractNum w:abstractNumId="3">
    <w:nsid w:val="219148B2"/>
    <w:multiLevelType w:val="singleLevel"/>
    <w:tmpl w:val="219148B2"/>
    <w:lvl w:ilvl="0" w:tentative="0">
      <w:start w:val="13"/>
      <w:numFmt w:val="chineseCounting"/>
      <w:suff w:val="nothing"/>
      <w:lvlText w:val="%1、"/>
      <w:lvlJc w:val="left"/>
      <w:rPr>
        <w:rFonts w:hint="eastAsia"/>
      </w:rPr>
    </w:lvl>
  </w:abstractNum>
  <w:abstractNum w:abstractNumId="4">
    <w:nsid w:val="36745E1C"/>
    <w:multiLevelType w:val="singleLevel"/>
    <w:tmpl w:val="36745E1C"/>
    <w:lvl w:ilvl="0" w:tentative="0">
      <w:start w:val="1"/>
      <w:numFmt w:val="decimal"/>
      <w:lvlText w:val="%1."/>
      <w:lvlJc w:val="left"/>
      <w:pPr>
        <w:tabs>
          <w:tab w:val="left" w:pos="312"/>
        </w:tabs>
      </w:pPr>
    </w:lvl>
  </w:abstractNum>
  <w:abstractNum w:abstractNumId="5">
    <w:nsid w:val="5281F09C"/>
    <w:multiLevelType w:val="singleLevel"/>
    <w:tmpl w:val="5281F09C"/>
    <w:lvl w:ilvl="0" w:tentative="0">
      <w:start w:val="1"/>
      <w:numFmt w:val="decimal"/>
      <w:pStyle w:val="175"/>
      <w:suff w:val="nothing"/>
      <w:lvlText w:val="%1、"/>
      <w:lvlJc w:val="left"/>
    </w:lvl>
  </w:abstractNum>
  <w:abstractNum w:abstractNumId="6">
    <w:nsid w:val="535778F6"/>
    <w:multiLevelType w:val="multilevel"/>
    <w:tmpl w:val="535778F6"/>
    <w:lvl w:ilvl="0" w:tentative="0">
      <w:start w:val="1"/>
      <w:numFmt w:val="chineseCountingThousand"/>
      <w:suff w:val="nothing"/>
      <w:lvlText w:val="%1、"/>
      <w:lvlJc w:val="left"/>
      <w:rPr>
        <w:rFonts w:hint="eastAsia" w:cs="Times New Roman"/>
        <w:b/>
        <w:i w:val="0"/>
        <w:sz w:val="24"/>
      </w:rPr>
    </w:lvl>
    <w:lvl w:ilvl="1" w:tentative="0">
      <w:start w:val="1"/>
      <w:numFmt w:val="decimal"/>
      <w:pStyle w:val="5"/>
      <w:suff w:val="nothing"/>
      <w:lvlText w:val="%2. "/>
      <w:lvlJc w:val="left"/>
      <w:rPr>
        <w:rFonts w:hint="eastAsia" w:cs="Times New Roman"/>
        <w:b w:val="0"/>
        <w:i w:val="0"/>
        <w:sz w:val="24"/>
      </w:rPr>
    </w:lvl>
    <w:lvl w:ilvl="2" w:tentative="0">
      <w:start w:val="1"/>
      <w:numFmt w:val="none"/>
      <w:pStyle w:val="6"/>
      <w:suff w:val="nothing"/>
      <w:lvlText w:val=""/>
      <w:lvlJc w:val="left"/>
      <w:rPr>
        <w:rFonts w:hint="eastAsia" w:cs="Times New Roman"/>
      </w:rPr>
    </w:lvl>
    <w:lvl w:ilvl="3" w:tentative="0">
      <w:start w:val="1"/>
      <w:numFmt w:val="none"/>
      <w:pStyle w:val="7"/>
      <w:suff w:val="nothing"/>
      <w:lvlText w:val=""/>
      <w:lvlJc w:val="left"/>
      <w:rPr>
        <w:rFonts w:hint="eastAsia" w:cs="Times New Roman"/>
      </w:rPr>
    </w:lvl>
    <w:lvl w:ilvl="4" w:tentative="0">
      <w:start w:val="1"/>
      <w:numFmt w:val="none"/>
      <w:pStyle w:val="8"/>
      <w:suff w:val="nothing"/>
      <w:lvlText w:val=""/>
      <w:lvlJc w:val="left"/>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7">
    <w:nsid w:val="5698B22F"/>
    <w:multiLevelType w:val="singleLevel"/>
    <w:tmpl w:val="5698B22F"/>
    <w:lvl w:ilvl="0" w:tentative="0">
      <w:start w:val="2"/>
      <w:numFmt w:val="decimal"/>
      <w:suff w:val="nothing"/>
      <w:lvlText w:val="%1、"/>
      <w:lvlJc w:val="left"/>
    </w:lvl>
  </w:abstractNum>
  <w:abstractNum w:abstractNumId="8">
    <w:nsid w:val="597144BB"/>
    <w:multiLevelType w:val="singleLevel"/>
    <w:tmpl w:val="597144BB"/>
    <w:lvl w:ilvl="0" w:tentative="0">
      <w:start w:val="1"/>
      <w:numFmt w:val="chineseCounting"/>
      <w:suff w:val="nothing"/>
      <w:lvlText w:val="（%1）"/>
      <w:lvlJc w:val="left"/>
      <w:rPr>
        <w:rFonts w:cs="Times New Roman"/>
      </w:rPr>
    </w:lvl>
  </w:abstractNum>
  <w:abstractNum w:abstractNumId="9">
    <w:nsid w:val="597153DF"/>
    <w:multiLevelType w:val="singleLevel"/>
    <w:tmpl w:val="597153DF"/>
    <w:lvl w:ilvl="0" w:tentative="0">
      <w:start w:val="1"/>
      <w:numFmt w:val="decimal"/>
      <w:suff w:val="nothing"/>
      <w:lvlText w:val="%1."/>
      <w:lvlJc w:val="left"/>
      <w:rPr>
        <w:rFonts w:cs="Times New Roman"/>
      </w:rPr>
    </w:lvl>
  </w:abstractNum>
  <w:abstractNum w:abstractNumId="10">
    <w:nsid w:val="5D37B0EE"/>
    <w:multiLevelType w:val="singleLevel"/>
    <w:tmpl w:val="5D37B0EE"/>
    <w:lvl w:ilvl="0" w:tentative="0">
      <w:start w:val="2"/>
      <w:numFmt w:val="decimal"/>
      <w:suff w:val="nothing"/>
      <w:lvlText w:val="（%1）"/>
      <w:lvlJc w:val="left"/>
    </w:lvl>
  </w:abstractNum>
  <w:abstractNum w:abstractNumId="11">
    <w:nsid w:val="5D37B11A"/>
    <w:multiLevelType w:val="singleLevel"/>
    <w:tmpl w:val="5D37B11A"/>
    <w:lvl w:ilvl="0" w:tentative="0">
      <w:start w:val="1"/>
      <w:numFmt w:val="decimal"/>
      <w:suff w:val="nothing"/>
      <w:lvlText w:val="（%1）"/>
      <w:lvlJc w:val="left"/>
    </w:lvl>
  </w:abstractNum>
  <w:abstractNum w:abstractNumId="12">
    <w:nsid w:val="5D396A3E"/>
    <w:multiLevelType w:val="singleLevel"/>
    <w:tmpl w:val="5D396A3E"/>
    <w:lvl w:ilvl="0" w:tentative="0">
      <w:start w:val="2"/>
      <w:numFmt w:val="decimal"/>
      <w:suff w:val="nothing"/>
      <w:lvlText w:val="%1."/>
      <w:lvlJc w:val="left"/>
    </w:lvl>
  </w:abstractNum>
  <w:abstractNum w:abstractNumId="13">
    <w:nsid w:val="5DF67CAA"/>
    <w:multiLevelType w:val="multilevel"/>
    <w:tmpl w:val="5DF67CAA"/>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6260FA"/>
    <w:multiLevelType w:val="multilevel"/>
    <w:tmpl w:val="646260FA"/>
    <w:lvl w:ilvl="0" w:tentative="0">
      <w:start w:val="1"/>
      <w:numFmt w:val="decimal"/>
      <w:pStyle w:val="11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14"/>
  </w:num>
  <w:num w:numId="3">
    <w:abstractNumId w:val="1"/>
  </w:num>
  <w:num w:numId="4">
    <w:abstractNumId w:val="5"/>
  </w:num>
  <w:num w:numId="5">
    <w:abstractNumId w:val="2"/>
  </w:num>
  <w:num w:numId="6">
    <w:abstractNumId w:val="0"/>
  </w:num>
  <w:num w:numId="7">
    <w:abstractNumId w:val="4"/>
  </w:num>
  <w:num w:numId="8">
    <w:abstractNumId w:val="3"/>
  </w:num>
  <w:num w:numId="9">
    <w:abstractNumId w:val="10"/>
  </w:num>
  <w:num w:numId="10">
    <w:abstractNumId w:val="11"/>
  </w:num>
  <w:num w:numId="11">
    <w:abstractNumId w:val="8"/>
  </w:num>
  <w:num w:numId="12">
    <w:abstractNumId w:val="9"/>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dkNmQzN2FhNDA0NWRiZWNkOTc4MGQ3NjViYzgifQ=="/>
  </w:docVars>
  <w:rsids>
    <w:rsidRoot w:val="004C0046"/>
    <w:rsid w:val="0000110E"/>
    <w:rsid w:val="0000174F"/>
    <w:rsid w:val="00003AFC"/>
    <w:rsid w:val="00006524"/>
    <w:rsid w:val="000070C7"/>
    <w:rsid w:val="00010EFF"/>
    <w:rsid w:val="00012CF8"/>
    <w:rsid w:val="0001301C"/>
    <w:rsid w:val="0001314C"/>
    <w:rsid w:val="000146F4"/>
    <w:rsid w:val="00017164"/>
    <w:rsid w:val="000171B4"/>
    <w:rsid w:val="00020834"/>
    <w:rsid w:val="000212C2"/>
    <w:rsid w:val="000229D6"/>
    <w:rsid w:val="000232E2"/>
    <w:rsid w:val="0002333F"/>
    <w:rsid w:val="000251B4"/>
    <w:rsid w:val="0002541A"/>
    <w:rsid w:val="00025557"/>
    <w:rsid w:val="00025D88"/>
    <w:rsid w:val="00030748"/>
    <w:rsid w:val="00031DC1"/>
    <w:rsid w:val="00033B66"/>
    <w:rsid w:val="00035173"/>
    <w:rsid w:val="00040C7D"/>
    <w:rsid w:val="00045932"/>
    <w:rsid w:val="00045F2A"/>
    <w:rsid w:val="0005273C"/>
    <w:rsid w:val="00056B02"/>
    <w:rsid w:val="00063F17"/>
    <w:rsid w:val="00064B14"/>
    <w:rsid w:val="00066649"/>
    <w:rsid w:val="000666B6"/>
    <w:rsid w:val="0006742D"/>
    <w:rsid w:val="0007048B"/>
    <w:rsid w:val="000724C4"/>
    <w:rsid w:val="00073414"/>
    <w:rsid w:val="00074E04"/>
    <w:rsid w:val="00077D72"/>
    <w:rsid w:val="00081334"/>
    <w:rsid w:val="00084C63"/>
    <w:rsid w:val="0008588A"/>
    <w:rsid w:val="00086F98"/>
    <w:rsid w:val="000918C2"/>
    <w:rsid w:val="00091904"/>
    <w:rsid w:val="00092E89"/>
    <w:rsid w:val="00093BE3"/>
    <w:rsid w:val="0009510C"/>
    <w:rsid w:val="00097B4F"/>
    <w:rsid w:val="000A0F1D"/>
    <w:rsid w:val="000A6285"/>
    <w:rsid w:val="000B091D"/>
    <w:rsid w:val="000B281A"/>
    <w:rsid w:val="000B5BC1"/>
    <w:rsid w:val="000C6572"/>
    <w:rsid w:val="000C6B2C"/>
    <w:rsid w:val="000D0462"/>
    <w:rsid w:val="000D17F8"/>
    <w:rsid w:val="000D20A6"/>
    <w:rsid w:val="000D3E5A"/>
    <w:rsid w:val="000D4E5A"/>
    <w:rsid w:val="000E007A"/>
    <w:rsid w:val="000E6E52"/>
    <w:rsid w:val="000F31A1"/>
    <w:rsid w:val="000F38B4"/>
    <w:rsid w:val="000F594D"/>
    <w:rsid w:val="001038EB"/>
    <w:rsid w:val="001066A5"/>
    <w:rsid w:val="001121E8"/>
    <w:rsid w:val="00116F3B"/>
    <w:rsid w:val="00117365"/>
    <w:rsid w:val="00120541"/>
    <w:rsid w:val="00121012"/>
    <w:rsid w:val="0012362E"/>
    <w:rsid w:val="00124C31"/>
    <w:rsid w:val="00124C7F"/>
    <w:rsid w:val="0012540A"/>
    <w:rsid w:val="001254AD"/>
    <w:rsid w:val="001264D7"/>
    <w:rsid w:val="001275E0"/>
    <w:rsid w:val="00134BCE"/>
    <w:rsid w:val="0013553F"/>
    <w:rsid w:val="001370AA"/>
    <w:rsid w:val="00144504"/>
    <w:rsid w:val="00147E27"/>
    <w:rsid w:val="00151DD5"/>
    <w:rsid w:val="00153AD7"/>
    <w:rsid w:val="001546C3"/>
    <w:rsid w:val="00154C10"/>
    <w:rsid w:val="001556FF"/>
    <w:rsid w:val="001657B6"/>
    <w:rsid w:val="001704D9"/>
    <w:rsid w:val="00175865"/>
    <w:rsid w:val="00175BEE"/>
    <w:rsid w:val="00177B7B"/>
    <w:rsid w:val="0018213E"/>
    <w:rsid w:val="00182B6A"/>
    <w:rsid w:val="00182BAD"/>
    <w:rsid w:val="00186C95"/>
    <w:rsid w:val="00191A00"/>
    <w:rsid w:val="00195512"/>
    <w:rsid w:val="001A0040"/>
    <w:rsid w:val="001A291D"/>
    <w:rsid w:val="001A71D1"/>
    <w:rsid w:val="001B6428"/>
    <w:rsid w:val="001C2651"/>
    <w:rsid w:val="001C3201"/>
    <w:rsid w:val="001C433F"/>
    <w:rsid w:val="001C6C51"/>
    <w:rsid w:val="001C786F"/>
    <w:rsid w:val="001C7CF4"/>
    <w:rsid w:val="001D1090"/>
    <w:rsid w:val="001D2048"/>
    <w:rsid w:val="001D209F"/>
    <w:rsid w:val="001D20C2"/>
    <w:rsid w:val="001D247A"/>
    <w:rsid w:val="001D4393"/>
    <w:rsid w:val="001D5247"/>
    <w:rsid w:val="001D66BE"/>
    <w:rsid w:val="001E061B"/>
    <w:rsid w:val="001E16DE"/>
    <w:rsid w:val="001E1823"/>
    <w:rsid w:val="001E2C98"/>
    <w:rsid w:val="001E2FF3"/>
    <w:rsid w:val="001E6E65"/>
    <w:rsid w:val="001F240F"/>
    <w:rsid w:val="001F6184"/>
    <w:rsid w:val="001F6730"/>
    <w:rsid w:val="0020088F"/>
    <w:rsid w:val="00207C94"/>
    <w:rsid w:val="00211CA4"/>
    <w:rsid w:val="00211CEF"/>
    <w:rsid w:val="00212DF5"/>
    <w:rsid w:val="00223F67"/>
    <w:rsid w:val="00224603"/>
    <w:rsid w:val="00227769"/>
    <w:rsid w:val="00227D2C"/>
    <w:rsid w:val="002348BF"/>
    <w:rsid w:val="002349C0"/>
    <w:rsid w:val="002429FE"/>
    <w:rsid w:val="002460BB"/>
    <w:rsid w:val="00247F97"/>
    <w:rsid w:val="00250E8B"/>
    <w:rsid w:val="002517D7"/>
    <w:rsid w:val="00252021"/>
    <w:rsid w:val="00253550"/>
    <w:rsid w:val="00261241"/>
    <w:rsid w:val="00261525"/>
    <w:rsid w:val="002618F7"/>
    <w:rsid w:val="00262186"/>
    <w:rsid w:val="00263B27"/>
    <w:rsid w:val="002656FD"/>
    <w:rsid w:val="002708FF"/>
    <w:rsid w:val="00270E38"/>
    <w:rsid w:val="00271936"/>
    <w:rsid w:val="00276058"/>
    <w:rsid w:val="00285EA7"/>
    <w:rsid w:val="002877D8"/>
    <w:rsid w:val="00290BA4"/>
    <w:rsid w:val="00291DCD"/>
    <w:rsid w:val="00292C90"/>
    <w:rsid w:val="00293327"/>
    <w:rsid w:val="00293534"/>
    <w:rsid w:val="00294447"/>
    <w:rsid w:val="00295B97"/>
    <w:rsid w:val="002970F7"/>
    <w:rsid w:val="002A0D97"/>
    <w:rsid w:val="002A2450"/>
    <w:rsid w:val="002B06DA"/>
    <w:rsid w:val="002B1D60"/>
    <w:rsid w:val="002B3178"/>
    <w:rsid w:val="002B4FB8"/>
    <w:rsid w:val="002B63E0"/>
    <w:rsid w:val="002B70F5"/>
    <w:rsid w:val="002B7B62"/>
    <w:rsid w:val="002C3856"/>
    <w:rsid w:val="002C49F2"/>
    <w:rsid w:val="002C5506"/>
    <w:rsid w:val="002C6F51"/>
    <w:rsid w:val="002C7243"/>
    <w:rsid w:val="002C747D"/>
    <w:rsid w:val="002D05BB"/>
    <w:rsid w:val="002D0890"/>
    <w:rsid w:val="002D2870"/>
    <w:rsid w:val="002D3E50"/>
    <w:rsid w:val="002D4BD9"/>
    <w:rsid w:val="002D4C76"/>
    <w:rsid w:val="002D7055"/>
    <w:rsid w:val="002D7D6C"/>
    <w:rsid w:val="002E11B0"/>
    <w:rsid w:val="002E270F"/>
    <w:rsid w:val="002F0211"/>
    <w:rsid w:val="002F16E7"/>
    <w:rsid w:val="002F265A"/>
    <w:rsid w:val="002F4F17"/>
    <w:rsid w:val="002F54BD"/>
    <w:rsid w:val="003038A6"/>
    <w:rsid w:val="00304B2F"/>
    <w:rsid w:val="00310164"/>
    <w:rsid w:val="00313BD9"/>
    <w:rsid w:val="00313DA4"/>
    <w:rsid w:val="00314941"/>
    <w:rsid w:val="00315B7A"/>
    <w:rsid w:val="00316C93"/>
    <w:rsid w:val="00322352"/>
    <w:rsid w:val="00323E66"/>
    <w:rsid w:val="00325AA9"/>
    <w:rsid w:val="00327338"/>
    <w:rsid w:val="00330DEB"/>
    <w:rsid w:val="0033177E"/>
    <w:rsid w:val="00332AB4"/>
    <w:rsid w:val="003339CF"/>
    <w:rsid w:val="00340758"/>
    <w:rsid w:val="003420FB"/>
    <w:rsid w:val="00342616"/>
    <w:rsid w:val="00342645"/>
    <w:rsid w:val="00343253"/>
    <w:rsid w:val="00344913"/>
    <w:rsid w:val="003450F7"/>
    <w:rsid w:val="003468EF"/>
    <w:rsid w:val="00350196"/>
    <w:rsid w:val="00351109"/>
    <w:rsid w:val="003516F4"/>
    <w:rsid w:val="00352081"/>
    <w:rsid w:val="00352663"/>
    <w:rsid w:val="0035297E"/>
    <w:rsid w:val="0035687F"/>
    <w:rsid w:val="00356DCF"/>
    <w:rsid w:val="00364E3A"/>
    <w:rsid w:val="00367050"/>
    <w:rsid w:val="00367E94"/>
    <w:rsid w:val="0037139C"/>
    <w:rsid w:val="00382D02"/>
    <w:rsid w:val="00385674"/>
    <w:rsid w:val="00385F16"/>
    <w:rsid w:val="00386729"/>
    <w:rsid w:val="003A011B"/>
    <w:rsid w:val="003A2E73"/>
    <w:rsid w:val="003A3F15"/>
    <w:rsid w:val="003A51F2"/>
    <w:rsid w:val="003B0400"/>
    <w:rsid w:val="003B1226"/>
    <w:rsid w:val="003B1BB3"/>
    <w:rsid w:val="003B24CC"/>
    <w:rsid w:val="003B2D4B"/>
    <w:rsid w:val="003B3B6D"/>
    <w:rsid w:val="003B7A6C"/>
    <w:rsid w:val="003C170C"/>
    <w:rsid w:val="003C1871"/>
    <w:rsid w:val="003C59DC"/>
    <w:rsid w:val="003C7185"/>
    <w:rsid w:val="003D2FE2"/>
    <w:rsid w:val="003D454B"/>
    <w:rsid w:val="003D63F6"/>
    <w:rsid w:val="003E1606"/>
    <w:rsid w:val="003E2317"/>
    <w:rsid w:val="003E2676"/>
    <w:rsid w:val="003E4BFD"/>
    <w:rsid w:val="003E5CF9"/>
    <w:rsid w:val="003E5E1E"/>
    <w:rsid w:val="003E6C49"/>
    <w:rsid w:val="003F0D7F"/>
    <w:rsid w:val="003F14EB"/>
    <w:rsid w:val="003F16B1"/>
    <w:rsid w:val="003F449F"/>
    <w:rsid w:val="003F7264"/>
    <w:rsid w:val="004011FF"/>
    <w:rsid w:val="00401770"/>
    <w:rsid w:val="00404FA5"/>
    <w:rsid w:val="0040612E"/>
    <w:rsid w:val="00407A90"/>
    <w:rsid w:val="004149C8"/>
    <w:rsid w:val="0042008F"/>
    <w:rsid w:val="00422660"/>
    <w:rsid w:val="004234D8"/>
    <w:rsid w:val="00423957"/>
    <w:rsid w:val="004256A3"/>
    <w:rsid w:val="00425813"/>
    <w:rsid w:val="0042676A"/>
    <w:rsid w:val="0043294B"/>
    <w:rsid w:val="004348E6"/>
    <w:rsid w:val="004350C7"/>
    <w:rsid w:val="004363D7"/>
    <w:rsid w:val="00437ABB"/>
    <w:rsid w:val="00437BFD"/>
    <w:rsid w:val="004428F7"/>
    <w:rsid w:val="00444BAC"/>
    <w:rsid w:val="00450F9E"/>
    <w:rsid w:val="00452142"/>
    <w:rsid w:val="0045396C"/>
    <w:rsid w:val="00453DA2"/>
    <w:rsid w:val="00453FFC"/>
    <w:rsid w:val="00454F38"/>
    <w:rsid w:val="00455DD4"/>
    <w:rsid w:val="00461E18"/>
    <w:rsid w:val="00462379"/>
    <w:rsid w:val="00463432"/>
    <w:rsid w:val="00463EC6"/>
    <w:rsid w:val="00465642"/>
    <w:rsid w:val="00470906"/>
    <w:rsid w:val="00473D57"/>
    <w:rsid w:val="00474871"/>
    <w:rsid w:val="00482CF5"/>
    <w:rsid w:val="0048311C"/>
    <w:rsid w:val="00483D87"/>
    <w:rsid w:val="00484C01"/>
    <w:rsid w:val="004902BF"/>
    <w:rsid w:val="00490F9E"/>
    <w:rsid w:val="0049197C"/>
    <w:rsid w:val="00492519"/>
    <w:rsid w:val="00494FDF"/>
    <w:rsid w:val="004952C4"/>
    <w:rsid w:val="00497A64"/>
    <w:rsid w:val="004A2820"/>
    <w:rsid w:val="004A2ACF"/>
    <w:rsid w:val="004A2B5B"/>
    <w:rsid w:val="004B3111"/>
    <w:rsid w:val="004B427C"/>
    <w:rsid w:val="004C0046"/>
    <w:rsid w:val="004C3A73"/>
    <w:rsid w:val="004C55B1"/>
    <w:rsid w:val="004C61AD"/>
    <w:rsid w:val="004C64EB"/>
    <w:rsid w:val="004D01CE"/>
    <w:rsid w:val="004D543B"/>
    <w:rsid w:val="004D6D04"/>
    <w:rsid w:val="004E0863"/>
    <w:rsid w:val="004E2649"/>
    <w:rsid w:val="004E436C"/>
    <w:rsid w:val="0050032A"/>
    <w:rsid w:val="0050087B"/>
    <w:rsid w:val="00501E61"/>
    <w:rsid w:val="005032DC"/>
    <w:rsid w:val="00505228"/>
    <w:rsid w:val="00506511"/>
    <w:rsid w:val="00507745"/>
    <w:rsid w:val="005132DD"/>
    <w:rsid w:val="005137AC"/>
    <w:rsid w:val="005159E1"/>
    <w:rsid w:val="00516186"/>
    <w:rsid w:val="0051696B"/>
    <w:rsid w:val="00516B05"/>
    <w:rsid w:val="00517375"/>
    <w:rsid w:val="00520944"/>
    <w:rsid w:val="00520E14"/>
    <w:rsid w:val="00526368"/>
    <w:rsid w:val="00531BEC"/>
    <w:rsid w:val="005343E0"/>
    <w:rsid w:val="0053610D"/>
    <w:rsid w:val="005376DA"/>
    <w:rsid w:val="0054189A"/>
    <w:rsid w:val="00545C82"/>
    <w:rsid w:val="00545EAE"/>
    <w:rsid w:val="005479E4"/>
    <w:rsid w:val="00547EA8"/>
    <w:rsid w:val="005504DE"/>
    <w:rsid w:val="005511F6"/>
    <w:rsid w:val="00554A2A"/>
    <w:rsid w:val="00554E52"/>
    <w:rsid w:val="0055570F"/>
    <w:rsid w:val="00555C08"/>
    <w:rsid w:val="005619CC"/>
    <w:rsid w:val="00564D52"/>
    <w:rsid w:val="005664F5"/>
    <w:rsid w:val="0056738C"/>
    <w:rsid w:val="005754C6"/>
    <w:rsid w:val="00575C18"/>
    <w:rsid w:val="00575E89"/>
    <w:rsid w:val="00576334"/>
    <w:rsid w:val="005764A7"/>
    <w:rsid w:val="00576A7A"/>
    <w:rsid w:val="00577F27"/>
    <w:rsid w:val="005817A5"/>
    <w:rsid w:val="0058209A"/>
    <w:rsid w:val="005838A9"/>
    <w:rsid w:val="005839D6"/>
    <w:rsid w:val="00583E31"/>
    <w:rsid w:val="0058593A"/>
    <w:rsid w:val="005873D3"/>
    <w:rsid w:val="005875DF"/>
    <w:rsid w:val="005879FA"/>
    <w:rsid w:val="005915FD"/>
    <w:rsid w:val="00592BCA"/>
    <w:rsid w:val="00593752"/>
    <w:rsid w:val="00593BC1"/>
    <w:rsid w:val="005A0321"/>
    <w:rsid w:val="005A3D7D"/>
    <w:rsid w:val="005B3CB2"/>
    <w:rsid w:val="005B4449"/>
    <w:rsid w:val="005C0207"/>
    <w:rsid w:val="005C2D33"/>
    <w:rsid w:val="005C4089"/>
    <w:rsid w:val="005C4841"/>
    <w:rsid w:val="005C55E3"/>
    <w:rsid w:val="005C661D"/>
    <w:rsid w:val="005D24C9"/>
    <w:rsid w:val="005D6856"/>
    <w:rsid w:val="005E35CD"/>
    <w:rsid w:val="005E5952"/>
    <w:rsid w:val="005E7E6F"/>
    <w:rsid w:val="005F1F91"/>
    <w:rsid w:val="005F206F"/>
    <w:rsid w:val="005F58D3"/>
    <w:rsid w:val="00601937"/>
    <w:rsid w:val="00604376"/>
    <w:rsid w:val="00606140"/>
    <w:rsid w:val="00622A2B"/>
    <w:rsid w:val="0062333E"/>
    <w:rsid w:val="006268A7"/>
    <w:rsid w:val="00626D7E"/>
    <w:rsid w:val="0062722B"/>
    <w:rsid w:val="00627C25"/>
    <w:rsid w:val="006306B1"/>
    <w:rsid w:val="00631DE7"/>
    <w:rsid w:val="00633B72"/>
    <w:rsid w:val="006371DA"/>
    <w:rsid w:val="006408C9"/>
    <w:rsid w:val="006440EC"/>
    <w:rsid w:val="00657A61"/>
    <w:rsid w:val="0066046F"/>
    <w:rsid w:val="00660E81"/>
    <w:rsid w:val="00661104"/>
    <w:rsid w:val="00662A85"/>
    <w:rsid w:val="00664693"/>
    <w:rsid w:val="006675DF"/>
    <w:rsid w:val="0067022B"/>
    <w:rsid w:val="00673403"/>
    <w:rsid w:val="00677B84"/>
    <w:rsid w:val="006801D8"/>
    <w:rsid w:val="00681C3A"/>
    <w:rsid w:val="00685EA9"/>
    <w:rsid w:val="00690B38"/>
    <w:rsid w:val="00693038"/>
    <w:rsid w:val="00695177"/>
    <w:rsid w:val="006953DF"/>
    <w:rsid w:val="00696C69"/>
    <w:rsid w:val="006A0904"/>
    <w:rsid w:val="006A2A27"/>
    <w:rsid w:val="006A5A7A"/>
    <w:rsid w:val="006A6873"/>
    <w:rsid w:val="006A6F8E"/>
    <w:rsid w:val="006B1464"/>
    <w:rsid w:val="006B2806"/>
    <w:rsid w:val="006B45BE"/>
    <w:rsid w:val="006B79C0"/>
    <w:rsid w:val="006C1E5B"/>
    <w:rsid w:val="006C5788"/>
    <w:rsid w:val="006C6E54"/>
    <w:rsid w:val="006C78B5"/>
    <w:rsid w:val="006D1ECA"/>
    <w:rsid w:val="006E0B6D"/>
    <w:rsid w:val="006E23E2"/>
    <w:rsid w:val="006E275C"/>
    <w:rsid w:val="006E3506"/>
    <w:rsid w:val="006F016D"/>
    <w:rsid w:val="006F1C9E"/>
    <w:rsid w:val="006F1EC7"/>
    <w:rsid w:val="006F2667"/>
    <w:rsid w:val="006F4681"/>
    <w:rsid w:val="006F6F52"/>
    <w:rsid w:val="006F7BFF"/>
    <w:rsid w:val="00703145"/>
    <w:rsid w:val="00703D8F"/>
    <w:rsid w:val="00703DCD"/>
    <w:rsid w:val="00706DD4"/>
    <w:rsid w:val="0070786D"/>
    <w:rsid w:val="00710B5D"/>
    <w:rsid w:val="00710F0A"/>
    <w:rsid w:val="007116B1"/>
    <w:rsid w:val="00713D7B"/>
    <w:rsid w:val="007154FB"/>
    <w:rsid w:val="00716022"/>
    <w:rsid w:val="00716C5F"/>
    <w:rsid w:val="00717C41"/>
    <w:rsid w:val="00731898"/>
    <w:rsid w:val="00732FBF"/>
    <w:rsid w:val="00734FC1"/>
    <w:rsid w:val="00735BAE"/>
    <w:rsid w:val="007365DA"/>
    <w:rsid w:val="00737B73"/>
    <w:rsid w:val="00746582"/>
    <w:rsid w:val="00747BBD"/>
    <w:rsid w:val="0075017C"/>
    <w:rsid w:val="0075307A"/>
    <w:rsid w:val="007546DF"/>
    <w:rsid w:val="007560F9"/>
    <w:rsid w:val="0075673C"/>
    <w:rsid w:val="007609DB"/>
    <w:rsid w:val="00761E0C"/>
    <w:rsid w:val="0076200E"/>
    <w:rsid w:val="007635E0"/>
    <w:rsid w:val="00763AE7"/>
    <w:rsid w:val="00764CBD"/>
    <w:rsid w:val="00765350"/>
    <w:rsid w:val="00766DC3"/>
    <w:rsid w:val="007671AE"/>
    <w:rsid w:val="00770503"/>
    <w:rsid w:val="00774AEE"/>
    <w:rsid w:val="00776641"/>
    <w:rsid w:val="00783A91"/>
    <w:rsid w:val="0078463B"/>
    <w:rsid w:val="00786287"/>
    <w:rsid w:val="007875EC"/>
    <w:rsid w:val="00787B81"/>
    <w:rsid w:val="00787FE2"/>
    <w:rsid w:val="007903B9"/>
    <w:rsid w:val="00793841"/>
    <w:rsid w:val="00793931"/>
    <w:rsid w:val="007A05A4"/>
    <w:rsid w:val="007A068B"/>
    <w:rsid w:val="007A07F9"/>
    <w:rsid w:val="007A1F85"/>
    <w:rsid w:val="007B2BB3"/>
    <w:rsid w:val="007B3BFD"/>
    <w:rsid w:val="007B595C"/>
    <w:rsid w:val="007B65FB"/>
    <w:rsid w:val="007B6B89"/>
    <w:rsid w:val="007B76A8"/>
    <w:rsid w:val="007C17AC"/>
    <w:rsid w:val="007C5783"/>
    <w:rsid w:val="007C744B"/>
    <w:rsid w:val="007D58A5"/>
    <w:rsid w:val="007E003A"/>
    <w:rsid w:val="007E1C7A"/>
    <w:rsid w:val="007E3CF7"/>
    <w:rsid w:val="007F0D42"/>
    <w:rsid w:val="007F13A4"/>
    <w:rsid w:val="007F1C1B"/>
    <w:rsid w:val="007F2561"/>
    <w:rsid w:val="007F5E06"/>
    <w:rsid w:val="007F6492"/>
    <w:rsid w:val="007F693B"/>
    <w:rsid w:val="007F6CF5"/>
    <w:rsid w:val="007F7223"/>
    <w:rsid w:val="008012E7"/>
    <w:rsid w:val="0080215C"/>
    <w:rsid w:val="008065F1"/>
    <w:rsid w:val="00807123"/>
    <w:rsid w:val="008108A3"/>
    <w:rsid w:val="00812EFD"/>
    <w:rsid w:val="00814DC1"/>
    <w:rsid w:val="00815190"/>
    <w:rsid w:val="0082137C"/>
    <w:rsid w:val="0083289B"/>
    <w:rsid w:val="008348FF"/>
    <w:rsid w:val="008373CB"/>
    <w:rsid w:val="00837787"/>
    <w:rsid w:val="008410E2"/>
    <w:rsid w:val="00843793"/>
    <w:rsid w:val="008474B4"/>
    <w:rsid w:val="008502E0"/>
    <w:rsid w:val="00851A01"/>
    <w:rsid w:val="00851CBB"/>
    <w:rsid w:val="00852069"/>
    <w:rsid w:val="008554FE"/>
    <w:rsid w:val="0086319F"/>
    <w:rsid w:val="00864386"/>
    <w:rsid w:val="00870339"/>
    <w:rsid w:val="00875A50"/>
    <w:rsid w:val="00883963"/>
    <w:rsid w:val="00886E50"/>
    <w:rsid w:val="008912D8"/>
    <w:rsid w:val="00892853"/>
    <w:rsid w:val="0089674A"/>
    <w:rsid w:val="008A0DA4"/>
    <w:rsid w:val="008A1B2B"/>
    <w:rsid w:val="008A3B4E"/>
    <w:rsid w:val="008A424A"/>
    <w:rsid w:val="008A78CE"/>
    <w:rsid w:val="008B2DE7"/>
    <w:rsid w:val="008B588C"/>
    <w:rsid w:val="008B74AC"/>
    <w:rsid w:val="008C0059"/>
    <w:rsid w:val="008C02EE"/>
    <w:rsid w:val="008C0815"/>
    <w:rsid w:val="008C5D7C"/>
    <w:rsid w:val="008C7F36"/>
    <w:rsid w:val="008D34E7"/>
    <w:rsid w:val="008D6EBF"/>
    <w:rsid w:val="008D7825"/>
    <w:rsid w:val="008E1739"/>
    <w:rsid w:val="008E190C"/>
    <w:rsid w:val="008E706F"/>
    <w:rsid w:val="008F10A8"/>
    <w:rsid w:val="008F1604"/>
    <w:rsid w:val="008F3628"/>
    <w:rsid w:val="008F4352"/>
    <w:rsid w:val="008F46B5"/>
    <w:rsid w:val="008F5227"/>
    <w:rsid w:val="009004EF"/>
    <w:rsid w:val="0090060E"/>
    <w:rsid w:val="00900CBF"/>
    <w:rsid w:val="00902D0E"/>
    <w:rsid w:val="00903AE6"/>
    <w:rsid w:val="00904D2D"/>
    <w:rsid w:val="0090771D"/>
    <w:rsid w:val="009111BF"/>
    <w:rsid w:val="009112E8"/>
    <w:rsid w:val="00913F1A"/>
    <w:rsid w:val="00915FD8"/>
    <w:rsid w:val="0092353B"/>
    <w:rsid w:val="009304A2"/>
    <w:rsid w:val="00931368"/>
    <w:rsid w:val="0093394A"/>
    <w:rsid w:val="0093394F"/>
    <w:rsid w:val="00935237"/>
    <w:rsid w:val="00937926"/>
    <w:rsid w:val="00940D13"/>
    <w:rsid w:val="009416C4"/>
    <w:rsid w:val="00942178"/>
    <w:rsid w:val="009421F3"/>
    <w:rsid w:val="00944AED"/>
    <w:rsid w:val="00944E64"/>
    <w:rsid w:val="00945692"/>
    <w:rsid w:val="00951BBF"/>
    <w:rsid w:val="0095237F"/>
    <w:rsid w:val="0095563C"/>
    <w:rsid w:val="009651CA"/>
    <w:rsid w:val="00966B3E"/>
    <w:rsid w:val="00966C67"/>
    <w:rsid w:val="0097004F"/>
    <w:rsid w:val="009729A3"/>
    <w:rsid w:val="00977155"/>
    <w:rsid w:val="00977C49"/>
    <w:rsid w:val="0098099C"/>
    <w:rsid w:val="009810B7"/>
    <w:rsid w:val="00981D38"/>
    <w:rsid w:val="009847DE"/>
    <w:rsid w:val="00986CF0"/>
    <w:rsid w:val="00987A74"/>
    <w:rsid w:val="00993018"/>
    <w:rsid w:val="009935FD"/>
    <w:rsid w:val="00996606"/>
    <w:rsid w:val="009A443B"/>
    <w:rsid w:val="009A4DF6"/>
    <w:rsid w:val="009A5E89"/>
    <w:rsid w:val="009B1AD8"/>
    <w:rsid w:val="009B33C9"/>
    <w:rsid w:val="009B575F"/>
    <w:rsid w:val="009B6A62"/>
    <w:rsid w:val="009B6FCD"/>
    <w:rsid w:val="009C0C0E"/>
    <w:rsid w:val="009C16C2"/>
    <w:rsid w:val="009C21C2"/>
    <w:rsid w:val="009C2BDC"/>
    <w:rsid w:val="009C471A"/>
    <w:rsid w:val="009C5058"/>
    <w:rsid w:val="009C5F96"/>
    <w:rsid w:val="009C682B"/>
    <w:rsid w:val="009C6F1A"/>
    <w:rsid w:val="009C7185"/>
    <w:rsid w:val="009C7480"/>
    <w:rsid w:val="009D03BD"/>
    <w:rsid w:val="009D1D2A"/>
    <w:rsid w:val="009D2516"/>
    <w:rsid w:val="009D398A"/>
    <w:rsid w:val="009D7296"/>
    <w:rsid w:val="009E68B8"/>
    <w:rsid w:val="009F2544"/>
    <w:rsid w:val="009F274D"/>
    <w:rsid w:val="009F668C"/>
    <w:rsid w:val="00A006E0"/>
    <w:rsid w:val="00A03FE6"/>
    <w:rsid w:val="00A05ED9"/>
    <w:rsid w:val="00A063E1"/>
    <w:rsid w:val="00A11414"/>
    <w:rsid w:val="00A132BD"/>
    <w:rsid w:val="00A15C59"/>
    <w:rsid w:val="00A165FB"/>
    <w:rsid w:val="00A2070C"/>
    <w:rsid w:val="00A24CEE"/>
    <w:rsid w:val="00A25781"/>
    <w:rsid w:val="00A26CD2"/>
    <w:rsid w:val="00A2737C"/>
    <w:rsid w:val="00A3024D"/>
    <w:rsid w:val="00A31C17"/>
    <w:rsid w:val="00A33AB2"/>
    <w:rsid w:val="00A354D2"/>
    <w:rsid w:val="00A4373C"/>
    <w:rsid w:val="00A51E32"/>
    <w:rsid w:val="00A52E03"/>
    <w:rsid w:val="00A53939"/>
    <w:rsid w:val="00A568EA"/>
    <w:rsid w:val="00A5726D"/>
    <w:rsid w:val="00A60A9E"/>
    <w:rsid w:val="00A612F1"/>
    <w:rsid w:val="00A62862"/>
    <w:rsid w:val="00A63D16"/>
    <w:rsid w:val="00A6487A"/>
    <w:rsid w:val="00A65392"/>
    <w:rsid w:val="00A67F97"/>
    <w:rsid w:val="00A718BA"/>
    <w:rsid w:val="00A72992"/>
    <w:rsid w:val="00A72A30"/>
    <w:rsid w:val="00A73409"/>
    <w:rsid w:val="00A7432F"/>
    <w:rsid w:val="00A75E82"/>
    <w:rsid w:val="00A8160E"/>
    <w:rsid w:val="00A83A43"/>
    <w:rsid w:val="00A84D23"/>
    <w:rsid w:val="00A85B21"/>
    <w:rsid w:val="00A87234"/>
    <w:rsid w:val="00A930D8"/>
    <w:rsid w:val="00A933B1"/>
    <w:rsid w:val="00A96DFF"/>
    <w:rsid w:val="00A979ED"/>
    <w:rsid w:val="00AA0067"/>
    <w:rsid w:val="00AA0399"/>
    <w:rsid w:val="00AA10C0"/>
    <w:rsid w:val="00AA476B"/>
    <w:rsid w:val="00AA6709"/>
    <w:rsid w:val="00AA7610"/>
    <w:rsid w:val="00AC07AE"/>
    <w:rsid w:val="00AC131E"/>
    <w:rsid w:val="00AC13F0"/>
    <w:rsid w:val="00AC2CC0"/>
    <w:rsid w:val="00AC521F"/>
    <w:rsid w:val="00AC5D4E"/>
    <w:rsid w:val="00AD1771"/>
    <w:rsid w:val="00AD36D7"/>
    <w:rsid w:val="00AE0345"/>
    <w:rsid w:val="00AE11C2"/>
    <w:rsid w:val="00AE3FCA"/>
    <w:rsid w:val="00AE4FC6"/>
    <w:rsid w:val="00AF1C35"/>
    <w:rsid w:val="00AF1FE1"/>
    <w:rsid w:val="00AF4E22"/>
    <w:rsid w:val="00B02AA3"/>
    <w:rsid w:val="00B03940"/>
    <w:rsid w:val="00B05BFB"/>
    <w:rsid w:val="00B05C51"/>
    <w:rsid w:val="00B06AFA"/>
    <w:rsid w:val="00B07090"/>
    <w:rsid w:val="00B07BBF"/>
    <w:rsid w:val="00B11CCF"/>
    <w:rsid w:val="00B20095"/>
    <w:rsid w:val="00B24425"/>
    <w:rsid w:val="00B253EE"/>
    <w:rsid w:val="00B30140"/>
    <w:rsid w:val="00B3033B"/>
    <w:rsid w:val="00B314ED"/>
    <w:rsid w:val="00B31A8E"/>
    <w:rsid w:val="00B34D77"/>
    <w:rsid w:val="00B40410"/>
    <w:rsid w:val="00B40740"/>
    <w:rsid w:val="00B40EBC"/>
    <w:rsid w:val="00B50E3C"/>
    <w:rsid w:val="00B53C6E"/>
    <w:rsid w:val="00B54057"/>
    <w:rsid w:val="00B54D64"/>
    <w:rsid w:val="00B54FA9"/>
    <w:rsid w:val="00B57ABE"/>
    <w:rsid w:val="00B621D8"/>
    <w:rsid w:val="00B62D33"/>
    <w:rsid w:val="00B63337"/>
    <w:rsid w:val="00B65390"/>
    <w:rsid w:val="00B71104"/>
    <w:rsid w:val="00B71CF4"/>
    <w:rsid w:val="00B7367F"/>
    <w:rsid w:val="00B74626"/>
    <w:rsid w:val="00B75462"/>
    <w:rsid w:val="00B75693"/>
    <w:rsid w:val="00B763ED"/>
    <w:rsid w:val="00B77828"/>
    <w:rsid w:val="00B80148"/>
    <w:rsid w:val="00B840AD"/>
    <w:rsid w:val="00B85F6D"/>
    <w:rsid w:val="00B86071"/>
    <w:rsid w:val="00B90275"/>
    <w:rsid w:val="00B908BA"/>
    <w:rsid w:val="00B91B1C"/>
    <w:rsid w:val="00B938CA"/>
    <w:rsid w:val="00BA5BC0"/>
    <w:rsid w:val="00BA79B3"/>
    <w:rsid w:val="00BB230D"/>
    <w:rsid w:val="00BB27AD"/>
    <w:rsid w:val="00BB3596"/>
    <w:rsid w:val="00BB7182"/>
    <w:rsid w:val="00BB786F"/>
    <w:rsid w:val="00BC0AEC"/>
    <w:rsid w:val="00BC1B3A"/>
    <w:rsid w:val="00BD18C7"/>
    <w:rsid w:val="00BD1CC1"/>
    <w:rsid w:val="00BD33D9"/>
    <w:rsid w:val="00BD3425"/>
    <w:rsid w:val="00BD49E1"/>
    <w:rsid w:val="00BD4E2A"/>
    <w:rsid w:val="00BD6912"/>
    <w:rsid w:val="00BE28A2"/>
    <w:rsid w:val="00BF2547"/>
    <w:rsid w:val="00BF44E0"/>
    <w:rsid w:val="00BF6787"/>
    <w:rsid w:val="00BF6D6C"/>
    <w:rsid w:val="00BF76AF"/>
    <w:rsid w:val="00C0027E"/>
    <w:rsid w:val="00C037EC"/>
    <w:rsid w:val="00C04F9C"/>
    <w:rsid w:val="00C10591"/>
    <w:rsid w:val="00C119D0"/>
    <w:rsid w:val="00C122B1"/>
    <w:rsid w:val="00C124D7"/>
    <w:rsid w:val="00C12FE4"/>
    <w:rsid w:val="00C141E5"/>
    <w:rsid w:val="00C14E93"/>
    <w:rsid w:val="00C20C8B"/>
    <w:rsid w:val="00C215E4"/>
    <w:rsid w:val="00C22C7D"/>
    <w:rsid w:val="00C23482"/>
    <w:rsid w:val="00C26227"/>
    <w:rsid w:val="00C27B1F"/>
    <w:rsid w:val="00C27C1C"/>
    <w:rsid w:val="00C326B1"/>
    <w:rsid w:val="00C32A28"/>
    <w:rsid w:val="00C3388B"/>
    <w:rsid w:val="00C341FA"/>
    <w:rsid w:val="00C35A11"/>
    <w:rsid w:val="00C3779F"/>
    <w:rsid w:val="00C42BA1"/>
    <w:rsid w:val="00C42C0A"/>
    <w:rsid w:val="00C47A91"/>
    <w:rsid w:val="00C5060F"/>
    <w:rsid w:val="00C5218E"/>
    <w:rsid w:val="00C5264A"/>
    <w:rsid w:val="00C54159"/>
    <w:rsid w:val="00C56B5A"/>
    <w:rsid w:val="00C57F01"/>
    <w:rsid w:val="00C63EDE"/>
    <w:rsid w:val="00C70629"/>
    <w:rsid w:val="00C72349"/>
    <w:rsid w:val="00C75189"/>
    <w:rsid w:val="00C75A99"/>
    <w:rsid w:val="00C7685E"/>
    <w:rsid w:val="00C77A01"/>
    <w:rsid w:val="00C77FDB"/>
    <w:rsid w:val="00C808C5"/>
    <w:rsid w:val="00C85874"/>
    <w:rsid w:val="00C86293"/>
    <w:rsid w:val="00C86E8A"/>
    <w:rsid w:val="00C9030B"/>
    <w:rsid w:val="00C90DCE"/>
    <w:rsid w:val="00CA13EF"/>
    <w:rsid w:val="00CA2DDE"/>
    <w:rsid w:val="00CB0F8D"/>
    <w:rsid w:val="00CB1034"/>
    <w:rsid w:val="00CB50CC"/>
    <w:rsid w:val="00CB619B"/>
    <w:rsid w:val="00CC19E2"/>
    <w:rsid w:val="00CC2AF9"/>
    <w:rsid w:val="00CC5E37"/>
    <w:rsid w:val="00CC65A2"/>
    <w:rsid w:val="00CC7716"/>
    <w:rsid w:val="00CD22FD"/>
    <w:rsid w:val="00CD43ED"/>
    <w:rsid w:val="00CD51B2"/>
    <w:rsid w:val="00CD7FC0"/>
    <w:rsid w:val="00CE1900"/>
    <w:rsid w:val="00CE1A3D"/>
    <w:rsid w:val="00CE29ED"/>
    <w:rsid w:val="00CE333E"/>
    <w:rsid w:val="00CE4CA8"/>
    <w:rsid w:val="00CE5167"/>
    <w:rsid w:val="00CE6262"/>
    <w:rsid w:val="00CF7AD6"/>
    <w:rsid w:val="00CF7BD4"/>
    <w:rsid w:val="00D005A8"/>
    <w:rsid w:val="00D027D0"/>
    <w:rsid w:val="00D0328C"/>
    <w:rsid w:val="00D03544"/>
    <w:rsid w:val="00D03BA7"/>
    <w:rsid w:val="00D05E21"/>
    <w:rsid w:val="00D10319"/>
    <w:rsid w:val="00D1090D"/>
    <w:rsid w:val="00D14732"/>
    <w:rsid w:val="00D23E49"/>
    <w:rsid w:val="00D261BA"/>
    <w:rsid w:val="00D26C11"/>
    <w:rsid w:val="00D2728F"/>
    <w:rsid w:val="00D27B0C"/>
    <w:rsid w:val="00D31426"/>
    <w:rsid w:val="00D31E13"/>
    <w:rsid w:val="00D34F28"/>
    <w:rsid w:val="00D3664F"/>
    <w:rsid w:val="00D36F04"/>
    <w:rsid w:val="00D41EEA"/>
    <w:rsid w:val="00D44155"/>
    <w:rsid w:val="00D452C3"/>
    <w:rsid w:val="00D45F6B"/>
    <w:rsid w:val="00D47BAD"/>
    <w:rsid w:val="00D50539"/>
    <w:rsid w:val="00D50DFF"/>
    <w:rsid w:val="00D50F81"/>
    <w:rsid w:val="00D515FE"/>
    <w:rsid w:val="00D5270A"/>
    <w:rsid w:val="00D55C40"/>
    <w:rsid w:val="00D56EBD"/>
    <w:rsid w:val="00D57999"/>
    <w:rsid w:val="00D60A52"/>
    <w:rsid w:val="00D62203"/>
    <w:rsid w:val="00D6317C"/>
    <w:rsid w:val="00D655D6"/>
    <w:rsid w:val="00D70A0F"/>
    <w:rsid w:val="00D74D30"/>
    <w:rsid w:val="00D761D9"/>
    <w:rsid w:val="00D76455"/>
    <w:rsid w:val="00D77925"/>
    <w:rsid w:val="00D77D89"/>
    <w:rsid w:val="00D81529"/>
    <w:rsid w:val="00D8200E"/>
    <w:rsid w:val="00D84166"/>
    <w:rsid w:val="00D91780"/>
    <w:rsid w:val="00D92C88"/>
    <w:rsid w:val="00D93420"/>
    <w:rsid w:val="00D95027"/>
    <w:rsid w:val="00D97F27"/>
    <w:rsid w:val="00DA0EAF"/>
    <w:rsid w:val="00DA232E"/>
    <w:rsid w:val="00DA25EE"/>
    <w:rsid w:val="00DA3533"/>
    <w:rsid w:val="00DA3976"/>
    <w:rsid w:val="00DA4715"/>
    <w:rsid w:val="00DB266F"/>
    <w:rsid w:val="00DB4213"/>
    <w:rsid w:val="00DB777A"/>
    <w:rsid w:val="00DC065C"/>
    <w:rsid w:val="00DC504F"/>
    <w:rsid w:val="00DC51CF"/>
    <w:rsid w:val="00DC5263"/>
    <w:rsid w:val="00DC527B"/>
    <w:rsid w:val="00DC5E8C"/>
    <w:rsid w:val="00DC69AB"/>
    <w:rsid w:val="00DD1798"/>
    <w:rsid w:val="00DD314F"/>
    <w:rsid w:val="00DD5E65"/>
    <w:rsid w:val="00DD7F21"/>
    <w:rsid w:val="00DE1226"/>
    <w:rsid w:val="00DE13A1"/>
    <w:rsid w:val="00DE1FEF"/>
    <w:rsid w:val="00DE3E00"/>
    <w:rsid w:val="00DE573C"/>
    <w:rsid w:val="00DF0222"/>
    <w:rsid w:val="00DF17BA"/>
    <w:rsid w:val="00DF3209"/>
    <w:rsid w:val="00DF5E6A"/>
    <w:rsid w:val="00E000DE"/>
    <w:rsid w:val="00E01012"/>
    <w:rsid w:val="00E027CB"/>
    <w:rsid w:val="00E02FCC"/>
    <w:rsid w:val="00E04898"/>
    <w:rsid w:val="00E10095"/>
    <w:rsid w:val="00E113C5"/>
    <w:rsid w:val="00E125BB"/>
    <w:rsid w:val="00E13918"/>
    <w:rsid w:val="00E1529B"/>
    <w:rsid w:val="00E21C60"/>
    <w:rsid w:val="00E23A74"/>
    <w:rsid w:val="00E24240"/>
    <w:rsid w:val="00E277FF"/>
    <w:rsid w:val="00E31D4F"/>
    <w:rsid w:val="00E322EF"/>
    <w:rsid w:val="00E32DD8"/>
    <w:rsid w:val="00E366AE"/>
    <w:rsid w:val="00E370DA"/>
    <w:rsid w:val="00E418FC"/>
    <w:rsid w:val="00E45812"/>
    <w:rsid w:val="00E50BCC"/>
    <w:rsid w:val="00E5141F"/>
    <w:rsid w:val="00E53EAB"/>
    <w:rsid w:val="00E56218"/>
    <w:rsid w:val="00E565FB"/>
    <w:rsid w:val="00E614BE"/>
    <w:rsid w:val="00E663D8"/>
    <w:rsid w:val="00E66A5B"/>
    <w:rsid w:val="00E7002F"/>
    <w:rsid w:val="00E7075B"/>
    <w:rsid w:val="00E72482"/>
    <w:rsid w:val="00E764DE"/>
    <w:rsid w:val="00E77937"/>
    <w:rsid w:val="00E81825"/>
    <w:rsid w:val="00E8280C"/>
    <w:rsid w:val="00E82880"/>
    <w:rsid w:val="00E82B91"/>
    <w:rsid w:val="00E83E1E"/>
    <w:rsid w:val="00E86A68"/>
    <w:rsid w:val="00E87B48"/>
    <w:rsid w:val="00E9261E"/>
    <w:rsid w:val="00EA0995"/>
    <w:rsid w:val="00EA2C1F"/>
    <w:rsid w:val="00EA324D"/>
    <w:rsid w:val="00EA36DB"/>
    <w:rsid w:val="00EA5542"/>
    <w:rsid w:val="00EA5AA6"/>
    <w:rsid w:val="00EA6073"/>
    <w:rsid w:val="00EB1CA6"/>
    <w:rsid w:val="00EC30A0"/>
    <w:rsid w:val="00EC3631"/>
    <w:rsid w:val="00EC5EE2"/>
    <w:rsid w:val="00EC7BAF"/>
    <w:rsid w:val="00ED0E46"/>
    <w:rsid w:val="00ED2522"/>
    <w:rsid w:val="00ED2D16"/>
    <w:rsid w:val="00ED39F5"/>
    <w:rsid w:val="00ED3C46"/>
    <w:rsid w:val="00EE0FAD"/>
    <w:rsid w:val="00EE1533"/>
    <w:rsid w:val="00EE2196"/>
    <w:rsid w:val="00EE223B"/>
    <w:rsid w:val="00EE2468"/>
    <w:rsid w:val="00EF006C"/>
    <w:rsid w:val="00EF1DD3"/>
    <w:rsid w:val="00EF3220"/>
    <w:rsid w:val="00EF4148"/>
    <w:rsid w:val="00EF42C4"/>
    <w:rsid w:val="00EF4EEA"/>
    <w:rsid w:val="00EF79FA"/>
    <w:rsid w:val="00F00402"/>
    <w:rsid w:val="00F022FB"/>
    <w:rsid w:val="00F029B6"/>
    <w:rsid w:val="00F02C74"/>
    <w:rsid w:val="00F0436E"/>
    <w:rsid w:val="00F0507C"/>
    <w:rsid w:val="00F06E9C"/>
    <w:rsid w:val="00F15E88"/>
    <w:rsid w:val="00F168F7"/>
    <w:rsid w:val="00F1699C"/>
    <w:rsid w:val="00F175F2"/>
    <w:rsid w:val="00F2097D"/>
    <w:rsid w:val="00F2176C"/>
    <w:rsid w:val="00F254FA"/>
    <w:rsid w:val="00F25910"/>
    <w:rsid w:val="00F31DA9"/>
    <w:rsid w:val="00F32828"/>
    <w:rsid w:val="00F331DE"/>
    <w:rsid w:val="00F33A2C"/>
    <w:rsid w:val="00F44AED"/>
    <w:rsid w:val="00F47005"/>
    <w:rsid w:val="00F56E4F"/>
    <w:rsid w:val="00F57C39"/>
    <w:rsid w:val="00F606EB"/>
    <w:rsid w:val="00F61B64"/>
    <w:rsid w:val="00F64F91"/>
    <w:rsid w:val="00F65059"/>
    <w:rsid w:val="00F702B9"/>
    <w:rsid w:val="00F709B2"/>
    <w:rsid w:val="00F72FFA"/>
    <w:rsid w:val="00F755AE"/>
    <w:rsid w:val="00F81CCE"/>
    <w:rsid w:val="00F8720A"/>
    <w:rsid w:val="00F917C6"/>
    <w:rsid w:val="00F947EC"/>
    <w:rsid w:val="00F97BB6"/>
    <w:rsid w:val="00FA2315"/>
    <w:rsid w:val="00FA408F"/>
    <w:rsid w:val="00FA485D"/>
    <w:rsid w:val="00FA691C"/>
    <w:rsid w:val="00FB6960"/>
    <w:rsid w:val="00FB6CAA"/>
    <w:rsid w:val="00FC1855"/>
    <w:rsid w:val="00FD0EB9"/>
    <w:rsid w:val="00FD1986"/>
    <w:rsid w:val="00FD4178"/>
    <w:rsid w:val="00FD68F0"/>
    <w:rsid w:val="00FE11CB"/>
    <w:rsid w:val="00FE1E79"/>
    <w:rsid w:val="00FE28C1"/>
    <w:rsid w:val="00FE3816"/>
    <w:rsid w:val="00FE3B9F"/>
    <w:rsid w:val="00FE4935"/>
    <w:rsid w:val="00FE5BFC"/>
    <w:rsid w:val="00FE7B94"/>
    <w:rsid w:val="00FF052C"/>
    <w:rsid w:val="00FF0999"/>
    <w:rsid w:val="00FF0BEA"/>
    <w:rsid w:val="00FF22C7"/>
    <w:rsid w:val="00FF70DA"/>
    <w:rsid w:val="010569BB"/>
    <w:rsid w:val="010A1F4C"/>
    <w:rsid w:val="010B0C4B"/>
    <w:rsid w:val="013E6315"/>
    <w:rsid w:val="015023F9"/>
    <w:rsid w:val="015C173E"/>
    <w:rsid w:val="016C5E04"/>
    <w:rsid w:val="017E17F0"/>
    <w:rsid w:val="01B736C8"/>
    <w:rsid w:val="0229463B"/>
    <w:rsid w:val="02630CDE"/>
    <w:rsid w:val="02822343"/>
    <w:rsid w:val="02B3341F"/>
    <w:rsid w:val="02E23BC8"/>
    <w:rsid w:val="03000EC5"/>
    <w:rsid w:val="030C4F43"/>
    <w:rsid w:val="0354262D"/>
    <w:rsid w:val="03E87BFE"/>
    <w:rsid w:val="03FA3940"/>
    <w:rsid w:val="04090FF7"/>
    <w:rsid w:val="040B7F2A"/>
    <w:rsid w:val="041C38FE"/>
    <w:rsid w:val="04210E57"/>
    <w:rsid w:val="0432155D"/>
    <w:rsid w:val="043F1E29"/>
    <w:rsid w:val="0455634E"/>
    <w:rsid w:val="046A156F"/>
    <w:rsid w:val="04734710"/>
    <w:rsid w:val="048969AC"/>
    <w:rsid w:val="048D02DF"/>
    <w:rsid w:val="04955C99"/>
    <w:rsid w:val="04C61A87"/>
    <w:rsid w:val="04E328A4"/>
    <w:rsid w:val="04F433AE"/>
    <w:rsid w:val="050C6C6D"/>
    <w:rsid w:val="0529077D"/>
    <w:rsid w:val="05421F8F"/>
    <w:rsid w:val="05502003"/>
    <w:rsid w:val="05531171"/>
    <w:rsid w:val="057A1048"/>
    <w:rsid w:val="057D3D9F"/>
    <w:rsid w:val="05CA2F54"/>
    <w:rsid w:val="05D03011"/>
    <w:rsid w:val="05E169BB"/>
    <w:rsid w:val="05E73156"/>
    <w:rsid w:val="05EE73FC"/>
    <w:rsid w:val="06030253"/>
    <w:rsid w:val="061A2EB2"/>
    <w:rsid w:val="06207230"/>
    <w:rsid w:val="06387ED0"/>
    <w:rsid w:val="06443FD4"/>
    <w:rsid w:val="069B55F0"/>
    <w:rsid w:val="06EA12FE"/>
    <w:rsid w:val="06EE40E1"/>
    <w:rsid w:val="06FE004D"/>
    <w:rsid w:val="072E4FD5"/>
    <w:rsid w:val="073C561A"/>
    <w:rsid w:val="07A0708E"/>
    <w:rsid w:val="07A61D38"/>
    <w:rsid w:val="07B513B4"/>
    <w:rsid w:val="07DF75F9"/>
    <w:rsid w:val="08423EEC"/>
    <w:rsid w:val="08861DD4"/>
    <w:rsid w:val="089A4126"/>
    <w:rsid w:val="08CA4A8D"/>
    <w:rsid w:val="08D7162B"/>
    <w:rsid w:val="08E5237C"/>
    <w:rsid w:val="08FC70AE"/>
    <w:rsid w:val="0918467C"/>
    <w:rsid w:val="0939037F"/>
    <w:rsid w:val="094C249F"/>
    <w:rsid w:val="099846A1"/>
    <w:rsid w:val="09C23CC8"/>
    <w:rsid w:val="0A5851F5"/>
    <w:rsid w:val="0A6F4B9C"/>
    <w:rsid w:val="0A8345E2"/>
    <w:rsid w:val="0ABA510B"/>
    <w:rsid w:val="0B131391"/>
    <w:rsid w:val="0B21230C"/>
    <w:rsid w:val="0B6B0A3F"/>
    <w:rsid w:val="0B9F112D"/>
    <w:rsid w:val="0C8F2066"/>
    <w:rsid w:val="0C9B47C1"/>
    <w:rsid w:val="0C9D43F5"/>
    <w:rsid w:val="0CCC3724"/>
    <w:rsid w:val="0CD26C5C"/>
    <w:rsid w:val="0CF660EB"/>
    <w:rsid w:val="0D4F1804"/>
    <w:rsid w:val="0D94138E"/>
    <w:rsid w:val="0E1C7CB7"/>
    <w:rsid w:val="0E7D062A"/>
    <w:rsid w:val="0EB60F21"/>
    <w:rsid w:val="0EC57CAB"/>
    <w:rsid w:val="0ED655DA"/>
    <w:rsid w:val="0EF06BD4"/>
    <w:rsid w:val="0F1B00A9"/>
    <w:rsid w:val="0F8D158D"/>
    <w:rsid w:val="0FAE1272"/>
    <w:rsid w:val="102514EA"/>
    <w:rsid w:val="10406DB9"/>
    <w:rsid w:val="105D3F4F"/>
    <w:rsid w:val="106812D6"/>
    <w:rsid w:val="107F2ACF"/>
    <w:rsid w:val="10967970"/>
    <w:rsid w:val="10A00E68"/>
    <w:rsid w:val="10C77BF9"/>
    <w:rsid w:val="10E910FF"/>
    <w:rsid w:val="10E92C5D"/>
    <w:rsid w:val="11152B7A"/>
    <w:rsid w:val="113A4388"/>
    <w:rsid w:val="11742E88"/>
    <w:rsid w:val="117909A7"/>
    <w:rsid w:val="11A6155A"/>
    <w:rsid w:val="11B063D2"/>
    <w:rsid w:val="11E13E3B"/>
    <w:rsid w:val="11EA508F"/>
    <w:rsid w:val="11F77BC3"/>
    <w:rsid w:val="120159AB"/>
    <w:rsid w:val="12160F3D"/>
    <w:rsid w:val="1262647E"/>
    <w:rsid w:val="12FE19BD"/>
    <w:rsid w:val="13361806"/>
    <w:rsid w:val="13824BF1"/>
    <w:rsid w:val="139847F7"/>
    <w:rsid w:val="13B643E7"/>
    <w:rsid w:val="13E61E6D"/>
    <w:rsid w:val="141A13C8"/>
    <w:rsid w:val="146106E4"/>
    <w:rsid w:val="14620C24"/>
    <w:rsid w:val="149437A1"/>
    <w:rsid w:val="14B42BAB"/>
    <w:rsid w:val="15123795"/>
    <w:rsid w:val="15307D39"/>
    <w:rsid w:val="154B2FF0"/>
    <w:rsid w:val="15592DBC"/>
    <w:rsid w:val="15874A29"/>
    <w:rsid w:val="158C4B73"/>
    <w:rsid w:val="15CE09DA"/>
    <w:rsid w:val="15DE208F"/>
    <w:rsid w:val="15EC7F71"/>
    <w:rsid w:val="16203BE1"/>
    <w:rsid w:val="165669B3"/>
    <w:rsid w:val="16A03AB8"/>
    <w:rsid w:val="171D77FD"/>
    <w:rsid w:val="1740046A"/>
    <w:rsid w:val="17531424"/>
    <w:rsid w:val="1774363E"/>
    <w:rsid w:val="17774C92"/>
    <w:rsid w:val="178E2A40"/>
    <w:rsid w:val="181C2546"/>
    <w:rsid w:val="185F2583"/>
    <w:rsid w:val="186D509E"/>
    <w:rsid w:val="18882964"/>
    <w:rsid w:val="190F47FA"/>
    <w:rsid w:val="190F735C"/>
    <w:rsid w:val="19263F6D"/>
    <w:rsid w:val="192C6416"/>
    <w:rsid w:val="193109EF"/>
    <w:rsid w:val="194C13CB"/>
    <w:rsid w:val="1953335C"/>
    <w:rsid w:val="19657B9D"/>
    <w:rsid w:val="197D4F41"/>
    <w:rsid w:val="197F5415"/>
    <w:rsid w:val="19A927B2"/>
    <w:rsid w:val="19DC5426"/>
    <w:rsid w:val="1A0673EB"/>
    <w:rsid w:val="1A127E72"/>
    <w:rsid w:val="1A1E0A47"/>
    <w:rsid w:val="1A5D3FE9"/>
    <w:rsid w:val="1A7D39F8"/>
    <w:rsid w:val="1AAA30D3"/>
    <w:rsid w:val="1AE11AE9"/>
    <w:rsid w:val="1AFA1BD0"/>
    <w:rsid w:val="1B2F2270"/>
    <w:rsid w:val="1B47424D"/>
    <w:rsid w:val="1B7D054C"/>
    <w:rsid w:val="1BC35C92"/>
    <w:rsid w:val="1BC6422D"/>
    <w:rsid w:val="1BD403F9"/>
    <w:rsid w:val="1C021363"/>
    <w:rsid w:val="1C09223B"/>
    <w:rsid w:val="1C1A5A7F"/>
    <w:rsid w:val="1C335AE4"/>
    <w:rsid w:val="1C572C61"/>
    <w:rsid w:val="1C795524"/>
    <w:rsid w:val="1C7B2FFA"/>
    <w:rsid w:val="1CE930AB"/>
    <w:rsid w:val="1D0A50D2"/>
    <w:rsid w:val="1D1E7FF4"/>
    <w:rsid w:val="1D492719"/>
    <w:rsid w:val="1DD138F7"/>
    <w:rsid w:val="1DF83A9E"/>
    <w:rsid w:val="1DFC29CA"/>
    <w:rsid w:val="1DFD72AD"/>
    <w:rsid w:val="1E117898"/>
    <w:rsid w:val="1E242306"/>
    <w:rsid w:val="1E3D2B1B"/>
    <w:rsid w:val="1E464AE3"/>
    <w:rsid w:val="1E4D3157"/>
    <w:rsid w:val="1E555935"/>
    <w:rsid w:val="1E9736C0"/>
    <w:rsid w:val="1EA31643"/>
    <w:rsid w:val="1EAA2032"/>
    <w:rsid w:val="1EBE4A62"/>
    <w:rsid w:val="1ECB51D1"/>
    <w:rsid w:val="1EFA743D"/>
    <w:rsid w:val="1F3600A9"/>
    <w:rsid w:val="1F3F03F8"/>
    <w:rsid w:val="1F7F7C9A"/>
    <w:rsid w:val="1F90634B"/>
    <w:rsid w:val="1FA0500F"/>
    <w:rsid w:val="1FC64262"/>
    <w:rsid w:val="1FE3205D"/>
    <w:rsid w:val="20157048"/>
    <w:rsid w:val="202C6988"/>
    <w:rsid w:val="202F15DE"/>
    <w:rsid w:val="20476946"/>
    <w:rsid w:val="204847A4"/>
    <w:rsid w:val="20732A73"/>
    <w:rsid w:val="20845364"/>
    <w:rsid w:val="20D37767"/>
    <w:rsid w:val="20EB6858"/>
    <w:rsid w:val="20F23998"/>
    <w:rsid w:val="20F81F21"/>
    <w:rsid w:val="20F879A7"/>
    <w:rsid w:val="20FD470C"/>
    <w:rsid w:val="2105070B"/>
    <w:rsid w:val="215879B2"/>
    <w:rsid w:val="215B013B"/>
    <w:rsid w:val="216045F1"/>
    <w:rsid w:val="21711EAF"/>
    <w:rsid w:val="219452AD"/>
    <w:rsid w:val="21CE6705"/>
    <w:rsid w:val="21DE311D"/>
    <w:rsid w:val="224317C8"/>
    <w:rsid w:val="22456F79"/>
    <w:rsid w:val="226520FC"/>
    <w:rsid w:val="22AB5E57"/>
    <w:rsid w:val="22BA607D"/>
    <w:rsid w:val="22C30A9A"/>
    <w:rsid w:val="22CC3B32"/>
    <w:rsid w:val="22F918A6"/>
    <w:rsid w:val="22F94B6E"/>
    <w:rsid w:val="22FF72E7"/>
    <w:rsid w:val="23041584"/>
    <w:rsid w:val="23225D32"/>
    <w:rsid w:val="23734ACB"/>
    <w:rsid w:val="238779E9"/>
    <w:rsid w:val="238D709D"/>
    <w:rsid w:val="23A55120"/>
    <w:rsid w:val="23A741BC"/>
    <w:rsid w:val="23CC6720"/>
    <w:rsid w:val="23E34BAD"/>
    <w:rsid w:val="2406098A"/>
    <w:rsid w:val="243E09F1"/>
    <w:rsid w:val="244A3266"/>
    <w:rsid w:val="24601069"/>
    <w:rsid w:val="255D4593"/>
    <w:rsid w:val="257D077E"/>
    <w:rsid w:val="2580479F"/>
    <w:rsid w:val="259D55BE"/>
    <w:rsid w:val="259D7CFF"/>
    <w:rsid w:val="25A81F25"/>
    <w:rsid w:val="25E04867"/>
    <w:rsid w:val="25F566D8"/>
    <w:rsid w:val="261B2964"/>
    <w:rsid w:val="264205A5"/>
    <w:rsid w:val="26467B59"/>
    <w:rsid w:val="264C0523"/>
    <w:rsid w:val="264D7CB1"/>
    <w:rsid w:val="26622CC9"/>
    <w:rsid w:val="26844DC1"/>
    <w:rsid w:val="268E4067"/>
    <w:rsid w:val="26BC4D93"/>
    <w:rsid w:val="271C3F2B"/>
    <w:rsid w:val="272D13B4"/>
    <w:rsid w:val="27570432"/>
    <w:rsid w:val="275F6D92"/>
    <w:rsid w:val="27835DE9"/>
    <w:rsid w:val="27B60CB4"/>
    <w:rsid w:val="27CB58D2"/>
    <w:rsid w:val="2806644D"/>
    <w:rsid w:val="2814283A"/>
    <w:rsid w:val="28430B3A"/>
    <w:rsid w:val="28584E15"/>
    <w:rsid w:val="285A3D21"/>
    <w:rsid w:val="286D14F1"/>
    <w:rsid w:val="289578ED"/>
    <w:rsid w:val="28B908FA"/>
    <w:rsid w:val="28CC1256"/>
    <w:rsid w:val="28D76911"/>
    <w:rsid w:val="29082BE0"/>
    <w:rsid w:val="29103263"/>
    <w:rsid w:val="293A669F"/>
    <w:rsid w:val="293B749C"/>
    <w:rsid w:val="294F73CB"/>
    <w:rsid w:val="29542427"/>
    <w:rsid w:val="29577B9A"/>
    <w:rsid w:val="29AE6167"/>
    <w:rsid w:val="29E07474"/>
    <w:rsid w:val="2A1A37BC"/>
    <w:rsid w:val="2A1A7927"/>
    <w:rsid w:val="2A503CAA"/>
    <w:rsid w:val="2A704106"/>
    <w:rsid w:val="2A910554"/>
    <w:rsid w:val="2A9960EE"/>
    <w:rsid w:val="2AAA6CF5"/>
    <w:rsid w:val="2ABC77C7"/>
    <w:rsid w:val="2AF433CE"/>
    <w:rsid w:val="2B07640C"/>
    <w:rsid w:val="2B3448FE"/>
    <w:rsid w:val="2B447133"/>
    <w:rsid w:val="2B6A6B46"/>
    <w:rsid w:val="2B92772B"/>
    <w:rsid w:val="2B986AD3"/>
    <w:rsid w:val="2BAE1BD6"/>
    <w:rsid w:val="2BD829A2"/>
    <w:rsid w:val="2BF46AAA"/>
    <w:rsid w:val="2BFC6581"/>
    <w:rsid w:val="2C02750D"/>
    <w:rsid w:val="2C03216A"/>
    <w:rsid w:val="2C1231CE"/>
    <w:rsid w:val="2C3E6AD7"/>
    <w:rsid w:val="2C646989"/>
    <w:rsid w:val="2CA91A51"/>
    <w:rsid w:val="2D33458D"/>
    <w:rsid w:val="2D565DD4"/>
    <w:rsid w:val="2D7B562D"/>
    <w:rsid w:val="2D7E7417"/>
    <w:rsid w:val="2D901E6E"/>
    <w:rsid w:val="2D921931"/>
    <w:rsid w:val="2DBD5435"/>
    <w:rsid w:val="2E037200"/>
    <w:rsid w:val="2E5E6C91"/>
    <w:rsid w:val="2E70178A"/>
    <w:rsid w:val="2E946E12"/>
    <w:rsid w:val="2EC62067"/>
    <w:rsid w:val="2EDE6C1C"/>
    <w:rsid w:val="2EE759DE"/>
    <w:rsid w:val="2EFC15F4"/>
    <w:rsid w:val="2F2510C1"/>
    <w:rsid w:val="2F763F0B"/>
    <w:rsid w:val="2F834A59"/>
    <w:rsid w:val="2FB732A9"/>
    <w:rsid w:val="2FD96D0A"/>
    <w:rsid w:val="2FFE75B0"/>
    <w:rsid w:val="3010255D"/>
    <w:rsid w:val="3030118C"/>
    <w:rsid w:val="303B2A7C"/>
    <w:rsid w:val="304629C1"/>
    <w:rsid w:val="305F1531"/>
    <w:rsid w:val="309349BA"/>
    <w:rsid w:val="30BB5E87"/>
    <w:rsid w:val="30BD45A0"/>
    <w:rsid w:val="30EB20A0"/>
    <w:rsid w:val="313308E4"/>
    <w:rsid w:val="31877B20"/>
    <w:rsid w:val="31934A64"/>
    <w:rsid w:val="31A60996"/>
    <w:rsid w:val="31D03AFA"/>
    <w:rsid w:val="31DE6C81"/>
    <w:rsid w:val="31E72A81"/>
    <w:rsid w:val="32573BF4"/>
    <w:rsid w:val="32602AE7"/>
    <w:rsid w:val="326817B1"/>
    <w:rsid w:val="32794C7B"/>
    <w:rsid w:val="328D59C7"/>
    <w:rsid w:val="328F5F13"/>
    <w:rsid w:val="32BE45C6"/>
    <w:rsid w:val="32ED1E5B"/>
    <w:rsid w:val="33237A4A"/>
    <w:rsid w:val="335D2DC8"/>
    <w:rsid w:val="33704543"/>
    <w:rsid w:val="339C1B36"/>
    <w:rsid w:val="33A54FE3"/>
    <w:rsid w:val="33AD5473"/>
    <w:rsid w:val="33B20535"/>
    <w:rsid w:val="33E06F2D"/>
    <w:rsid w:val="33E573CD"/>
    <w:rsid w:val="34603532"/>
    <w:rsid w:val="348960F1"/>
    <w:rsid w:val="34A44514"/>
    <w:rsid w:val="34D46C0B"/>
    <w:rsid w:val="350568F8"/>
    <w:rsid w:val="35141EC3"/>
    <w:rsid w:val="353912F7"/>
    <w:rsid w:val="353F1074"/>
    <w:rsid w:val="35674024"/>
    <w:rsid w:val="356E52E6"/>
    <w:rsid w:val="35846AFD"/>
    <w:rsid w:val="35A97418"/>
    <w:rsid w:val="35BC71D1"/>
    <w:rsid w:val="35BD45AD"/>
    <w:rsid w:val="35D801B5"/>
    <w:rsid w:val="35E749AF"/>
    <w:rsid w:val="35FA23B8"/>
    <w:rsid w:val="36006827"/>
    <w:rsid w:val="3605505A"/>
    <w:rsid w:val="3622132B"/>
    <w:rsid w:val="36734500"/>
    <w:rsid w:val="36816EC0"/>
    <w:rsid w:val="36C233F3"/>
    <w:rsid w:val="36CF347B"/>
    <w:rsid w:val="36DA3B00"/>
    <w:rsid w:val="37381826"/>
    <w:rsid w:val="373D2069"/>
    <w:rsid w:val="3741425D"/>
    <w:rsid w:val="37496807"/>
    <w:rsid w:val="3751506D"/>
    <w:rsid w:val="37586FFB"/>
    <w:rsid w:val="37753D3E"/>
    <w:rsid w:val="37C94A95"/>
    <w:rsid w:val="37F04BAD"/>
    <w:rsid w:val="3864096E"/>
    <w:rsid w:val="3884360E"/>
    <w:rsid w:val="38B7551A"/>
    <w:rsid w:val="38DE34AE"/>
    <w:rsid w:val="39123DC4"/>
    <w:rsid w:val="39204943"/>
    <w:rsid w:val="394805AA"/>
    <w:rsid w:val="395B4168"/>
    <w:rsid w:val="395E064D"/>
    <w:rsid w:val="396A3878"/>
    <w:rsid w:val="39730340"/>
    <w:rsid w:val="39FE2EB9"/>
    <w:rsid w:val="3A1A496A"/>
    <w:rsid w:val="3A265E2B"/>
    <w:rsid w:val="3A5A173C"/>
    <w:rsid w:val="3A616B00"/>
    <w:rsid w:val="3A79619C"/>
    <w:rsid w:val="3A854797"/>
    <w:rsid w:val="3A89704B"/>
    <w:rsid w:val="3AA339E4"/>
    <w:rsid w:val="3ABA78E3"/>
    <w:rsid w:val="3ACE50DE"/>
    <w:rsid w:val="3AEA7227"/>
    <w:rsid w:val="3AF960D0"/>
    <w:rsid w:val="3B124BE4"/>
    <w:rsid w:val="3B290F75"/>
    <w:rsid w:val="3B436ABE"/>
    <w:rsid w:val="3B500081"/>
    <w:rsid w:val="3B6F120F"/>
    <w:rsid w:val="3BB11E05"/>
    <w:rsid w:val="3BB617AD"/>
    <w:rsid w:val="3BE77818"/>
    <w:rsid w:val="3BF81CCC"/>
    <w:rsid w:val="3C5A46FB"/>
    <w:rsid w:val="3C8511FB"/>
    <w:rsid w:val="3C877A45"/>
    <w:rsid w:val="3C95497F"/>
    <w:rsid w:val="3CA74D8E"/>
    <w:rsid w:val="3CD131B4"/>
    <w:rsid w:val="3D093727"/>
    <w:rsid w:val="3D110C01"/>
    <w:rsid w:val="3D17581D"/>
    <w:rsid w:val="3D1E7CFD"/>
    <w:rsid w:val="3D6B3307"/>
    <w:rsid w:val="3D994080"/>
    <w:rsid w:val="3DAF5E45"/>
    <w:rsid w:val="3DC87766"/>
    <w:rsid w:val="3DFD2599"/>
    <w:rsid w:val="3E164BB3"/>
    <w:rsid w:val="3E5619B1"/>
    <w:rsid w:val="3E7F3BF5"/>
    <w:rsid w:val="3E93358C"/>
    <w:rsid w:val="3E9363BD"/>
    <w:rsid w:val="3EA365C7"/>
    <w:rsid w:val="3EB93C8F"/>
    <w:rsid w:val="3EF8614A"/>
    <w:rsid w:val="3F0A07EF"/>
    <w:rsid w:val="3F2A3D37"/>
    <w:rsid w:val="3F327AAA"/>
    <w:rsid w:val="3F786C1A"/>
    <w:rsid w:val="3FC47576"/>
    <w:rsid w:val="40647516"/>
    <w:rsid w:val="40711049"/>
    <w:rsid w:val="40907A7F"/>
    <w:rsid w:val="40B165B8"/>
    <w:rsid w:val="40CA5983"/>
    <w:rsid w:val="40F458B2"/>
    <w:rsid w:val="4187365B"/>
    <w:rsid w:val="41B525D9"/>
    <w:rsid w:val="41E14722"/>
    <w:rsid w:val="41ED2267"/>
    <w:rsid w:val="422745CD"/>
    <w:rsid w:val="42335A4D"/>
    <w:rsid w:val="42343098"/>
    <w:rsid w:val="423642F8"/>
    <w:rsid w:val="4243633A"/>
    <w:rsid w:val="42AF6075"/>
    <w:rsid w:val="42EE2468"/>
    <w:rsid w:val="439F3C0F"/>
    <w:rsid w:val="43AD411F"/>
    <w:rsid w:val="43B6738B"/>
    <w:rsid w:val="43C82E95"/>
    <w:rsid w:val="43DE3A1B"/>
    <w:rsid w:val="43F57FBC"/>
    <w:rsid w:val="440169C5"/>
    <w:rsid w:val="44112439"/>
    <w:rsid w:val="44150A88"/>
    <w:rsid w:val="444014B0"/>
    <w:rsid w:val="444E5DF2"/>
    <w:rsid w:val="4454372A"/>
    <w:rsid w:val="445A11E0"/>
    <w:rsid w:val="447C19F6"/>
    <w:rsid w:val="44821C14"/>
    <w:rsid w:val="449A71BD"/>
    <w:rsid w:val="44B7644A"/>
    <w:rsid w:val="44BA5A93"/>
    <w:rsid w:val="44E34449"/>
    <w:rsid w:val="44EF5BD8"/>
    <w:rsid w:val="458812F0"/>
    <w:rsid w:val="45BF2468"/>
    <w:rsid w:val="45D05E56"/>
    <w:rsid w:val="45F32A21"/>
    <w:rsid w:val="45FA1ADD"/>
    <w:rsid w:val="45FB623D"/>
    <w:rsid w:val="45FD48E8"/>
    <w:rsid w:val="460D4F2F"/>
    <w:rsid w:val="463F1984"/>
    <w:rsid w:val="46497064"/>
    <w:rsid w:val="464D3D1D"/>
    <w:rsid w:val="465367C1"/>
    <w:rsid w:val="46A3243A"/>
    <w:rsid w:val="46B4673D"/>
    <w:rsid w:val="47175A15"/>
    <w:rsid w:val="47243FC5"/>
    <w:rsid w:val="47253149"/>
    <w:rsid w:val="4730365B"/>
    <w:rsid w:val="474D71AF"/>
    <w:rsid w:val="476D4C31"/>
    <w:rsid w:val="47AE4F54"/>
    <w:rsid w:val="47B26ED6"/>
    <w:rsid w:val="47BB60B6"/>
    <w:rsid w:val="47BC2642"/>
    <w:rsid w:val="47BC742D"/>
    <w:rsid w:val="47C62C08"/>
    <w:rsid w:val="48036276"/>
    <w:rsid w:val="480456A3"/>
    <w:rsid w:val="48172FD6"/>
    <w:rsid w:val="483D0196"/>
    <w:rsid w:val="48683357"/>
    <w:rsid w:val="48A40B02"/>
    <w:rsid w:val="48C84676"/>
    <w:rsid w:val="48E7297F"/>
    <w:rsid w:val="497E03C5"/>
    <w:rsid w:val="498A0626"/>
    <w:rsid w:val="49B31F01"/>
    <w:rsid w:val="49E31E44"/>
    <w:rsid w:val="4A0F0210"/>
    <w:rsid w:val="4A397245"/>
    <w:rsid w:val="4A486590"/>
    <w:rsid w:val="4A4878B8"/>
    <w:rsid w:val="4ADB40F6"/>
    <w:rsid w:val="4AF4620A"/>
    <w:rsid w:val="4B5762F9"/>
    <w:rsid w:val="4B9D30D2"/>
    <w:rsid w:val="4BD269E1"/>
    <w:rsid w:val="4BDE621A"/>
    <w:rsid w:val="4C2D3B2D"/>
    <w:rsid w:val="4C364127"/>
    <w:rsid w:val="4C3659AB"/>
    <w:rsid w:val="4C424147"/>
    <w:rsid w:val="4C5503AE"/>
    <w:rsid w:val="4C7A100E"/>
    <w:rsid w:val="4CCC607D"/>
    <w:rsid w:val="4CDA4FAD"/>
    <w:rsid w:val="4D553FEE"/>
    <w:rsid w:val="4D6A2D6C"/>
    <w:rsid w:val="4D6A5E00"/>
    <w:rsid w:val="4D89219C"/>
    <w:rsid w:val="4DB72D50"/>
    <w:rsid w:val="4DCC6E16"/>
    <w:rsid w:val="4DD74B10"/>
    <w:rsid w:val="4E165AE9"/>
    <w:rsid w:val="4E2E30F5"/>
    <w:rsid w:val="4E3D19A5"/>
    <w:rsid w:val="4E5A55CF"/>
    <w:rsid w:val="4EAB29AA"/>
    <w:rsid w:val="4EB52644"/>
    <w:rsid w:val="4ECA3258"/>
    <w:rsid w:val="4EDC375D"/>
    <w:rsid w:val="4EFE7148"/>
    <w:rsid w:val="4EFF2D4F"/>
    <w:rsid w:val="4F2F1E5B"/>
    <w:rsid w:val="4F3E1F4F"/>
    <w:rsid w:val="4F5C2495"/>
    <w:rsid w:val="4F7D3E51"/>
    <w:rsid w:val="4F9F1839"/>
    <w:rsid w:val="4FB27E15"/>
    <w:rsid w:val="4FD652CE"/>
    <w:rsid w:val="4FF43893"/>
    <w:rsid w:val="4FFC0701"/>
    <w:rsid w:val="500B732D"/>
    <w:rsid w:val="502129E2"/>
    <w:rsid w:val="50223154"/>
    <w:rsid w:val="504F196C"/>
    <w:rsid w:val="50596376"/>
    <w:rsid w:val="507B246E"/>
    <w:rsid w:val="509348E1"/>
    <w:rsid w:val="50A40F99"/>
    <w:rsid w:val="50A803F8"/>
    <w:rsid w:val="50A82C45"/>
    <w:rsid w:val="50DD6C8F"/>
    <w:rsid w:val="50E96CBA"/>
    <w:rsid w:val="50FB1F4F"/>
    <w:rsid w:val="51344B61"/>
    <w:rsid w:val="517F7EE5"/>
    <w:rsid w:val="51A61200"/>
    <w:rsid w:val="51DB70A4"/>
    <w:rsid w:val="51EC597F"/>
    <w:rsid w:val="521C1CC0"/>
    <w:rsid w:val="52D6501B"/>
    <w:rsid w:val="52E0487E"/>
    <w:rsid w:val="531063B5"/>
    <w:rsid w:val="532C07E1"/>
    <w:rsid w:val="53302AF6"/>
    <w:rsid w:val="535D572A"/>
    <w:rsid w:val="53745C19"/>
    <w:rsid w:val="539E755C"/>
    <w:rsid w:val="53BA2E6A"/>
    <w:rsid w:val="53D02E0F"/>
    <w:rsid w:val="53DA347D"/>
    <w:rsid w:val="546C1BFB"/>
    <w:rsid w:val="54C700CA"/>
    <w:rsid w:val="54D04E35"/>
    <w:rsid w:val="54FD3D83"/>
    <w:rsid w:val="552365FF"/>
    <w:rsid w:val="5534209F"/>
    <w:rsid w:val="55E31F00"/>
    <w:rsid w:val="55F62113"/>
    <w:rsid w:val="560631C4"/>
    <w:rsid w:val="56066710"/>
    <w:rsid w:val="568A7075"/>
    <w:rsid w:val="56C65CB6"/>
    <w:rsid w:val="57225D4B"/>
    <w:rsid w:val="573452B1"/>
    <w:rsid w:val="574958D0"/>
    <w:rsid w:val="57922F81"/>
    <w:rsid w:val="57995E54"/>
    <w:rsid w:val="579B4280"/>
    <w:rsid w:val="57B72B55"/>
    <w:rsid w:val="57D24655"/>
    <w:rsid w:val="57F411BD"/>
    <w:rsid w:val="57FC62E0"/>
    <w:rsid w:val="581C7EED"/>
    <w:rsid w:val="583958F2"/>
    <w:rsid w:val="586E091C"/>
    <w:rsid w:val="59114FB0"/>
    <w:rsid w:val="591C7057"/>
    <w:rsid w:val="59360236"/>
    <w:rsid w:val="595A2FC0"/>
    <w:rsid w:val="596F208A"/>
    <w:rsid w:val="598B5285"/>
    <w:rsid w:val="598E154A"/>
    <w:rsid w:val="59943D33"/>
    <w:rsid w:val="59C854EC"/>
    <w:rsid w:val="59D7C726"/>
    <w:rsid w:val="5A8D4E35"/>
    <w:rsid w:val="5A956261"/>
    <w:rsid w:val="5AA61FA3"/>
    <w:rsid w:val="5AD05E8B"/>
    <w:rsid w:val="5AF735BF"/>
    <w:rsid w:val="5B0A6F22"/>
    <w:rsid w:val="5B3557D3"/>
    <w:rsid w:val="5B415905"/>
    <w:rsid w:val="5B4F1D6A"/>
    <w:rsid w:val="5B7538FB"/>
    <w:rsid w:val="5BB26D42"/>
    <w:rsid w:val="5BC87481"/>
    <w:rsid w:val="5BEC1896"/>
    <w:rsid w:val="5BF66A44"/>
    <w:rsid w:val="5BFD22F8"/>
    <w:rsid w:val="5C294FCF"/>
    <w:rsid w:val="5C395B2C"/>
    <w:rsid w:val="5C402BE9"/>
    <w:rsid w:val="5C4A7423"/>
    <w:rsid w:val="5C634D28"/>
    <w:rsid w:val="5CAF701E"/>
    <w:rsid w:val="5CCA7DBE"/>
    <w:rsid w:val="5CCF4EF4"/>
    <w:rsid w:val="5CE1461C"/>
    <w:rsid w:val="5CF3129B"/>
    <w:rsid w:val="5D3C5AFE"/>
    <w:rsid w:val="5D557FDC"/>
    <w:rsid w:val="5D5977A1"/>
    <w:rsid w:val="5D6529E0"/>
    <w:rsid w:val="5D683DFA"/>
    <w:rsid w:val="5D730D16"/>
    <w:rsid w:val="5D813956"/>
    <w:rsid w:val="5DE96DC5"/>
    <w:rsid w:val="5E621116"/>
    <w:rsid w:val="5F007AE8"/>
    <w:rsid w:val="5F173BBA"/>
    <w:rsid w:val="5F1773E2"/>
    <w:rsid w:val="5F3920C4"/>
    <w:rsid w:val="5F653C76"/>
    <w:rsid w:val="5F6851C9"/>
    <w:rsid w:val="5F9456CE"/>
    <w:rsid w:val="5FC3C743"/>
    <w:rsid w:val="5FCF0F2C"/>
    <w:rsid w:val="60007A33"/>
    <w:rsid w:val="604F1F4F"/>
    <w:rsid w:val="60891FB8"/>
    <w:rsid w:val="615312BD"/>
    <w:rsid w:val="61B52ACC"/>
    <w:rsid w:val="61B76481"/>
    <w:rsid w:val="61BE4CA2"/>
    <w:rsid w:val="61C144EF"/>
    <w:rsid w:val="61EF5CA7"/>
    <w:rsid w:val="62653DEC"/>
    <w:rsid w:val="62825E67"/>
    <w:rsid w:val="62B0066E"/>
    <w:rsid w:val="62D306D8"/>
    <w:rsid w:val="62D56227"/>
    <w:rsid w:val="62FE61CF"/>
    <w:rsid w:val="63130619"/>
    <w:rsid w:val="631702EA"/>
    <w:rsid w:val="6335263F"/>
    <w:rsid w:val="63444C19"/>
    <w:rsid w:val="637B556B"/>
    <w:rsid w:val="638062A7"/>
    <w:rsid w:val="638918DC"/>
    <w:rsid w:val="63E044E9"/>
    <w:rsid w:val="63F60F04"/>
    <w:rsid w:val="64010CCA"/>
    <w:rsid w:val="64221BDE"/>
    <w:rsid w:val="644C4E9D"/>
    <w:rsid w:val="6462226B"/>
    <w:rsid w:val="646A06AA"/>
    <w:rsid w:val="64CD3904"/>
    <w:rsid w:val="64F24E7B"/>
    <w:rsid w:val="64FB0BC1"/>
    <w:rsid w:val="6518294D"/>
    <w:rsid w:val="65523E64"/>
    <w:rsid w:val="655F2037"/>
    <w:rsid w:val="65B44CBB"/>
    <w:rsid w:val="65F47E30"/>
    <w:rsid w:val="65F64077"/>
    <w:rsid w:val="66737E1F"/>
    <w:rsid w:val="667F6BCD"/>
    <w:rsid w:val="66B3365D"/>
    <w:rsid w:val="66BC3533"/>
    <w:rsid w:val="66F00BB6"/>
    <w:rsid w:val="67325EBC"/>
    <w:rsid w:val="67C049A5"/>
    <w:rsid w:val="67D17024"/>
    <w:rsid w:val="67D43165"/>
    <w:rsid w:val="68496F76"/>
    <w:rsid w:val="685A0A24"/>
    <w:rsid w:val="687B19CC"/>
    <w:rsid w:val="687D28DF"/>
    <w:rsid w:val="68BB7BDF"/>
    <w:rsid w:val="68F26131"/>
    <w:rsid w:val="68F5471F"/>
    <w:rsid w:val="68FD6A66"/>
    <w:rsid w:val="691A577F"/>
    <w:rsid w:val="691D1340"/>
    <w:rsid w:val="69411461"/>
    <w:rsid w:val="69BE1314"/>
    <w:rsid w:val="69DC1DC9"/>
    <w:rsid w:val="6A9702D7"/>
    <w:rsid w:val="6A9B7548"/>
    <w:rsid w:val="6AB14A9B"/>
    <w:rsid w:val="6AB51ACE"/>
    <w:rsid w:val="6AD30431"/>
    <w:rsid w:val="6BCB4D1F"/>
    <w:rsid w:val="6BD66471"/>
    <w:rsid w:val="6C0A4FCF"/>
    <w:rsid w:val="6C5D4B33"/>
    <w:rsid w:val="6C6C7812"/>
    <w:rsid w:val="6C7F71A8"/>
    <w:rsid w:val="6C877103"/>
    <w:rsid w:val="6C8B2535"/>
    <w:rsid w:val="6CDA3E13"/>
    <w:rsid w:val="6CDF0B8D"/>
    <w:rsid w:val="6CED5998"/>
    <w:rsid w:val="6D36017B"/>
    <w:rsid w:val="6D41185B"/>
    <w:rsid w:val="6D68189B"/>
    <w:rsid w:val="6D8E3583"/>
    <w:rsid w:val="6DA13354"/>
    <w:rsid w:val="6DA51A62"/>
    <w:rsid w:val="6DEA61DD"/>
    <w:rsid w:val="6E162A0B"/>
    <w:rsid w:val="6E4303E2"/>
    <w:rsid w:val="6E736C5C"/>
    <w:rsid w:val="6E881964"/>
    <w:rsid w:val="6EAE534A"/>
    <w:rsid w:val="6EB62E3F"/>
    <w:rsid w:val="6EC96633"/>
    <w:rsid w:val="6ED56BB3"/>
    <w:rsid w:val="6EE21B09"/>
    <w:rsid w:val="6EFD27BB"/>
    <w:rsid w:val="6F195A84"/>
    <w:rsid w:val="6F394FE0"/>
    <w:rsid w:val="6F3C490B"/>
    <w:rsid w:val="6F7525DE"/>
    <w:rsid w:val="6F870C7F"/>
    <w:rsid w:val="6F896B35"/>
    <w:rsid w:val="6FB3662F"/>
    <w:rsid w:val="6FB76DCC"/>
    <w:rsid w:val="6FB87C60"/>
    <w:rsid w:val="6FEF1E82"/>
    <w:rsid w:val="703363CD"/>
    <w:rsid w:val="70403614"/>
    <w:rsid w:val="704D7B07"/>
    <w:rsid w:val="70526707"/>
    <w:rsid w:val="705951D4"/>
    <w:rsid w:val="70776132"/>
    <w:rsid w:val="70A42B50"/>
    <w:rsid w:val="70F459E5"/>
    <w:rsid w:val="70FBBB05"/>
    <w:rsid w:val="714C2760"/>
    <w:rsid w:val="715958C0"/>
    <w:rsid w:val="71724850"/>
    <w:rsid w:val="71BB5C01"/>
    <w:rsid w:val="726A4157"/>
    <w:rsid w:val="729C536F"/>
    <w:rsid w:val="72C866AD"/>
    <w:rsid w:val="72EB360C"/>
    <w:rsid w:val="72F91E5A"/>
    <w:rsid w:val="73595CC9"/>
    <w:rsid w:val="7363013D"/>
    <w:rsid w:val="73B20F58"/>
    <w:rsid w:val="73DE5ABA"/>
    <w:rsid w:val="74106464"/>
    <w:rsid w:val="74192080"/>
    <w:rsid w:val="74406A5A"/>
    <w:rsid w:val="74714932"/>
    <w:rsid w:val="74A40EEA"/>
    <w:rsid w:val="74F14D0B"/>
    <w:rsid w:val="75011284"/>
    <w:rsid w:val="75290D35"/>
    <w:rsid w:val="75494AA0"/>
    <w:rsid w:val="756D0357"/>
    <w:rsid w:val="7599654B"/>
    <w:rsid w:val="75FB31DA"/>
    <w:rsid w:val="75FE6CDF"/>
    <w:rsid w:val="761D03F8"/>
    <w:rsid w:val="7634639E"/>
    <w:rsid w:val="76473B19"/>
    <w:rsid w:val="764876C0"/>
    <w:rsid w:val="765416D8"/>
    <w:rsid w:val="76AA575B"/>
    <w:rsid w:val="76D11D7C"/>
    <w:rsid w:val="76D64744"/>
    <w:rsid w:val="76D9747D"/>
    <w:rsid w:val="76EA0DDC"/>
    <w:rsid w:val="77217962"/>
    <w:rsid w:val="77584D6C"/>
    <w:rsid w:val="77AB7836"/>
    <w:rsid w:val="77D634A0"/>
    <w:rsid w:val="77E16D9D"/>
    <w:rsid w:val="77E92A1D"/>
    <w:rsid w:val="77FC1EE6"/>
    <w:rsid w:val="780E0F3C"/>
    <w:rsid w:val="782C2983"/>
    <w:rsid w:val="78586D3E"/>
    <w:rsid w:val="78AF6E5B"/>
    <w:rsid w:val="78DC0B38"/>
    <w:rsid w:val="78FD74A2"/>
    <w:rsid w:val="790204EF"/>
    <w:rsid w:val="791D16EA"/>
    <w:rsid w:val="792E313C"/>
    <w:rsid w:val="794E17C5"/>
    <w:rsid w:val="7957435D"/>
    <w:rsid w:val="796D1D4C"/>
    <w:rsid w:val="7979459B"/>
    <w:rsid w:val="79835D9E"/>
    <w:rsid w:val="798B7D1C"/>
    <w:rsid w:val="79E71455"/>
    <w:rsid w:val="79FC4D4A"/>
    <w:rsid w:val="7A1F47E9"/>
    <w:rsid w:val="7A3E1C4A"/>
    <w:rsid w:val="7A77700D"/>
    <w:rsid w:val="7A9A6CED"/>
    <w:rsid w:val="7ABB17FC"/>
    <w:rsid w:val="7AD01CCF"/>
    <w:rsid w:val="7AD524BF"/>
    <w:rsid w:val="7AD87CFE"/>
    <w:rsid w:val="7AEA3D5B"/>
    <w:rsid w:val="7B0963C4"/>
    <w:rsid w:val="7B113552"/>
    <w:rsid w:val="7B1C6F24"/>
    <w:rsid w:val="7B251147"/>
    <w:rsid w:val="7B7037E0"/>
    <w:rsid w:val="7B851048"/>
    <w:rsid w:val="7B8F51A7"/>
    <w:rsid w:val="7BA57AFA"/>
    <w:rsid w:val="7BBB514D"/>
    <w:rsid w:val="7BC93B70"/>
    <w:rsid w:val="7BCA50EF"/>
    <w:rsid w:val="7BE6146F"/>
    <w:rsid w:val="7C446C14"/>
    <w:rsid w:val="7C8B686F"/>
    <w:rsid w:val="7CBE453C"/>
    <w:rsid w:val="7D16790E"/>
    <w:rsid w:val="7D556F17"/>
    <w:rsid w:val="7D6D3F6C"/>
    <w:rsid w:val="7D72325C"/>
    <w:rsid w:val="7D747504"/>
    <w:rsid w:val="7D7E4268"/>
    <w:rsid w:val="7D855D15"/>
    <w:rsid w:val="7D902533"/>
    <w:rsid w:val="7DA911B8"/>
    <w:rsid w:val="7DC15A9A"/>
    <w:rsid w:val="7DC918E1"/>
    <w:rsid w:val="7E1562E9"/>
    <w:rsid w:val="7E1D5ED5"/>
    <w:rsid w:val="7E4F4AE8"/>
    <w:rsid w:val="7E630D65"/>
    <w:rsid w:val="7E6B3C71"/>
    <w:rsid w:val="7E6C0EF6"/>
    <w:rsid w:val="7E7FD518"/>
    <w:rsid w:val="7E994945"/>
    <w:rsid w:val="7ED56104"/>
    <w:rsid w:val="7EDA1BAE"/>
    <w:rsid w:val="7F545965"/>
    <w:rsid w:val="7F9271A9"/>
    <w:rsid w:val="7FAB7FC1"/>
    <w:rsid w:val="7FEB592A"/>
    <w:rsid w:val="BEE6DE1F"/>
    <w:rsid w:val="D6BF0D8D"/>
    <w:rsid w:val="DABD1741"/>
    <w:rsid w:val="DB2B8EE7"/>
    <w:rsid w:val="E87FAF80"/>
    <w:rsid w:val="F9C83F38"/>
    <w:rsid w:val="FB7F37D4"/>
    <w:rsid w:val="FEDF17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qFormat="1" w:unhideWhenUsed="0" w:uiPriority="99" w:semiHidden="0" w:name="toc 1"/>
    <w:lsdException w:qFormat="1" w:unhideWhenUsed="0" w:uiPriority="99"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99"/>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6">
    <w:name w:val="heading 3"/>
    <w:basedOn w:val="1"/>
    <w:next w:val="1"/>
    <w:link w:val="59"/>
    <w:qFormat/>
    <w:uiPriority w:val="99"/>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7">
    <w:name w:val="heading 4"/>
    <w:basedOn w:val="1"/>
    <w:next w:val="1"/>
    <w:link w:val="60"/>
    <w:qFormat/>
    <w:uiPriority w:val="99"/>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9"/>
    <w:link w:val="61"/>
    <w:qFormat/>
    <w:uiPriority w:val="99"/>
    <w:pPr>
      <w:keepNext/>
      <w:keepLines/>
      <w:numPr>
        <w:ilvl w:val="4"/>
        <w:numId w:val="1"/>
      </w:numPr>
      <w:spacing w:before="280" w:after="290" w:line="376" w:lineRule="auto"/>
      <w:outlineLvl w:val="4"/>
    </w:pPr>
    <w:rPr>
      <w:b/>
      <w:bCs/>
      <w:sz w:val="28"/>
      <w:szCs w:val="28"/>
    </w:rPr>
  </w:style>
  <w:style w:type="paragraph" w:styleId="10">
    <w:name w:val="heading 6"/>
    <w:basedOn w:val="1"/>
    <w:next w:val="9"/>
    <w:link w:val="62"/>
    <w:qFormat/>
    <w:uiPriority w:val="99"/>
    <w:pPr>
      <w:keepNext/>
      <w:keepLines/>
      <w:numPr>
        <w:ilvl w:val="5"/>
        <w:numId w:val="1"/>
      </w:numPr>
      <w:spacing w:before="240" w:after="64" w:line="320" w:lineRule="auto"/>
      <w:outlineLvl w:val="5"/>
    </w:pPr>
    <w:rPr>
      <w:rFonts w:ascii="Cambria" w:hAnsi="Cambria"/>
      <w:b/>
      <w:bCs/>
      <w:sz w:val="24"/>
    </w:rPr>
  </w:style>
  <w:style w:type="paragraph" w:styleId="11">
    <w:name w:val="heading 7"/>
    <w:basedOn w:val="1"/>
    <w:next w:val="9"/>
    <w:link w:val="63"/>
    <w:qFormat/>
    <w:uiPriority w:val="99"/>
    <w:pPr>
      <w:keepNext/>
      <w:keepLines/>
      <w:numPr>
        <w:ilvl w:val="6"/>
        <w:numId w:val="1"/>
      </w:numPr>
      <w:spacing w:before="240" w:after="64" w:line="320" w:lineRule="auto"/>
      <w:outlineLvl w:val="6"/>
    </w:pPr>
    <w:rPr>
      <w:b/>
      <w:bCs/>
      <w:sz w:val="24"/>
    </w:rPr>
  </w:style>
  <w:style w:type="paragraph" w:styleId="12">
    <w:name w:val="heading 8"/>
    <w:basedOn w:val="1"/>
    <w:next w:val="9"/>
    <w:link w:val="64"/>
    <w:qFormat/>
    <w:uiPriority w:val="99"/>
    <w:pPr>
      <w:keepNext/>
      <w:keepLines/>
      <w:numPr>
        <w:ilvl w:val="7"/>
        <w:numId w:val="1"/>
      </w:numPr>
      <w:spacing w:before="240" w:after="64" w:line="320" w:lineRule="auto"/>
      <w:outlineLvl w:val="7"/>
    </w:pPr>
    <w:rPr>
      <w:rFonts w:ascii="Cambria" w:hAnsi="Cambria"/>
      <w:sz w:val="24"/>
    </w:rPr>
  </w:style>
  <w:style w:type="paragraph" w:styleId="13">
    <w:name w:val="heading 9"/>
    <w:basedOn w:val="1"/>
    <w:next w:val="9"/>
    <w:link w:val="65"/>
    <w:qFormat/>
    <w:uiPriority w:val="99"/>
    <w:pPr>
      <w:keepNext/>
      <w:keepLines/>
      <w:numPr>
        <w:ilvl w:val="8"/>
        <w:numId w:val="1"/>
      </w:numPr>
      <w:spacing w:before="240" w:after="64" w:line="320" w:lineRule="auto"/>
      <w:outlineLvl w:val="8"/>
    </w:pPr>
    <w:rPr>
      <w:rFonts w:ascii="Cambria" w:hAnsi="Cambria"/>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13"/>
    <w:qFormat/>
    <w:uiPriority w:val="99"/>
    <w:pPr>
      <w:spacing w:line="480" w:lineRule="auto"/>
    </w:pPr>
    <w:rPr>
      <w:sz w:val="24"/>
      <w:szCs w:val="20"/>
    </w:rPr>
  </w:style>
  <w:style w:type="paragraph" w:styleId="3">
    <w:name w:val="Date"/>
    <w:basedOn w:val="1"/>
    <w:next w:val="1"/>
    <w:link w:val="79"/>
    <w:qFormat/>
    <w:uiPriority w:val="99"/>
    <w:rPr>
      <w:sz w:val="24"/>
      <w:szCs w:val="20"/>
    </w:rPr>
  </w:style>
  <w:style w:type="paragraph" w:styleId="9">
    <w:name w:val="Normal Indent"/>
    <w:basedOn w:val="1"/>
    <w:next w:val="1"/>
    <w:link w:val="97"/>
    <w:qFormat/>
    <w:uiPriority w:val="99"/>
    <w:pPr>
      <w:ind w:firstLine="420" w:firstLineChars="200"/>
    </w:pPr>
    <w:rPr>
      <w:sz w:val="24"/>
      <w:szCs w:val="20"/>
    </w:rPr>
  </w:style>
  <w:style w:type="paragraph" w:styleId="14">
    <w:name w:val="toc 7"/>
    <w:basedOn w:val="1"/>
    <w:next w:val="1"/>
    <w:unhideWhenUsed/>
    <w:qFormat/>
    <w:locked/>
    <w:uiPriority w:val="39"/>
    <w:pPr>
      <w:ind w:left="2520" w:leftChars="1200"/>
    </w:pPr>
  </w:style>
  <w:style w:type="paragraph" w:styleId="15">
    <w:name w:val="annotation text"/>
    <w:basedOn w:val="1"/>
    <w:link w:val="101"/>
    <w:qFormat/>
    <w:uiPriority w:val="99"/>
    <w:pPr>
      <w:jc w:val="left"/>
    </w:pPr>
    <w:rPr>
      <w:sz w:val="24"/>
      <w:szCs w:val="20"/>
    </w:rPr>
  </w:style>
  <w:style w:type="paragraph" w:styleId="16">
    <w:name w:val="Body Text Indent"/>
    <w:basedOn w:val="1"/>
    <w:link w:val="109"/>
    <w:qFormat/>
    <w:uiPriority w:val="99"/>
    <w:pPr>
      <w:spacing w:line="400" w:lineRule="exact"/>
      <w:ind w:left="360"/>
    </w:pPr>
    <w:rPr>
      <w:rFonts w:ascii="华文中宋" w:hAnsi="华文中宋" w:eastAsia="华文中宋"/>
      <w:color w:val="FF6600"/>
      <w:sz w:val="24"/>
      <w:szCs w:val="20"/>
    </w:rPr>
  </w:style>
  <w:style w:type="paragraph" w:styleId="17">
    <w:name w:val="Block Text"/>
    <w:basedOn w:val="1"/>
    <w:unhideWhenUsed/>
    <w:qFormat/>
    <w:locked/>
    <w:uiPriority w:val="99"/>
    <w:pPr>
      <w:spacing w:after="120"/>
      <w:ind w:left="1440" w:leftChars="700" w:right="700" w:rightChars="700"/>
    </w:pPr>
  </w:style>
  <w:style w:type="paragraph" w:styleId="18">
    <w:name w:val="toc 5"/>
    <w:basedOn w:val="1"/>
    <w:next w:val="1"/>
    <w:unhideWhenUsed/>
    <w:qFormat/>
    <w:locked/>
    <w:uiPriority w:val="39"/>
    <w:pPr>
      <w:ind w:left="1680" w:leftChars="800"/>
    </w:pPr>
  </w:style>
  <w:style w:type="paragraph" w:styleId="19">
    <w:name w:val="toc 3"/>
    <w:basedOn w:val="1"/>
    <w:next w:val="1"/>
    <w:unhideWhenUsed/>
    <w:qFormat/>
    <w:locked/>
    <w:uiPriority w:val="39"/>
    <w:pPr>
      <w:ind w:left="840" w:leftChars="400"/>
    </w:pPr>
  </w:style>
  <w:style w:type="paragraph" w:styleId="20">
    <w:name w:val="Plain Text"/>
    <w:basedOn w:val="1"/>
    <w:next w:val="1"/>
    <w:link w:val="80"/>
    <w:qFormat/>
    <w:uiPriority w:val="99"/>
    <w:rPr>
      <w:rFonts w:ascii="宋体" w:hAnsi="Courier New"/>
      <w:szCs w:val="20"/>
    </w:rPr>
  </w:style>
  <w:style w:type="paragraph" w:styleId="21">
    <w:name w:val="toc 8"/>
    <w:basedOn w:val="1"/>
    <w:next w:val="1"/>
    <w:unhideWhenUsed/>
    <w:qFormat/>
    <w:locked/>
    <w:uiPriority w:val="39"/>
    <w:pPr>
      <w:ind w:left="2940" w:leftChars="1400"/>
    </w:pPr>
  </w:style>
  <w:style w:type="paragraph" w:styleId="22">
    <w:name w:val="Body Text Indent 2"/>
    <w:basedOn w:val="1"/>
    <w:link w:val="91"/>
    <w:qFormat/>
    <w:uiPriority w:val="99"/>
    <w:pPr>
      <w:spacing w:before="240" w:line="560" w:lineRule="exact"/>
      <w:ind w:firstLine="480" w:firstLineChars="200"/>
    </w:pPr>
    <w:rPr>
      <w:sz w:val="24"/>
      <w:szCs w:val="20"/>
    </w:rPr>
  </w:style>
  <w:style w:type="paragraph" w:styleId="23">
    <w:name w:val="Balloon Text"/>
    <w:basedOn w:val="1"/>
    <w:link w:val="93"/>
    <w:semiHidden/>
    <w:qFormat/>
    <w:uiPriority w:val="99"/>
    <w:rPr>
      <w:sz w:val="2"/>
      <w:szCs w:val="20"/>
    </w:rPr>
  </w:style>
  <w:style w:type="paragraph" w:styleId="24">
    <w:name w:val="footer"/>
    <w:basedOn w:val="1"/>
    <w:next w:val="25"/>
    <w:link w:val="108"/>
    <w:qFormat/>
    <w:uiPriority w:val="99"/>
    <w:pPr>
      <w:tabs>
        <w:tab w:val="center" w:pos="4153"/>
        <w:tab w:val="right" w:pos="8306"/>
      </w:tabs>
      <w:snapToGrid w:val="0"/>
      <w:jc w:val="left"/>
    </w:pPr>
    <w:rPr>
      <w:sz w:val="18"/>
      <w:szCs w:val="20"/>
    </w:rPr>
  </w:style>
  <w:style w:type="paragraph" w:customStyle="1" w:styleId="25">
    <w:name w:val="样式 宋体 小四1 Char"/>
    <w:basedOn w:val="1"/>
    <w:qFormat/>
    <w:uiPriority w:val="0"/>
    <w:pPr>
      <w:spacing w:beforeAutospacing="1" w:afterAutospacing="1" w:line="300" w:lineRule="auto"/>
    </w:pPr>
    <w:rPr>
      <w:rFonts w:ascii="宋体" w:hAnsi="宋体"/>
      <w:szCs w:val="21"/>
    </w:rPr>
  </w:style>
  <w:style w:type="paragraph" w:styleId="26">
    <w:name w:val="header"/>
    <w:basedOn w:val="1"/>
    <w:link w:val="85"/>
    <w:qFormat/>
    <w:uiPriority w:val="99"/>
    <w:pPr>
      <w:pBdr>
        <w:bottom w:val="single" w:color="auto" w:sz="6" w:space="1"/>
      </w:pBdr>
      <w:tabs>
        <w:tab w:val="center" w:pos="4153"/>
        <w:tab w:val="right" w:pos="8306"/>
      </w:tabs>
      <w:snapToGrid w:val="0"/>
      <w:jc w:val="center"/>
    </w:pPr>
    <w:rPr>
      <w:sz w:val="18"/>
      <w:szCs w:val="20"/>
    </w:rPr>
  </w:style>
  <w:style w:type="paragraph" w:styleId="27">
    <w:name w:val="toc 1"/>
    <w:basedOn w:val="1"/>
    <w:next w:val="1"/>
    <w:qFormat/>
    <w:uiPriority w:val="99"/>
  </w:style>
  <w:style w:type="paragraph" w:styleId="28">
    <w:name w:val="toc 4"/>
    <w:basedOn w:val="1"/>
    <w:next w:val="1"/>
    <w:unhideWhenUsed/>
    <w:qFormat/>
    <w:locked/>
    <w:uiPriority w:val="39"/>
    <w:pPr>
      <w:ind w:left="1260" w:leftChars="600"/>
    </w:pPr>
  </w:style>
  <w:style w:type="paragraph" w:styleId="29">
    <w:name w:val="toc 6"/>
    <w:basedOn w:val="1"/>
    <w:next w:val="1"/>
    <w:unhideWhenUsed/>
    <w:qFormat/>
    <w:locked/>
    <w:uiPriority w:val="39"/>
    <w:pPr>
      <w:ind w:left="2100" w:leftChars="1000"/>
    </w:pPr>
  </w:style>
  <w:style w:type="paragraph" w:styleId="30">
    <w:name w:val="Body Text Indent 3"/>
    <w:basedOn w:val="1"/>
    <w:link w:val="110"/>
    <w:qFormat/>
    <w:uiPriority w:val="99"/>
    <w:pPr>
      <w:spacing w:after="120"/>
      <w:ind w:left="420" w:leftChars="200"/>
    </w:pPr>
    <w:rPr>
      <w:sz w:val="16"/>
      <w:szCs w:val="20"/>
    </w:rPr>
  </w:style>
  <w:style w:type="paragraph" w:styleId="31">
    <w:name w:val="index 9"/>
    <w:basedOn w:val="1"/>
    <w:next w:val="1"/>
    <w:qFormat/>
    <w:locked/>
    <w:uiPriority w:val="0"/>
    <w:pPr>
      <w:widowControl/>
      <w:overflowPunct w:val="0"/>
      <w:autoSpaceDE w:val="0"/>
      <w:autoSpaceDN w:val="0"/>
      <w:adjustRightInd w:val="0"/>
      <w:spacing w:line="0" w:lineRule="atLeast"/>
      <w:ind w:left="1890" w:hanging="210"/>
      <w:jc w:val="left"/>
      <w:textAlignment w:val="baseline"/>
    </w:pPr>
    <w:rPr>
      <w:rFonts w:ascii="宋体"/>
      <w:kern w:val="0"/>
      <w:sz w:val="34"/>
      <w:szCs w:val="20"/>
    </w:rPr>
  </w:style>
  <w:style w:type="paragraph" w:styleId="32">
    <w:name w:val="toc 2"/>
    <w:basedOn w:val="1"/>
    <w:next w:val="1"/>
    <w:semiHidden/>
    <w:qFormat/>
    <w:uiPriority w:val="99"/>
    <w:pPr>
      <w:ind w:left="420" w:leftChars="200"/>
    </w:pPr>
  </w:style>
  <w:style w:type="paragraph" w:styleId="33">
    <w:name w:val="toc 9"/>
    <w:basedOn w:val="1"/>
    <w:next w:val="1"/>
    <w:unhideWhenUsed/>
    <w:qFormat/>
    <w:locked/>
    <w:uiPriority w:val="39"/>
    <w:pPr>
      <w:ind w:left="3360" w:leftChars="1600"/>
    </w:pPr>
  </w:style>
  <w:style w:type="paragraph" w:styleId="34">
    <w:name w:val="Message Header"/>
    <w:basedOn w:val="1"/>
    <w:next w:val="17"/>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5">
    <w:name w:val="Normal (Web)"/>
    <w:basedOn w:val="1"/>
    <w:qFormat/>
    <w:uiPriority w:val="99"/>
    <w:pPr>
      <w:widowControl/>
      <w:spacing w:before="100" w:beforeAutospacing="1" w:after="100" w:afterAutospacing="1"/>
      <w:jc w:val="left"/>
    </w:pPr>
    <w:rPr>
      <w:rFonts w:ascii="&amp;#23435;&amp;#20307;" w:hAnsi="&amp;#23435;&amp;#20307;"/>
      <w:kern w:val="0"/>
      <w:sz w:val="18"/>
      <w:szCs w:val="18"/>
    </w:rPr>
  </w:style>
  <w:style w:type="paragraph" w:styleId="36">
    <w:name w:val="Title"/>
    <w:basedOn w:val="1"/>
    <w:next w:val="1"/>
    <w:link w:val="84"/>
    <w:qFormat/>
    <w:uiPriority w:val="99"/>
    <w:pPr>
      <w:jc w:val="center"/>
    </w:pPr>
    <w:rPr>
      <w:rFonts w:ascii="Calibri" w:hAnsi="Calibri"/>
      <w:b/>
      <w:sz w:val="32"/>
      <w:szCs w:val="20"/>
    </w:rPr>
  </w:style>
  <w:style w:type="paragraph" w:styleId="37">
    <w:name w:val="annotation subject"/>
    <w:basedOn w:val="15"/>
    <w:next w:val="15"/>
    <w:link w:val="82"/>
    <w:qFormat/>
    <w:uiPriority w:val="99"/>
    <w:rPr>
      <w:b/>
    </w:rPr>
  </w:style>
  <w:style w:type="paragraph" w:styleId="38">
    <w:name w:val="Body Text First Indent 2"/>
    <w:basedOn w:val="16"/>
    <w:link w:val="75"/>
    <w:qFormat/>
    <w:uiPriority w:val="99"/>
    <w:pPr>
      <w:ind w:firstLine="420" w:firstLineChars="200"/>
    </w:pPr>
  </w:style>
  <w:style w:type="table" w:styleId="40">
    <w:name w:val="Table Grid"/>
    <w:basedOn w:val="3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locked/>
    <w:uiPriority w:val="99"/>
    <w:rPr>
      <w:rFonts w:cs="Times New Roman"/>
      <w:color w:val="000000"/>
      <w:sz w:val="18"/>
      <w:szCs w:val="18"/>
      <w:u w:val="none"/>
    </w:rPr>
  </w:style>
  <w:style w:type="character" w:styleId="45">
    <w:name w:val="Emphasis"/>
    <w:basedOn w:val="41"/>
    <w:qFormat/>
    <w:uiPriority w:val="99"/>
    <w:rPr>
      <w:rFonts w:cs="Times New Roman"/>
      <w:color w:val="CC0000"/>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338DE6"/>
      <w:u w:val="none"/>
    </w:rPr>
  </w:style>
  <w:style w:type="character" w:styleId="50">
    <w:name w:val="HTML Code"/>
    <w:basedOn w:val="41"/>
    <w:qFormat/>
    <w:uiPriority w:val="99"/>
    <w:rPr>
      <w:rFonts w:ascii="monospace" w:hAnsi="monospace" w:cs="Times New Roman"/>
      <w:sz w:val="21"/>
    </w:rPr>
  </w:style>
  <w:style w:type="character" w:styleId="51">
    <w:name w:val="annotation reference"/>
    <w:basedOn w:val="41"/>
    <w:qFormat/>
    <w:uiPriority w:val="99"/>
    <w:rPr>
      <w:rFonts w:cs="Times New Roman"/>
      <w:sz w:val="21"/>
    </w:rPr>
  </w:style>
  <w:style w:type="character" w:styleId="52">
    <w:name w:val="HTML Cite"/>
    <w:basedOn w:val="41"/>
    <w:qFormat/>
    <w:uiPriority w:val="99"/>
    <w:rPr>
      <w:rFonts w:cs="Times New Roman"/>
    </w:rPr>
  </w:style>
  <w:style w:type="character" w:styleId="53">
    <w:name w:val="HTML Keyboard"/>
    <w:basedOn w:val="41"/>
    <w:qFormat/>
    <w:uiPriority w:val="99"/>
    <w:rPr>
      <w:rFonts w:ascii="monospace" w:hAnsi="monospace" w:cs="Times New Roman"/>
      <w:sz w:val="21"/>
    </w:rPr>
  </w:style>
  <w:style w:type="character" w:styleId="54">
    <w:name w:val="HTML Sample"/>
    <w:basedOn w:val="41"/>
    <w:qFormat/>
    <w:uiPriority w:val="99"/>
    <w:rPr>
      <w:rFonts w:ascii="monospace" w:hAnsi="monospace" w:cs="Times New Roman"/>
      <w:sz w:val="21"/>
    </w:rPr>
  </w:style>
  <w:style w:type="paragraph" w:customStyle="1" w:styleId="55">
    <w:name w:val="Default"/>
    <w:basedOn w:val="36"/>
    <w:next w:val="4"/>
    <w:qFormat/>
    <w:uiPriority w:val="99"/>
    <w:pPr>
      <w:widowControl w:val="0"/>
      <w:autoSpaceDE w:val="0"/>
      <w:autoSpaceDN w:val="0"/>
      <w:adjustRightInd w:val="0"/>
      <w:spacing w:line="360" w:lineRule="auto"/>
      <w:jc w:val="both"/>
    </w:pPr>
    <w:rPr>
      <w:rFonts w:ascii="Univers LT Std" w:hAnsi="Times New Roman" w:eastAsia="Univers LT Std" w:cs="Times New Roman"/>
      <w:color w:val="000000"/>
      <w:sz w:val="24"/>
      <w:szCs w:val="24"/>
      <w:lang w:val="en-US" w:eastAsia="zh-CN" w:bidi="ar-SA"/>
    </w:rPr>
  </w:style>
  <w:style w:type="paragraph" w:customStyle="1" w:styleId="56">
    <w:name w:val="TOC 标题1"/>
    <w:basedOn w:val="4"/>
    <w:next w:val="1"/>
    <w:qFormat/>
    <w:uiPriority w:val="99"/>
    <w:pPr>
      <w:widowControl/>
      <w:spacing w:before="240" w:after="0" w:line="259" w:lineRule="auto"/>
      <w:jc w:val="left"/>
      <w:outlineLvl w:val="9"/>
    </w:pPr>
    <w:rPr>
      <w:rFonts w:ascii="Calibri Light" w:hAnsi="Calibri Light"/>
      <w:color w:val="2E74B5"/>
      <w:kern w:val="0"/>
      <w:sz w:val="32"/>
      <w:szCs w:val="32"/>
    </w:rPr>
  </w:style>
  <w:style w:type="character" w:customStyle="1" w:styleId="57">
    <w:name w:val="标题 1 Char"/>
    <w:basedOn w:val="41"/>
    <w:link w:val="4"/>
    <w:qFormat/>
    <w:locked/>
    <w:uiPriority w:val="99"/>
    <w:rPr>
      <w:rFonts w:ascii="Calibri" w:hAnsi="Calibri" w:cs="Times New Roman"/>
      <w:b/>
      <w:kern w:val="44"/>
      <w:sz w:val="44"/>
    </w:rPr>
  </w:style>
  <w:style w:type="character" w:customStyle="1" w:styleId="58">
    <w:name w:val="标题 2 Char"/>
    <w:basedOn w:val="41"/>
    <w:link w:val="5"/>
    <w:qFormat/>
    <w:locked/>
    <w:uiPriority w:val="99"/>
    <w:rPr>
      <w:rFonts w:ascii="Arial" w:hAnsi="Arial" w:eastAsia="黑体" w:cs="Times New Roman"/>
      <w:b/>
      <w:sz w:val="30"/>
    </w:rPr>
  </w:style>
  <w:style w:type="character" w:customStyle="1" w:styleId="59">
    <w:name w:val="标题 3 Char"/>
    <w:basedOn w:val="41"/>
    <w:link w:val="6"/>
    <w:qFormat/>
    <w:locked/>
    <w:uiPriority w:val="99"/>
    <w:rPr>
      <w:rFonts w:cs="Times New Roman"/>
      <w:b/>
      <w:sz w:val="21"/>
    </w:rPr>
  </w:style>
  <w:style w:type="character" w:customStyle="1" w:styleId="60">
    <w:name w:val="标题 4 Char"/>
    <w:basedOn w:val="41"/>
    <w:link w:val="7"/>
    <w:semiHidden/>
    <w:qFormat/>
    <w:locked/>
    <w:uiPriority w:val="99"/>
    <w:rPr>
      <w:rFonts w:ascii="Cambria" w:hAnsi="Cambria" w:eastAsia="宋体" w:cs="Times New Roman"/>
      <w:b/>
      <w:kern w:val="2"/>
      <w:sz w:val="28"/>
    </w:rPr>
  </w:style>
  <w:style w:type="character" w:customStyle="1" w:styleId="61">
    <w:name w:val="标题 5 Char"/>
    <w:basedOn w:val="41"/>
    <w:link w:val="8"/>
    <w:semiHidden/>
    <w:qFormat/>
    <w:locked/>
    <w:uiPriority w:val="99"/>
    <w:rPr>
      <w:rFonts w:cs="Times New Roman"/>
      <w:b/>
      <w:kern w:val="2"/>
      <w:sz w:val="28"/>
    </w:rPr>
  </w:style>
  <w:style w:type="character" w:customStyle="1" w:styleId="62">
    <w:name w:val="标题 6 Char"/>
    <w:basedOn w:val="41"/>
    <w:link w:val="10"/>
    <w:semiHidden/>
    <w:qFormat/>
    <w:locked/>
    <w:uiPriority w:val="99"/>
    <w:rPr>
      <w:rFonts w:ascii="Cambria" w:hAnsi="Cambria" w:eastAsia="宋体" w:cs="Times New Roman"/>
      <w:b/>
      <w:kern w:val="2"/>
      <w:sz w:val="24"/>
    </w:rPr>
  </w:style>
  <w:style w:type="character" w:customStyle="1" w:styleId="63">
    <w:name w:val="标题 7 Char"/>
    <w:basedOn w:val="41"/>
    <w:link w:val="11"/>
    <w:semiHidden/>
    <w:qFormat/>
    <w:locked/>
    <w:uiPriority w:val="99"/>
    <w:rPr>
      <w:rFonts w:cs="Times New Roman"/>
      <w:b/>
      <w:kern w:val="2"/>
      <w:sz w:val="24"/>
    </w:rPr>
  </w:style>
  <w:style w:type="character" w:customStyle="1" w:styleId="64">
    <w:name w:val="标题 8 Char"/>
    <w:basedOn w:val="41"/>
    <w:link w:val="12"/>
    <w:semiHidden/>
    <w:qFormat/>
    <w:locked/>
    <w:uiPriority w:val="99"/>
    <w:rPr>
      <w:rFonts w:ascii="Cambria" w:hAnsi="Cambria" w:eastAsia="宋体" w:cs="Times New Roman"/>
      <w:kern w:val="2"/>
      <w:sz w:val="24"/>
    </w:rPr>
  </w:style>
  <w:style w:type="character" w:customStyle="1" w:styleId="65">
    <w:name w:val="标题 9 Char"/>
    <w:basedOn w:val="41"/>
    <w:link w:val="13"/>
    <w:semiHidden/>
    <w:qFormat/>
    <w:locked/>
    <w:uiPriority w:val="99"/>
    <w:rPr>
      <w:rFonts w:ascii="Cambria" w:hAnsi="Cambria" w:eastAsia="宋体" w:cs="Times New Roman"/>
      <w:kern w:val="2"/>
      <w:sz w:val="21"/>
    </w:rPr>
  </w:style>
  <w:style w:type="character" w:customStyle="1" w:styleId="66">
    <w:name w:val="Comment Text Char"/>
    <w:basedOn w:val="41"/>
    <w:qFormat/>
    <w:locked/>
    <w:uiPriority w:val="99"/>
    <w:rPr>
      <w:kern w:val="2"/>
      <w:sz w:val="24"/>
    </w:rPr>
  </w:style>
  <w:style w:type="character" w:customStyle="1" w:styleId="67">
    <w:name w:val="Comment Subject Char"/>
    <w:basedOn w:val="66"/>
    <w:qFormat/>
    <w:locked/>
    <w:uiPriority w:val="99"/>
    <w:rPr>
      <w:b/>
      <w:kern w:val="2"/>
      <w:sz w:val="24"/>
    </w:rPr>
  </w:style>
  <w:style w:type="character" w:customStyle="1" w:styleId="68">
    <w:name w:val="Body Text Char"/>
    <w:basedOn w:val="41"/>
    <w:qFormat/>
    <w:locked/>
    <w:uiPriority w:val="99"/>
    <w:rPr>
      <w:kern w:val="2"/>
      <w:sz w:val="24"/>
    </w:rPr>
  </w:style>
  <w:style w:type="character" w:customStyle="1" w:styleId="69">
    <w:name w:val="Body Text Indent Char"/>
    <w:basedOn w:val="41"/>
    <w:qFormat/>
    <w:locked/>
    <w:uiPriority w:val="99"/>
    <w:rPr>
      <w:rFonts w:ascii="华文中宋" w:hAnsi="华文中宋" w:eastAsia="华文中宋"/>
      <w:color w:val="FF6600"/>
      <w:kern w:val="2"/>
      <w:sz w:val="24"/>
    </w:rPr>
  </w:style>
  <w:style w:type="character" w:customStyle="1" w:styleId="70">
    <w:name w:val="Plain Text Char"/>
    <w:basedOn w:val="41"/>
    <w:qFormat/>
    <w:locked/>
    <w:uiPriority w:val="99"/>
    <w:rPr>
      <w:rFonts w:ascii="宋体" w:hAnsi="Courier New"/>
      <w:kern w:val="2"/>
      <w:sz w:val="21"/>
    </w:rPr>
  </w:style>
  <w:style w:type="character" w:customStyle="1" w:styleId="71">
    <w:name w:val="Date Char"/>
    <w:basedOn w:val="41"/>
    <w:semiHidden/>
    <w:qFormat/>
    <w:locked/>
    <w:uiPriority w:val="99"/>
    <w:rPr>
      <w:kern w:val="2"/>
      <w:sz w:val="24"/>
    </w:rPr>
  </w:style>
  <w:style w:type="character" w:customStyle="1" w:styleId="72">
    <w:name w:val="Body Text Indent 2 Char"/>
    <w:basedOn w:val="41"/>
    <w:semiHidden/>
    <w:qFormat/>
    <w:locked/>
    <w:uiPriority w:val="99"/>
    <w:rPr>
      <w:kern w:val="2"/>
      <w:sz w:val="24"/>
    </w:rPr>
  </w:style>
  <w:style w:type="character" w:customStyle="1" w:styleId="73">
    <w:name w:val="Balloon Text Char"/>
    <w:basedOn w:val="41"/>
    <w:semiHidden/>
    <w:qFormat/>
    <w:locked/>
    <w:uiPriority w:val="99"/>
    <w:rPr>
      <w:rFonts w:ascii="Calibri" w:hAnsi="Calibri" w:eastAsia="宋体"/>
      <w:kern w:val="2"/>
      <w:sz w:val="18"/>
      <w:lang w:val="en-US" w:eastAsia="zh-CN"/>
    </w:rPr>
  </w:style>
  <w:style w:type="character" w:customStyle="1" w:styleId="74">
    <w:name w:val="Footer Char"/>
    <w:basedOn w:val="41"/>
    <w:semiHidden/>
    <w:qFormat/>
    <w:locked/>
    <w:uiPriority w:val="99"/>
    <w:rPr>
      <w:rFonts w:ascii="Calibri" w:hAnsi="Calibri" w:eastAsia="宋体"/>
      <w:kern w:val="2"/>
      <w:sz w:val="18"/>
      <w:lang w:val="en-US" w:eastAsia="zh-CN"/>
    </w:rPr>
  </w:style>
  <w:style w:type="character" w:customStyle="1" w:styleId="75">
    <w:name w:val="正文首行缩进 2 Char"/>
    <w:basedOn w:val="69"/>
    <w:link w:val="38"/>
    <w:semiHidden/>
    <w:qFormat/>
    <w:uiPriority w:val="99"/>
    <w:rPr>
      <w:rFonts w:ascii="华文中宋" w:hAnsi="华文中宋" w:eastAsia="华文中宋"/>
      <w:color w:val="FF6600"/>
      <w:kern w:val="2"/>
      <w:sz w:val="24"/>
      <w:szCs w:val="24"/>
    </w:rPr>
  </w:style>
  <w:style w:type="character" w:customStyle="1" w:styleId="76">
    <w:name w:val="Header Char"/>
    <w:basedOn w:val="41"/>
    <w:semiHidden/>
    <w:qFormat/>
    <w:locked/>
    <w:uiPriority w:val="99"/>
    <w:rPr>
      <w:rFonts w:ascii="Calibri" w:hAnsi="Calibri" w:eastAsia="宋体"/>
      <w:kern w:val="2"/>
      <w:sz w:val="18"/>
      <w:lang w:val="en-US" w:eastAsia="zh-CN"/>
    </w:rPr>
  </w:style>
  <w:style w:type="character" w:customStyle="1" w:styleId="77">
    <w:name w:val="Body Text Indent 3 Char"/>
    <w:basedOn w:val="41"/>
    <w:semiHidden/>
    <w:qFormat/>
    <w:locked/>
    <w:uiPriority w:val="99"/>
    <w:rPr>
      <w:kern w:val="2"/>
      <w:sz w:val="16"/>
    </w:rPr>
  </w:style>
  <w:style w:type="character" w:customStyle="1" w:styleId="78">
    <w:name w:val="Title Char"/>
    <w:basedOn w:val="41"/>
    <w:qFormat/>
    <w:locked/>
    <w:uiPriority w:val="99"/>
    <w:rPr>
      <w:rFonts w:ascii="Calibri" w:hAnsi="Calibri"/>
      <w:b/>
      <w:kern w:val="2"/>
      <w:sz w:val="32"/>
    </w:rPr>
  </w:style>
  <w:style w:type="character" w:customStyle="1" w:styleId="79">
    <w:name w:val="日期 Char"/>
    <w:basedOn w:val="41"/>
    <w:link w:val="3"/>
    <w:semiHidden/>
    <w:qFormat/>
    <w:locked/>
    <w:uiPriority w:val="99"/>
    <w:rPr>
      <w:rFonts w:cs="Times New Roman"/>
      <w:sz w:val="24"/>
      <w:szCs w:val="24"/>
    </w:rPr>
  </w:style>
  <w:style w:type="character" w:customStyle="1" w:styleId="80">
    <w:name w:val="纯文本 Char"/>
    <w:basedOn w:val="41"/>
    <w:link w:val="20"/>
    <w:semiHidden/>
    <w:qFormat/>
    <w:locked/>
    <w:uiPriority w:val="99"/>
    <w:rPr>
      <w:rFonts w:ascii="宋体" w:hAnsi="Courier New" w:cs="Courier New"/>
      <w:sz w:val="21"/>
      <w:szCs w:val="21"/>
    </w:rPr>
  </w:style>
  <w:style w:type="character" w:customStyle="1" w:styleId="81">
    <w:name w:val="font61"/>
    <w:qFormat/>
    <w:uiPriority w:val="99"/>
    <w:rPr>
      <w:rFonts w:ascii="Symbol" w:hAnsi="Symbol"/>
      <w:color w:val="000000"/>
      <w:sz w:val="20"/>
      <w:u w:val="none"/>
    </w:rPr>
  </w:style>
  <w:style w:type="character" w:customStyle="1" w:styleId="82">
    <w:name w:val="批注主题 Char"/>
    <w:basedOn w:val="66"/>
    <w:link w:val="37"/>
    <w:semiHidden/>
    <w:qFormat/>
    <w:locked/>
    <w:uiPriority w:val="99"/>
    <w:rPr>
      <w:rFonts w:cs="Times New Roman"/>
      <w:b/>
      <w:bCs/>
      <w:kern w:val="2"/>
      <w:sz w:val="24"/>
      <w:szCs w:val="24"/>
    </w:rPr>
  </w:style>
  <w:style w:type="character" w:customStyle="1" w:styleId="83">
    <w:name w:val="font41"/>
    <w:qFormat/>
    <w:uiPriority w:val="99"/>
    <w:rPr>
      <w:rFonts w:ascii="黑体" w:hAnsi="宋体" w:eastAsia="黑体"/>
      <w:color w:val="000000"/>
      <w:sz w:val="18"/>
      <w:u w:val="none"/>
    </w:rPr>
  </w:style>
  <w:style w:type="character" w:customStyle="1" w:styleId="84">
    <w:name w:val="标题 Char"/>
    <w:basedOn w:val="41"/>
    <w:link w:val="36"/>
    <w:qFormat/>
    <w:locked/>
    <w:uiPriority w:val="99"/>
    <w:rPr>
      <w:rFonts w:ascii="Cambria" w:hAnsi="Cambria" w:cs="Times New Roman"/>
      <w:b/>
      <w:bCs/>
      <w:sz w:val="32"/>
      <w:szCs w:val="32"/>
    </w:rPr>
  </w:style>
  <w:style w:type="character" w:customStyle="1" w:styleId="85">
    <w:name w:val="页眉 Char"/>
    <w:basedOn w:val="41"/>
    <w:link w:val="26"/>
    <w:semiHidden/>
    <w:qFormat/>
    <w:locked/>
    <w:uiPriority w:val="99"/>
    <w:rPr>
      <w:rFonts w:cs="Times New Roman"/>
      <w:sz w:val="18"/>
      <w:szCs w:val="18"/>
    </w:rPr>
  </w:style>
  <w:style w:type="character" w:customStyle="1" w:styleId="86">
    <w:name w:val="ca-52"/>
    <w:qFormat/>
    <w:uiPriority w:val="99"/>
  </w:style>
  <w:style w:type="character" w:customStyle="1" w:styleId="87">
    <w:name w:val="ca-62"/>
    <w:qFormat/>
    <w:uiPriority w:val="99"/>
  </w:style>
  <w:style w:type="character" w:customStyle="1" w:styleId="88">
    <w:name w:val="访问过的超链接1"/>
    <w:qFormat/>
    <w:uiPriority w:val="99"/>
    <w:rPr>
      <w:color w:val="338DE6"/>
      <w:u w:val="none"/>
    </w:rPr>
  </w:style>
  <w:style w:type="character" w:customStyle="1" w:styleId="89">
    <w:name w:val="ca-72"/>
    <w:qFormat/>
    <w:uiPriority w:val="99"/>
  </w:style>
  <w:style w:type="character" w:customStyle="1" w:styleId="90">
    <w:name w:val="font11"/>
    <w:qFormat/>
    <w:uiPriority w:val="99"/>
    <w:rPr>
      <w:rFonts w:ascii="Symbol" w:hAnsi="Symbol"/>
      <w:color w:val="000000"/>
      <w:sz w:val="20"/>
      <w:u w:val="none"/>
    </w:rPr>
  </w:style>
  <w:style w:type="character" w:customStyle="1" w:styleId="91">
    <w:name w:val="正文文本缩进 2 Char"/>
    <w:basedOn w:val="41"/>
    <w:link w:val="22"/>
    <w:semiHidden/>
    <w:qFormat/>
    <w:locked/>
    <w:uiPriority w:val="99"/>
    <w:rPr>
      <w:rFonts w:cs="Times New Roman"/>
      <w:sz w:val="24"/>
      <w:szCs w:val="24"/>
    </w:rPr>
  </w:style>
  <w:style w:type="character" w:customStyle="1" w:styleId="92">
    <w:name w:val="ca-82"/>
    <w:qFormat/>
    <w:uiPriority w:val="99"/>
  </w:style>
  <w:style w:type="character" w:customStyle="1" w:styleId="93">
    <w:name w:val="批注框文本 Char"/>
    <w:basedOn w:val="41"/>
    <w:link w:val="23"/>
    <w:semiHidden/>
    <w:qFormat/>
    <w:locked/>
    <w:uiPriority w:val="99"/>
    <w:rPr>
      <w:rFonts w:cs="Times New Roman"/>
      <w:sz w:val="2"/>
    </w:rPr>
  </w:style>
  <w:style w:type="character" w:customStyle="1" w:styleId="94">
    <w:name w:val="正文缩进2格 Char"/>
    <w:link w:val="95"/>
    <w:qFormat/>
    <w:locked/>
    <w:uiPriority w:val="99"/>
    <w:rPr>
      <w:rFonts w:ascii="仿宋_GB2312" w:hAnsi="宋体" w:eastAsia="仿宋_GB2312"/>
      <w:kern w:val="2"/>
      <w:sz w:val="31"/>
    </w:rPr>
  </w:style>
  <w:style w:type="paragraph" w:customStyle="1" w:styleId="95">
    <w:name w:val="正文缩进2格"/>
    <w:basedOn w:val="1"/>
    <w:link w:val="94"/>
    <w:qFormat/>
    <w:uiPriority w:val="99"/>
    <w:pPr>
      <w:spacing w:line="600" w:lineRule="exact"/>
      <w:ind w:firstLine="639" w:firstLineChars="206"/>
    </w:pPr>
    <w:rPr>
      <w:rFonts w:ascii="仿宋_GB2312" w:hAnsi="宋体" w:eastAsia="仿宋_GB2312"/>
      <w:sz w:val="31"/>
      <w:szCs w:val="20"/>
    </w:rPr>
  </w:style>
  <w:style w:type="character" w:customStyle="1" w:styleId="96">
    <w:name w:val="Footer Char1"/>
    <w:qFormat/>
    <w:locked/>
    <w:uiPriority w:val="99"/>
    <w:rPr>
      <w:kern w:val="2"/>
      <w:sz w:val="18"/>
    </w:rPr>
  </w:style>
  <w:style w:type="character" w:customStyle="1" w:styleId="97">
    <w:name w:val="正文缩进 Char"/>
    <w:link w:val="9"/>
    <w:qFormat/>
    <w:locked/>
    <w:uiPriority w:val="99"/>
    <w:rPr>
      <w:rFonts w:eastAsia="宋体"/>
      <w:kern w:val="2"/>
      <w:sz w:val="24"/>
      <w:lang w:val="en-US" w:eastAsia="zh-CN"/>
    </w:rPr>
  </w:style>
  <w:style w:type="character" w:customStyle="1" w:styleId="98">
    <w:name w:val="List Paragraph Char"/>
    <w:link w:val="99"/>
    <w:qFormat/>
    <w:locked/>
    <w:uiPriority w:val="99"/>
    <w:rPr>
      <w:rFonts w:ascii="Calibri" w:hAnsi="Calibri"/>
      <w:kern w:val="2"/>
      <w:sz w:val="22"/>
    </w:rPr>
  </w:style>
  <w:style w:type="paragraph" w:customStyle="1" w:styleId="99">
    <w:name w:val="列出段落11"/>
    <w:basedOn w:val="1"/>
    <w:link w:val="98"/>
    <w:qFormat/>
    <w:uiPriority w:val="99"/>
    <w:pPr>
      <w:ind w:firstLine="420" w:firstLineChars="200"/>
    </w:pPr>
    <w:rPr>
      <w:rFonts w:ascii="Calibri" w:hAnsi="Calibri"/>
      <w:sz w:val="22"/>
      <w:szCs w:val="20"/>
    </w:rPr>
  </w:style>
  <w:style w:type="character" w:customStyle="1" w:styleId="100">
    <w:name w:val="font51"/>
    <w:qFormat/>
    <w:uiPriority w:val="99"/>
    <w:rPr>
      <w:rFonts w:ascii="黑体" w:hAnsi="宋体" w:eastAsia="黑体"/>
      <w:color w:val="000000"/>
      <w:sz w:val="20"/>
      <w:u w:val="none"/>
    </w:rPr>
  </w:style>
  <w:style w:type="character" w:customStyle="1" w:styleId="101">
    <w:name w:val="批注文字 Char"/>
    <w:basedOn w:val="41"/>
    <w:link w:val="15"/>
    <w:semiHidden/>
    <w:qFormat/>
    <w:locked/>
    <w:uiPriority w:val="99"/>
    <w:rPr>
      <w:rFonts w:cs="Times New Roman"/>
      <w:sz w:val="24"/>
      <w:szCs w:val="24"/>
    </w:rPr>
  </w:style>
  <w:style w:type="character" w:customStyle="1" w:styleId="102">
    <w:name w:val="font21"/>
    <w:qFormat/>
    <w:uiPriority w:val="99"/>
    <w:rPr>
      <w:rFonts w:ascii="Symbol" w:hAnsi="Symbol"/>
      <w:color w:val="000000"/>
      <w:sz w:val="18"/>
      <w:u w:val="none"/>
    </w:rPr>
  </w:style>
  <w:style w:type="character" w:customStyle="1" w:styleId="103">
    <w:name w:val="ca-21"/>
    <w:qFormat/>
    <w:uiPriority w:val="99"/>
    <w:rPr>
      <w:rFonts w:ascii="宋体-18030" w:hAnsi="宋体-18030" w:eastAsia="宋体-18030"/>
      <w:sz w:val="24"/>
    </w:rPr>
  </w:style>
  <w:style w:type="character" w:customStyle="1" w:styleId="104">
    <w:name w:val="Balloon Text Char1"/>
    <w:semiHidden/>
    <w:qFormat/>
    <w:locked/>
    <w:uiPriority w:val="99"/>
    <w:rPr>
      <w:kern w:val="2"/>
      <w:sz w:val="2"/>
    </w:rPr>
  </w:style>
  <w:style w:type="character" w:customStyle="1" w:styleId="105">
    <w:name w:val="Header Char1"/>
    <w:qFormat/>
    <w:locked/>
    <w:uiPriority w:val="99"/>
    <w:rPr>
      <w:kern w:val="2"/>
      <w:sz w:val="18"/>
    </w:rPr>
  </w:style>
  <w:style w:type="character" w:customStyle="1" w:styleId="106">
    <w:name w:val="style81"/>
    <w:qFormat/>
    <w:uiPriority w:val="99"/>
    <w:rPr>
      <w:sz w:val="21"/>
    </w:rPr>
  </w:style>
  <w:style w:type="character" w:customStyle="1" w:styleId="107">
    <w:name w:val="apple-converted-space"/>
    <w:qFormat/>
    <w:uiPriority w:val="99"/>
  </w:style>
  <w:style w:type="character" w:customStyle="1" w:styleId="108">
    <w:name w:val="页脚 Char"/>
    <w:basedOn w:val="41"/>
    <w:link w:val="24"/>
    <w:semiHidden/>
    <w:qFormat/>
    <w:locked/>
    <w:uiPriority w:val="99"/>
    <w:rPr>
      <w:rFonts w:cs="Times New Roman"/>
      <w:sz w:val="18"/>
      <w:szCs w:val="18"/>
    </w:rPr>
  </w:style>
  <w:style w:type="character" w:customStyle="1" w:styleId="109">
    <w:name w:val="正文文本缩进 Char"/>
    <w:basedOn w:val="41"/>
    <w:link w:val="16"/>
    <w:semiHidden/>
    <w:qFormat/>
    <w:locked/>
    <w:uiPriority w:val="99"/>
    <w:rPr>
      <w:rFonts w:cs="Times New Roman"/>
      <w:sz w:val="24"/>
      <w:szCs w:val="24"/>
    </w:rPr>
  </w:style>
  <w:style w:type="character" w:customStyle="1" w:styleId="110">
    <w:name w:val="正文文本缩进 3 Char"/>
    <w:basedOn w:val="41"/>
    <w:link w:val="30"/>
    <w:semiHidden/>
    <w:qFormat/>
    <w:locked/>
    <w:uiPriority w:val="99"/>
    <w:rPr>
      <w:rFonts w:cs="Times New Roman"/>
      <w:sz w:val="16"/>
      <w:szCs w:val="16"/>
    </w:rPr>
  </w:style>
  <w:style w:type="character" w:customStyle="1" w:styleId="111">
    <w:name w:val="font71"/>
    <w:basedOn w:val="41"/>
    <w:qFormat/>
    <w:uiPriority w:val="99"/>
    <w:rPr>
      <w:rFonts w:ascii="Symbol" w:hAnsi="Symbol"/>
      <w:color w:val="000000"/>
      <w:sz w:val="18"/>
      <w:u w:val="none"/>
    </w:rPr>
  </w:style>
  <w:style w:type="character" w:customStyle="1" w:styleId="112">
    <w:name w:val="ca-11"/>
    <w:qFormat/>
    <w:uiPriority w:val="99"/>
    <w:rPr>
      <w:rFonts w:ascii="宋体" w:hAnsi="宋体" w:eastAsia="宋体"/>
      <w:sz w:val="24"/>
    </w:rPr>
  </w:style>
  <w:style w:type="character" w:customStyle="1" w:styleId="113">
    <w:name w:val="正文文本 Char"/>
    <w:basedOn w:val="41"/>
    <w:link w:val="2"/>
    <w:semiHidden/>
    <w:qFormat/>
    <w:locked/>
    <w:uiPriority w:val="99"/>
    <w:rPr>
      <w:rFonts w:cs="Times New Roman"/>
      <w:sz w:val="24"/>
      <w:szCs w:val="24"/>
    </w:rPr>
  </w:style>
  <w:style w:type="character" w:customStyle="1" w:styleId="114">
    <w:name w:val="style3"/>
    <w:qFormat/>
    <w:uiPriority w:val="99"/>
  </w:style>
  <w:style w:type="character" w:customStyle="1" w:styleId="115">
    <w:name w:val="font01"/>
    <w:qFormat/>
    <w:uiPriority w:val="99"/>
    <w:rPr>
      <w:rFonts w:ascii="Arial" w:hAnsi="Arial"/>
      <w:color w:val="000000"/>
      <w:sz w:val="20"/>
      <w:u w:val="none"/>
    </w:rPr>
  </w:style>
  <w:style w:type="paragraph" w:customStyle="1" w:styleId="116">
    <w:name w:val="正文图标题"/>
    <w:next w:val="1"/>
    <w:qFormat/>
    <w:uiPriority w:val="99"/>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Char1"/>
    <w:basedOn w:val="1"/>
    <w:qFormat/>
    <w:uiPriority w:val="99"/>
    <w:pPr>
      <w:spacing w:line="360" w:lineRule="auto"/>
    </w:pPr>
    <w:rPr>
      <w:rFonts w:ascii="Tahoma" w:hAnsi="Tahoma"/>
      <w:sz w:val="28"/>
      <w:szCs w:val="20"/>
    </w:rPr>
  </w:style>
  <w:style w:type="paragraph" w:customStyle="1" w:styleId="118">
    <w:name w:val="List Paragraph1"/>
    <w:basedOn w:val="1"/>
    <w:qFormat/>
    <w:uiPriority w:val="99"/>
    <w:pPr>
      <w:ind w:firstLine="420" w:firstLineChars="200"/>
    </w:pPr>
    <w:rPr>
      <w:rFonts w:ascii="Calibri" w:hAnsi="Calibri"/>
      <w:szCs w:val="22"/>
    </w:rPr>
  </w:style>
  <w:style w:type="paragraph" w:customStyle="1" w:styleId="119">
    <w:name w:val="UP正文"/>
    <w:basedOn w:val="1"/>
    <w:qFormat/>
    <w:uiPriority w:val="99"/>
    <w:pPr>
      <w:spacing w:line="360" w:lineRule="auto"/>
      <w:ind w:left="420" w:leftChars="200" w:firstLine="420" w:firstLineChars="200"/>
    </w:pPr>
    <w:rPr>
      <w:rFonts w:ascii="Tahoma" w:cs="宋体"/>
      <w:szCs w:val="20"/>
    </w:rPr>
  </w:style>
  <w:style w:type="paragraph" w:customStyle="1" w:styleId="120">
    <w:name w:val="Char Char Char Char"/>
    <w:basedOn w:val="1"/>
    <w:qFormat/>
    <w:uiPriority w:val="99"/>
    <w:pPr>
      <w:widowControl/>
      <w:spacing w:line="357" w:lineRule="atLeast"/>
      <w:textAlignment w:val="baseline"/>
    </w:pPr>
    <w:rPr>
      <w:color w:val="000000"/>
      <w:kern w:val="0"/>
      <w:szCs w:val="20"/>
    </w:rPr>
  </w:style>
  <w:style w:type="paragraph" w:customStyle="1" w:styleId="121">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2">
    <w:name w:val="p15"/>
    <w:basedOn w:val="1"/>
    <w:qFormat/>
    <w:uiPriority w:val="99"/>
    <w:pPr>
      <w:widowControl/>
    </w:pPr>
    <w:rPr>
      <w:kern w:val="0"/>
      <w:szCs w:val="21"/>
    </w:rPr>
  </w:style>
  <w:style w:type="paragraph" w:customStyle="1" w:styleId="123">
    <w:name w:val="Char Char2"/>
    <w:basedOn w:val="1"/>
    <w:qFormat/>
    <w:uiPriority w:val="99"/>
    <w:pPr>
      <w:widowControl/>
      <w:spacing w:after="160" w:line="240" w:lineRule="exact"/>
      <w:jc w:val="left"/>
    </w:pPr>
    <w:rPr>
      <w:szCs w:val="20"/>
    </w:rPr>
  </w:style>
  <w:style w:type="paragraph" w:customStyle="1" w:styleId="124">
    <w:name w:val="style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5">
    <w:name w:val="列出段落1"/>
    <w:basedOn w:val="1"/>
    <w:qFormat/>
    <w:uiPriority w:val="99"/>
    <w:pPr>
      <w:ind w:firstLine="420" w:firstLineChars="200"/>
    </w:pPr>
    <w:rPr>
      <w:rFonts w:ascii="Calibri" w:hAnsi="Calibri"/>
      <w:szCs w:val="22"/>
    </w:rPr>
  </w:style>
  <w:style w:type="paragraph" w:customStyle="1" w:styleId="126">
    <w:name w:val="pa-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_Style 1"/>
    <w:basedOn w:val="1"/>
    <w:qFormat/>
    <w:uiPriority w:val="99"/>
    <w:pPr>
      <w:ind w:firstLine="420" w:firstLineChars="200"/>
    </w:pPr>
    <w:rPr>
      <w:rFonts w:ascii="Calibri" w:hAnsi="Calibri"/>
      <w:szCs w:val="22"/>
    </w:rPr>
  </w:style>
  <w:style w:type="paragraph" w:customStyle="1" w:styleId="128">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9">
    <w:name w:val="xl28"/>
    <w:basedOn w:val="1"/>
    <w:qFormat/>
    <w:uiPriority w:val="99"/>
    <w:pPr>
      <w:widowControl/>
      <w:pBdr>
        <w:bottom w:val="single" w:color="auto" w:sz="4" w:space="0"/>
      </w:pBdr>
      <w:spacing w:before="100" w:beforeAutospacing="1" w:after="100" w:afterAutospacing="1"/>
      <w:jc w:val="center"/>
    </w:pPr>
    <w:rPr>
      <w:rFonts w:ascii="仿宋_GB2312" w:hAnsi="Arial Unicode MS" w:eastAsia="仿宋_GB2312" w:cs="Arial Unicode MS"/>
      <w:b/>
      <w:bCs/>
      <w:kern w:val="0"/>
      <w:sz w:val="24"/>
    </w:rPr>
  </w:style>
  <w:style w:type="paragraph" w:customStyle="1" w:styleId="13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表格"/>
    <w:basedOn w:val="1"/>
    <w:qFormat/>
    <w:uiPriority w:val="99"/>
    <w:pPr>
      <w:adjustRightInd w:val="0"/>
      <w:snapToGrid w:val="0"/>
      <w:jc w:val="center"/>
    </w:pPr>
    <w:rPr>
      <w:bCs/>
    </w:rPr>
  </w:style>
  <w:style w:type="paragraph" w:customStyle="1" w:styleId="132">
    <w:name w:val="正文 + 宋体"/>
    <w:basedOn w:val="1"/>
    <w:qFormat/>
    <w:uiPriority w:val="99"/>
    <w:pPr>
      <w:spacing w:line="360" w:lineRule="auto"/>
    </w:pPr>
    <w:rPr>
      <w:sz w:val="24"/>
      <w:szCs w:val="21"/>
    </w:rPr>
  </w:style>
  <w:style w:type="paragraph" w:customStyle="1" w:styleId="13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18"/>
      <w:szCs w:val="18"/>
    </w:rPr>
  </w:style>
  <w:style w:type="paragraph" w:customStyle="1" w:styleId="1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18"/>
      <w:szCs w:val="18"/>
    </w:rPr>
  </w:style>
  <w:style w:type="paragraph" w:customStyle="1" w:styleId="135">
    <w:name w:val="UP标题3"/>
    <w:basedOn w:val="1"/>
    <w:qFormat/>
    <w:uiPriority w:val="99"/>
    <w:pPr>
      <w:spacing w:line="360" w:lineRule="auto"/>
      <w:ind w:firstLine="149" w:firstLineChars="149"/>
    </w:pPr>
    <w:rPr>
      <w:rFonts w:ascii="黑体" w:eastAsia="黑体" w:cs="宋体"/>
      <w:sz w:val="28"/>
      <w:szCs w:val="28"/>
    </w:rPr>
  </w:style>
  <w:style w:type="paragraph" w:customStyle="1" w:styleId="136">
    <w:name w:val="样式 首行缩进:  2 字符"/>
    <w:basedOn w:val="1"/>
    <w:qFormat/>
    <w:uiPriority w:val="99"/>
    <w:pPr>
      <w:spacing w:line="400" w:lineRule="exact"/>
      <w:ind w:firstLine="200" w:firstLineChars="200"/>
    </w:pPr>
    <w:rPr>
      <w:rFonts w:ascii="Calibri" w:hAnsi="Calibri" w:cs="宋体"/>
      <w:sz w:val="24"/>
    </w:rPr>
  </w:style>
  <w:style w:type="paragraph" w:customStyle="1" w:styleId="137">
    <w:name w:val="pa-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8">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2">
    <w:name w:val="Absatz2AL"/>
    <w:basedOn w:val="2"/>
    <w:next w:val="1"/>
    <w:qFormat/>
    <w:uiPriority w:val="99"/>
    <w:pPr>
      <w:widowControl/>
      <w:overflowPunct w:val="0"/>
      <w:autoSpaceDE w:val="0"/>
      <w:autoSpaceDN w:val="0"/>
      <w:adjustRightInd w:val="0"/>
      <w:spacing w:line="240" w:lineRule="auto"/>
      <w:textAlignment w:val="baseline"/>
    </w:pPr>
    <w:rPr>
      <w:rFonts w:eastAsia="楷体_GB2312"/>
      <w:kern w:val="0"/>
    </w:rPr>
  </w:style>
  <w:style w:type="paragraph" w:customStyle="1" w:styleId="14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4">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145">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Table Text"/>
    <w:basedOn w:val="1"/>
    <w:qFormat/>
    <w:uiPriority w:val="99"/>
    <w:pPr>
      <w:keepLines/>
      <w:widowControl/>
      <w:jc w:val="left"/>
    </w:pPr>
    <w:rPr>
      <w:rFonts w:ascii="Book Antiqua" w:hAnsi="Book Antiqua"/>
      <w:sz w:val="16"/>
    </w:rPr>
  </w:style>
  <w:style w:type="paragraph" w:customStyle="1" w:styleId="147">
    <w:name w:val="ÕýÎÄ"/>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48">
    <w:name w:val="p16"/>
    <w:basedOn w:val="1"/>
    <w:qFormat/>
    <w:uiPriority w:val="99"/>
    <w:pPr>
      <w:widowControl/>
      <w:spacing w:line="357" w:lineRule="atLeast"/>
      <w:textAlignment w:val="baseline"/>
    </w:pPr>
    <w:rPr>
      <w:color w:val="000000"/>
      <w:kern w:val="0"/>
      <w:szCs w:val="21"/>
    </w:rPr>
  </w:style>
  <w:style w:type="paragraph" w:customStyle="1" w:styleId="149">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0">
    <w:name w:val="我的正文"/>
    <w:basedOn w:val="1"/>
    <w:qFormat/>
    <w:uiPriority w:val="99"/>
    <w:pPr>
      <w:adjustRightInd w:val="0"/>
      <w:snapToGrid w:val="0"/>
      <w:spacing w:line="360" w:lineRule="auto"/>
      <w:ind w:firstLine="420" w:firstLineChars="200"/>
    </w:pPr>
    <w:rPr>
      <w:rFonts w:ascii="宋体" w:hAnsi="宋体"/>
      <w:szCs w:val="21"/>
      <w:lang w:val="zh-CN"/>
    </w:rPr>
  </w:style>
  <w:style w:type="paragraph" w:customStyle="1" w:styleId="15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2">
    <w:name w:val="正文（缩进）"/>
    <w:basedOn w:val="1"/>
    <w:qFormat/>
    <w:uiPriority w:val="99"/>
    <w:pPr>
      <w:spacing w:beforeLines="50" w:afterLines="50"/>
      <w:ind w:firstLine="480"/>
    </w:pPr>
    <w:rPr>
      <w:sz w:val="24"/>
    </w:rPr>
  </w:style>
  <w:style w:type="paragraph" w:customStyle="1" w:styleId="153">
    <w:name w:val="列出段落2"/>
    <w:basedOn w:val="1"/>
    <w:qFormat/>
    <w:uiPriority w:val="99"/>
    <w:pPr>
      <w:ind w:firstLine="420" w:firstLineChars="200"/>
    </w:pPr>
    <w:rPr>
      <w:rFonts w:ascii="Calibri" w:hAnsi="Calibri"/>
      <w:szCs w:val="22"/>
    </w:rPr>
  </w:style>
  <w:style w:type="character" w:customStyle="1" w:styleId="154">
    <w:name w:val="font31"/>
    <w:basedOn w:val="41"/>
    <w:qFormat/>
    <w:uiPriority w:val="99"/>
    <w:rPr>
      <w:rFonts w:ascii="宋体" w:hAnsi="宋体" w:eastAsia="宋体" w:cs="宋体"/>
      <w:color w:val="FF0000"/>
      <w:sz w:val="18"/>
      <w:szCs w:val="18"/>
      <w:u w:val="none"/>
    </w:rPr>
  </w:style>
  <w:style w:type="paragraph" w:customStyle="1" w:styleId="155">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列出段落21"/>
    <w:basedOn w:val="1"/>
    <w:qFormat/>
    <w:uiPriority w:val="99"/>
    <w:pPr>
      <w:ind w:firstLine="420" w:firstLineChars="200"/>
    </w:pPr>
    <w:rPr>
      <w:rFonts w:ascii="Calibri" w:hAnsi="Calibri"/>
      <w:szCs w:val="22"/>
    </w:rPr>
  </w:style>
  <w:style w:type="paragraph" w:customStyle="1" w:styleId="157">
    <w:name w:val="正文 New New New New"/>
    <w:qFormat/>
    <w:uiPriority w:val="99"/>
    <w:pPr>
      <w:widowControl w:val="0"/>
      <w:spacing w:line="240" w:lineRule="atLeast"/>
      <w:jc w:val="both"/>
    </w:pPr>
    <w:rPr>
      <w:rFonts w:ascii="Times New Roman" w:hAnsi="Times New Roman" w:eastAsia="宋体" w:cs="Times New Roman"/>
      <w:szCs w:val="24"/>
      <w:lang w:val="en-US" w:eastAsia="zh-CN" w:bidi="ar-SA"/>
    </w:rPr>
  </w:style>
  <w:style w:type="character" w:customStyle="1" w:styleId="158">
    <w:name w:val="fontstyle01"/>
    <w:basedOn w:val="41"/>
    <w:qFormat/>
    <w:uiPriority w:val="99"/>
    <w:rPr>
      <w:rFonts w:ascii="宋体" w:hAnsi="宋体" w:eastAsia="宋体" w:cs="Times New Roman"/>
      <w:color w:val="000000"/>
      <w:sz w:val="22"/>
      <w:szCs w:val="22"/>
    </w:rPr>
  </w:style>
  <w:style w:type="paragraph" w:customStyle="1" w:styleId="159">
    <w:name w:val="Table Paragraph"/>
    <w:basedOn w:val="1"/>
    <w:qFormat/>
    <w:uiPriority w:val="99"/>
    <w:rPr>
      <w:rFonts w:ascii="宋体" w:hAnsi="宋体" w:cs="宋体"/>
      <w:lang w:val="zh-CN"/>
    </w:rPr>
  </w:style>
  <w:style w:type="character" w:customStyle="1" w:styleId="160">
    <w:name w:val="Char Char1"/>
    <w:basedOn w:val="41"/>
    <w:semiHidden/>
    <w:qFormat/>
    <w:uiPriority w:val="99"/>
    <w:rPr>
      <w:rFonts w:cs="Times New Roman"/>
      <w:sz w:val="18"/>
      <w:szCs w:val="18"/>
    </w:rPr>
  </w:style>
  <w:style w:type="paragraph" w:customStyle="1" w:styleId="161">
    <w:name w:val="正文2"/>
    <w:basedOn w:val="1"/>
    <w:qFormat/>
    <w:uiPriority w:val="0"/>
    <w:pPr>
      <w:spacing w:line="360" w:lineRule="auto"/>
      <w:ind w:firstLine="420" w:firstLineChars="200"/>
    </w:pPr>
  </w:style>
  <w:style w:type="paragraph" w:customStyle="1" w:styleId="162">
    <w:name w:val="列表段落1"/>
    <w:basedOn w:val="1"/>
    <w:qFormat/>
    <w:uiPriority w:val="34"/>
    <w:pPr>
      <w:ind w:firstLine="420" w:firstLineChars="200"/>
    </w:pPr>
    <w:rPr>
      <w:rFonts w:ascii="Calibri" w:hAnsi="Calibri"/>
    </w:rPr>
  </w:style>
  <w:style w:type="paragraph" w:customStyle="1" w:styleId="163">
    <w:name w:val="Item List"/>
    <w:qFormat/>
    <w:uiPriority w:val="0"/>
    <w:pPr>
      <w:numPr>
        <w:ilvl w:val="0"/>
        <w:numId w:val="3"/>
      </w:numPr>
      <w:adjustRightInd w:val="0"/>
      <w:snapToGrid w:val="0"/>
      <w:spacing w:before="80" w:after="80" w:line="240" w:lineRule="atLeast"/>
    </w:pPr>
    <w:rPr>
      <w:rFonts w:hint="eastAsia" w:ascii="Arial" w:hAnsi="Arial" w:eastAsia="宋体" w:cs="Arial"/>
      <w:kern w:val="2"/>
      <w:sz w:val="21"/>
      <w:szCs w:val="21"/>
      <w:lang w:val="en-US" w:eastAsia="zh-CN" w:bidi="ar-SA"/>
    </w:rPr>
  </w:style>
  <w:style w:type="paragraph" w:customStyle="1" w:styleId="164">
    <w:name w:val="样式 标题 2 + Times New Roman 四号 非加粗 段前: 5 磅 段后: 0 磅 行距: 固定值 20..."/>
    <w:basedOn w:val="5"/>
    <w:qFormat/>
    <w:uiPriority w:val="99"/>
    <w:pPr>
      <w:spacing w:before="100" w:line="400" w:lineRule="exact"/>
      <w:jc w:val="both"/>
    </w:pPr>
    <w:rPr>
      <w:rFonts w:ascii="Times New Roman"/>
      <w:b w:val="0"/>
      <w:sz w:val="28"/>
      <w:szCs w:val="28"/>
    </w:rPr>
  </w:style>
  <w:style w:type="paragraph" w:customStyle="1" w:styleId="165">
    <w:name w:val="正文缩进1"/>
    <w:basedOn w:val="1"/>
    <w:qFormat/>
    <w:uiPriority w:val="0"/>
    <w:pPr>
      <w:ind w:firstLine="420" w:firstLineChars="200"/>
    </w:pPr>
  </w:style>
  <w:style w:type="paragraph" w:customStyle="1" w:styleId="166">
    <w:name w:val="正文首行缩进两字符"/>
    <w:basedOn w:val="1"/>
    <w:qFormat/>
    <w:uiPriority w:val="0"/>
    <w:pPr>
      <w:spacing w:line="360" w:lineRule="auto"/>
      <w:ind w:firstLine="200" w:firstLineChars="200"/>
    </w:pPr>
  </w:style>
  <w:style w:type="character" w:customStyle="1" w:styleId="167">
    <w:name w:val="font91"/>
    <w:basedOn w:val="41"/>
    <w:qFormat/>
    <w:uiPriority w:val="0"/>
    <w:rPr>
      <w:rFonts w:ascii="仿宋_GB2312" w:eastAsia="仿宋_GB2312" w:cs="仿宋_GB2312"/>
      <w:color w:val="000000"/>
      <w:sz w:val="20"/>
      <w:szCs w:val="20"/>
      <w:u w:val="none"/>
    </w:rPr>
  </w:style>
  <w:style w:type="paragraph" w:customStyle="1" w:styleId="168">
    <w:name w:val="Normal_f5acf06f-7205-446c-8cf8-0b5eed25767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9">
    <w:name w:val="c-icon26"/>
    <w:basedOn w:val="41"/>
    <w:qFormat/>
    <w:uiPriority w:val="0"/>
  </w:style>
  <w:style w:type="character" w:customStyle="1" w:styleId="170">
    <w:name w:val="hover24"/>
    <w:basedOn w:val="41"/>
    <w:qFormat/>
    <w:uiPriority w:val="0"/>
  </w:style>
  <w:style w:type="character" w:customStyle="1" w:styleId="171">
    <w:name w:val="hover25"/>
    <w:basedOn w:val="41"/>
    <w:qFormat/>
    <w:uiPriority w:val="0"/>
    <w:rPr>
      <w:color w:val="315EFB"/>
    </w:rPr>
  </w:style>
  <w:style w:type="paragraph" w:customStyle="1" w:styleId="17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qFormat/>
    <w:uiPriority w:val="34"/>
    <w:pPr>
      <w:ind w:firstLine="420" w:firstLineChars="200"/>
    </w:pPr>
    <w:rPr>
      <w:rFonts w:ascii="Calibri" w:hAnsi="Calibri"/>
      <w:szCs w:val="22"/>
    </w:rPr>
  </w:style>
  <w:style w:type="paragraph" w:customStyle="1" w:styleId="174">
    <w:name w:val="WPSOffice手动目录 1"/>
    <w:qFormat/>
    <w:uiPriority w:val="0"/>
    <w:pPr>
      <w:ind w:leftChars="0"/>
    </w:pPr>
    <w:rPr>
      <w:rFonts w:ascii="Times New Roman" w:hAnsi="Times New Roman" w:eastAsia="宋体" w:cs="Times New Roman"/>
      <w:sz w:val="20"/>
      <w:szCs w:val="20"/>
    </w:rPr>
  </w:style>
  <w:style w:type="paragraph" w:customStyle="1" w:styleId="175">
    <w:name w:val="普通正文 缩进2字符"/>
    <w:basedOn w:val="1"/>
    <w:qFormat/>
    <w:uiPriority w:val="0"/>
    <w:pPr>
      <w:numPr>
        <w:ilvl w:val="0"/>
        <w:numId w:val="4"/>
      </w:numPr>
      <w:spacing w:line="360" w:lineRule="auto"/>
      <w:ind w:left="0" w:firstLine="482"/>
    </w:pPr>
    <w:rPr>
      <w:rFonts w:ascii="Calibri" w:hAnsi="Calibri" w:cs="宋体"/>
      <w:sz w:val="24"/>
    </w:rPr>
  </w:style>
  <w:style w:type="paragraph" w:customStyle="1" w:styleId="17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7">
    <w:name w:val="List Paragraph"/>
    <w:basedOn w:val="178"/>
    <w:qFormat/>
    <w:uiPriority w:val="34"/>
    <w:pPr>
      <w:ind w:firstLine="420" w:firstLineChars="200"/>
    </w:pPr>
    <w:rPr>
      <w:rFonts w:ascii="Calibri" w:hAnsi="Calibri" w:eastAsia="宋体" w:cs="Times New Roman"/>
    </w:rPr>
  </w:style>
  <w:style w:type="paragraph" w:customStyle="1" w:styleId="178">
    <w:name w:val="正文_1"/>
    <w:qFormat/>
    <w:uiPriority w:val="0"/>
    <w:rPr>
      <w:rFonts w:ascii="Calibri" w:hAnsi="Calibri" w:eastAsia="宋体" w:cs="Times New Roman"/>
      <w:sz w:val="21"/>
      <w:lang w:val="en-US" w:eastAsia="zh-CN" w:bidi="ar-SA"/>
    </w:rPr>
  </w:style>
  <w:style w:type="paragraph" w:customStyle="1" w:styleId="179">
    <w:name w:val="普通(网站)1"/>
    <w:basedOn w:val="1"/>
    <w:qFormat/>
    <w:uiPriority w:val="0"/>
    <w:pPr>
      <w:spacing w:beforeAutospacing="1" w:afterAutospacing="1"/>
      <w:jc w:val="left"/>
    </w:pPr>
    <w:rPr>
      <w:kern w:val="0"/>
      <w:sz w:val="24"/>
    </w:rPr>
  </w:style>
  <w:style w:type="paragraph" w:customStyle="1" w:styleId="18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21.jpeg"/><Relationship Id="rId47" Type="http://schemas.openxmlformats.org/officeDocument/2006/relationships/image" Target="media/image20.jpeg"/><Relationship Id="rId46" Type="http://schemas.openxmlformats.org/officeDocument/2006/relationships/image" Target="media/image19.jpeg"/><Relationship Id="rId45" Type="http://schemas.openxmlformats.org/officeDocument/2006/relationships/image" Target="media/image18.jpeg"/><Relationship Id="rId44" Type="http://schemas.openxmlformats.org/officeDocument/2006/relationships/image" Target="media/image17.jpeg"/><Relationship Id="rId43" Type="http://schemas.openxmlformats.org/officeDocument/2006/relationships/image" Target="media/image16.jpeg"/><Relationship Id="rId42" Type="http://schemas.openxmlformats.org/officeDocument/2006/relationships/image" Target="media/image15.jpeg"/><Relationship Id="rId41" Type="http://schemas.openxmlformats.org/officeDocument/2006/relationships/image" Target="media/image14.jpeg"/><Relationship Id="rId40" Type="http://schemas.openxmlformats.org/officeDocument/2006/relationships/image" Target="media/image13.jpeg"/><Relationship Id="rId4" Type="http://schemas.openxmlformats.org/officeDocument/2006/relationships/footer" Target="footer2.xml"/><Relationship Id="rId39" Type="http://schemas.openxmlformats.org/officeDocument/2006/relationships/image" Target="media/image12.jpeg"/><Relationship Id="rId38" Type="http://schemas.openxmlformats.org/officeDocument/2006/relationships/image" Target="media/image11.jpeg"/><Relationship Id="rId37" Type="http://schemas.openxmlformats.org/officeDocument/2006/relationships/image" Target="media/image10.jpeg"/><Relationship Id="rId36" Type="http://schemas.openxmlformats.org/officeDocument/2006/relationships/image" Target="media/image9.jpeg"/><Relationship Id="rId35" Type="http://schemas.openxmlformats.org/officeDocument/2006/relationships/image" Target="media/image8.jpeg"/><Relationship Id="rId34" Type="http://schemas.openxmlformats.org/officeDocument/2006/relationships/image" Target="media/image7.jpeg"/><Relationship Id="rId33" Type="http://schemas.openxmlformats.org/officeDocument/2006/relationships/image" Target="media/image6.jpeg"/><Relationship Id="rId32" Type="http://schemas.openxmlformats.org/officeDocument/2006/relationships/image" Target="media/image5.jpeg"/><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footer" Target="foot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c01040-9767-4216-8dac-fe57afca8cce}"/>
        <w:style w:val=""/>
        <w:category>
          <w:name w:val="常规"/>
          <w:gallery w:val="placeholder"/>
        </w:category>
        <w:types>
          <w:type w:val="bbPlcHdr"/>
        </w:types>
        <w:behaviors>
          <w:behavior w:val="content"/>
        </w:behaviors>
        <w:description w:val=""/>
        <w:guid w:val="{0ac01040-9767-4216-8dac-fe57afca8cce}"/>
      </w:docPartPr>
      <w:docPartBody>
        <w:p>
          <w:r>
            <w:rPr>
              <w:color w:val="808080"/>
            </w:rPr>
            <w:t>单击此处输入文字。</w:t>
          </w:r>
        </w:p>
      </w:docPartBody>
    </w:docPart>
    <w:docPart>
      <w:docPartPr>
        <w:name w:val="{a86a3844-1fa9-4310-9c20-55262b9bb8f2}"/>
        <w:style w:val=""/>
        <w:category>
          <w:name w:val="常规"/>
          <w:gallery w:val="placeholder"/>
        </w:category>
        <w:types>
          <w:type w:val="bbPlcHdr"/>
        </w:types>
        <w:behaviors>
          <w:behavior w:val="content"/>
        </w:behaviors>
        <w:description w:val=""/>
        <w:guid w:val="{a86a3844-1fa9-4310-9c20-55262b9bb8f2}"/>
      </w:docPartPr>
      <w:docPartBody>
        <w:p>
          <w:r>
            <w:rPr>
              <w:color w:val="808080"/>
            </w:rPr>
            <w:t>单击此处输入文字。</w:t>
          </w:r>
        </w:p>
      </w:docPartBody>
    </w:docPart>
    <w:docPart>
      <w:docPartPr>
        <w:name w:val="{c3e525db-fa86-429f-b4e3-aed5c815cd46}"/>
        <w:style w:val=""/>
        <w:category>
          <w:name w:val="常规"/>
          <w:gallery w:val="placeholder"/>
        </w:category>
        <w:types>
          <w:type w:val="bbPlcHdr"/>
        </w:types>
        <w:behaviors>
          <w:behavior w:val="content"/>
        </w:behaviors>
        <w:description w:val=""/>
        <w:guid w:val="{c3e525db-fa86-429f-b4e3-aed5c815cd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StartOS Win7 SP1装机版  V2016/06/15</Company>
  <Pages>84</Pages>
  <Words>38738</Words>
  <Characters>41340</Characters>
  <Lines>282</Lines>
  <Paragraphs>79</Paragraphs>
  <TotalTime>4</TotalTime>
  <ScaleCrop>false</ScaleCrop>
  <LinksUpToDate>false</LinksUpToDate>
  <CharactersWithSpaces>42658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2022-07-08T02:37:00Z</dcterms:created>
  <dc:creator>COCITC</dc:creator>
  <cp:lastModifiedBy>lu</cp:lastModifiedBy>
  <cp:lastPrinted>2023-09-14T08:31:00Z</cp:lastPrinted>
  <dcterms:modified xsi:type="dcterms:W3CDTF">2023-10-25T03:09:59Z</dcterms:modified>
  <dc:title>秦州区电子白板二次招标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FA0EBDDB3F6C46CC9D66B0DD3D1D3DC9</vt:lpwstr>
  </property>
</Properties>
</file>